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37E68" w14:textId="45104991" w:rsidR="00114887" w:rsidRPr="00681A11" w:rsidRDefault="00681A11">
      <w:pPr>
        <w:rPr>
          <w:rFonts w:ascii="Arial" w:hAnsi="Arial" w:cs="Arial"/>
          <w:b/>
          <w:bCs/>
        </w:rPr>
      </w:pPr>
      <w:r w:rsidRPr="00681A11">
        <w:rPr>
          <w:rFonts w:ascii="Arial" w:hAnsi="Arial" w:cs="Arial"/>
          <w:b/>
          <w:bCs/>
        </w:rPr>
        <w:t>Creation of iBB151</w:t>
      </w:r>
    </w:p>
    <w:p w14:paraId="6BDD98C8" w14:textId="2495D84E" w:rsidR="00681A11" w:rsidRDefault="00681A11" w:rsidP="00EB1400">
      <w:pPr>
        <w:shd w:val="clear" w:color="auto" w:fill="FFFFFF"/>
        <w:spacing w:before="100" w:beforeAutospacing="1" w:after="100" w:afterAutospacing="1" w:line="240" w:lineRule="auto"/>
        <w:rPr>
          <w:rFonts w:ascii="Arial" w:eastAsia="Times New Roman" w:hAnsi="Arial" w:cs="Arial"/>
          <w:kern w:val="0"/>
          <w14:ligatures w14:val="none"/>
        </w:rPr>
      </w:pPr>
      <w:r w:rsidRPr="00681A11">
        <w:rPr>
          <w:rFonts w:ascii="Arial" w:hAnsi="Arial" w:cs="Arial"/>
        </w:rPr>
        <w:t>Creation of the B. burgdorferi metabolic model was done with the aid of the RAVEN package, which has been published elsewhere (</w:t>
      </w:r>
      <w:hyperlink r:id="rId5" w:history="1">
        <w:r w:rsidRPr="00681A11">
          <w:rPr>
            <w:rFonts w:ascii="Arial" w:eastAsia="Times New Roman" w:hAnsi="Arial" w:cs="Arial"/>
            <w:kern w:val="0"/>
            <w:u w:val="single"/>
            <w14:ligatures w14:val="none"/>
          </w:rPr>
          <w:t>https://doi.org/10.1371/journal.pcbi.1006541</w:t>
        </w:r>
      </w:hyperlink>
      <w:r w:rsidRPr="00681A11">
        <w:rPr>
          <w:rFonts w:ascii="Arial" w:eastAsia="Times New Roman" w:hAnsi="Arial" w:cs="Arial"/>
          <w:kern w:val="0"/>
          <w14:ligatures w14:val="none"/>
        </w:rPr>
        <w:t xml:space="preserve">). Raven </w:t>
      </w:r>
      <w:r>
        <w:rPr>
          <w:rFonts w:ascii="Arial" w:eastAsia="Times New Roman" w:hAnsi="Arial" w:cs="Arial"/>
          <w:kern w:val="0"/>
          <w14:ligatures w14:val="none"/>
        </w:rPr>
        <w:t>2</w:t>
      </w:r>
      <w:r w:rsidRPr="00681A11">
        <w:rPr>
          <w:rFonts w:ascii="Arial" w:eastAsia="Times New Roman" w:hAnsi="Arial" w:cs="Arial"/>
          <w:kern w:val="0"/>
          <w14:ligatures w14:val="none"/>
        </w:rPr>
        <w:t>.5.3</w:t>
      </w:r>
      <w:r>
        <w:rPr>
          <w:rFonts w:ascii="Arial" w:eastAsia="Times New Roman" w:hAnsi="Arial" w:cs="Arial"/>
          <w:kern w:val="0"/>
          <w14:ligatures w14:val="none"/>
        </w:rPr>
        <w:t xml:space="preserve"> and M</w:t>
      </w:r>
      <w:r w:rsidR="00EB1400">
        <w:rPr>
          <w:rFonts w:ascii="Arial" w:eastAsia="Times New Roman" w:hAnsi="Arial" w:cs="Arial"/>
          <w:kern w:val="0"/>
          <w14:ligatures w14:val="none"/>
        </w:rPr>
        <w:t>ATLAB</w:t>
      </w:r>
      <w:r>
        <w:rPr>
          <w:rFonts w:ascii="Arial" w:eastAsia="Times New Roman" w:hAnsi="Arial" w:cs="Arial"/>
          <w:kern w:val="0"/>
          <w14:ligatures w14:val="none"/>
        </w:rPr>
        <w:t xml:space="preserve"> </w:t>
      </w:r>
      <w:r w:rsidR="00EB1400">
        <w:rPr>
          <w:rFonts w:ascii="Arial" w:eastAsia="Times New Roman" w:hAnsi="Arial" w:cs="Arial"/>
          <w:kern w:val="0"/>
          <w14:ligatures w14:val="none"/>
        </w:rPr>
        <w:t>R</w:t>
      </w:r>
      <w:r>
        <w:rPr>
          <w:rFonts w:ascii="Arial" w:eastAsia="Times New Roman" w:hAnsi="Arial" w:cs="Arial"/>
          <w:kern w:val="0"/>
          <w14:ligatures w14:val="none"/>
        </w:rPr>
        <w:t>2020A</w:t>
      </w:r>
      <w:r w:rsidR="00EB1400">
        <w:rPr>
          <w:rFonts w:ascii="Arial" w:eastAsia="Times New Roman" w:hAnsi="Arial" w:cs="Arial"/>
          <w:kern w:val="0"/>
          <w14:ligatures w14:val="none"/>
        </w:rPr>
        <w:t xml:space="preserve"> were used throughout. </w:t>
      </w:r>
    </w:p>
    <w:p w14:paraId="142BE87D" w14:textId="6D24582E" w:rsidR="00EB1400" w:rsidRDefault="00EB1400" w:rsidP="00EB1400">
      <w:pPr>
        <w:shd w:val="clear" w:color="auto" w:fill="FFFFFF"/>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t xml:space="preserve">RAVEN scripts, documentation, and tutorials are available at  </w:t>
      </w:r>
      <w:hyperlink r:id="rId6" w:history="1">
        <w:r w:rsidRPr="00330A95">
          <w:rPr>
            <w:rStyle w:val="Hyperlink"/>
            <w:rFonts w:ascii="Arial" w:eastAsia="Times New Roman" w:hAnsi="Arial" w:cs="Arial"/>
            <w:kern w:val="0"/>
            <w14:ligatures w14:val="none"/>
          </w:rPr>
          <w:t>h</w:t>
        </w:r>
        <w:r w:rsidRPr="00330A95">
          <w:rPr>
            <w:rStyle w:val="Hyperlink"/>
            <w:rFonts w:ascii="Arial" w:eastAsia="Times New Roman" w:hAnsi="Arial" w:cs="Arial"/>
            <w:kern w:val="0"/>
            <w14:ligatures w14:val="none"/>
          </w:rPr>
          <w:t>ttps://github.com/SysBioChalmers/RAVEN</w:t>
        </w:r>
      </w:hyperlink>
      <w:r>
        <w:rPr>
          <w:rFonts w:ascii="Arial" w:eastAsia="Times New Roman" w:hAnsi="Arial" w:cs="Arial"/>
          <w:kern w:val="0"/>
          <w14:ligatures w14:val="none"/>
        </w:rPr>
        <w:t xml:space="preserve">. </w:t>
      </w:r>
    </w:p>
    <w:p w14:paraId="1C37CA02" w14:textId="2820C434" w:rsidR="00EB1400" w:rsidRPr="00EB1400" w:rsidRDefault="00EB1400" w:rsidP="00EB1400">
      <w:pPr>
        <w:pStyle w:val="ListParagraph"/>
        <w:numPr>
          <w:ilvl w:val="0"/>
          <w:numId w:val="2"/>
        </w:numPr>
        <w:shd w:val="clear" w:color="auto" w:fill="FFFFFF"/>
        <w:spacing w:before="100" w:beforeAutospacing="1" w:after="100" w:afterAutospacing="1" w:line="240" w:lineRule="auto"/>
        <w:rPr>
          <w:rFonts w:ascii="Arial" w:eastAsia="Times New Roman" w:hAnsi="Arial" w:cs="Arial"/>
          <w:kern w:val="0"/>
          <w14:ligatures w14:val="none"/>
        </w:rPr>
      </w:pPr>
      <w:r w:rsidRPr="00EB1400">
        <w:rPr>
          <w:rFonts w:ascii="Arial" w:eastAsia="Times New Roman" w:hAnsi="Arial" w:cs="Arial"/>
          <w:kern w:val="0"/>
          <w14:ligatures w14:val="none"/>
        </w:rPr>
        <w:t xml:space="preserve">Protein coding sequences were derived from the complete </w:t>
      </w:r>
      <w:r w:rsidRPr="00EB1400">
        <w:rPr>
          <w:rFonts w:ascii="Arial" w:eastAsia="Times New Roman" w:hAnsi="Arial" w:cs="Arial"/>
          <w:i/>
          <w:iCs/>
          <w:kern w:val="0"/>
          <w14:ligatures w14:val="none"/>
        </w:rPr>
        <w:t>B. burgdorferi</w:t>
      </w:r>
      <w:r w:rsidRPr="00EB1400">
        <w:rPr>
          <w:rFonts w:ascii="Arial" w:eastAsia="Times New Roman" w:hAnsi="Arial" w:cs="Arial"/>
          <w:kern w:val="0"/>
          <w14:ligatures w14:val="none"/>
        </w:rPr>
        <w:t xml:space="preserve"> B31 genome (Genbank </w:t>
      </w:r>
      <w:r w:rsidRPr="00EB1400">
        <w:rPr>
          <w:rFonts w:ascii="Arial" w:hAnsi="Arial" w:cs="Arial"/>
        </w:rPr>
        <w:t>assembly GCF_000008695.2</w:t>
      </w:r>
      <w:r w:rsidRPr="00EB1400">
        <w:rPr>
          <w:rFonts w:ascii="Arial" w:hAnsi="Arial" w:cs="Arial"/>
        </w:rPr>
        <w:t xml:space="preserve">). </w:t>
      </w:r>
    </w:p>
    <w:p w14:paraId="51979E3E" w14:textId="55BC7DA4" w:rsidR="00EB1400" w:rsidRPr="00EB1400" w:rsidRDefault="00EB1400" w:rsidP="00EB1400">
      <w:pPr>
        <w:pStyle w:val="ListParagraph"/>
        <w:numPr>
          <w:ilvl w:val="0"/>
          <w:numId w:val="2"/>
        </w:numPr>
        <w:shd w:val="clear" w:color="auto" w:fill="FFFFFF"/>
        <w:spacing w:before="100" w:beforeAutospacing="1" w:after="100" w:afterAutospacing="1" w:line="240" w:lineRule="auto"/>
        <w:rPr>
          <w:rFonts w:ascii="Arial" w:eastAsia="Times New Roman" w:hAnsi="Arial" w:cs="Arial"/>
          <w:kern w:val="0"/>
          <w14:ligatures w14:val="none"/>
        </w:rPr>
      </w:pPr>
      <w:r>
        <w:rPr>
          <w:rFonts w:ascii="Arial" w:hAnsi="Arial" w:cs="Arial"/>
        </w:rPr>
        <w:t xml:space="preserve">Metacyc model was generated using </w:t>
      </w:r>
      <w:r w:rsidRPr="005157AC">
        <w:rPr>
          <w:rFonts w:ascii="Consolas" w:hAnsi="Consolas"/>
        </w:rPr>
        <w:t>getMetaCycModelForOrganism</w:t>
      </w:r>
    </w:p>
    <w:p w14:paraId="315E17B5" w14:textId="0F8AC368" w:rsidR="00EB1400" w:rsidRPr="00A72837" w:rsidRDefault="00EB1400" w:rsidP="00EB1400">
      <w:pPr>
        <w:pStyle w:val="ListParagraph"/>
        <w:numPr>
          <w:ilvl w:val="0"/>
          <w:numId w:val="2"/>
        </w:numPr>
        <w:shd w:val="clear" w:color="auto" w:fill="FFFFFF"/>
        <w:spacing w:before="100" w:beforeAutospacing="1" w:after="100" w:afterAutospacing="1" w:line="240" w:lineRule="auto"/>
        <w:rPr>
          <w:rFonts w:ascii="Arial" w:eastAsia="Times New Roman" w:hAnsi="Arial" w:cs="Arial"/>
          <w:kern w:val="0"/>
          <w14:ligatures w14:val="none"/>
        </w:rPr>
      </w:pPr>
      <w:r>
        <w:rPr>
          <w:rFonts w:ascii="Arial" w:hAnsi="Arial" w:cs="Arial"/>
        </w:rPr>
        <w:t xml:space="preserve">KEGG model was pulled directly from KEGG using </w:t>
      </w:r>
      <w:r w:rsidRPr="00A44121">
        <w:rPr>
          <w:rFonts w:ascii="Consolas" w:hAnsi="Consolas" w:cs="Courier New"/>
          <w:color w:val="000000"/>
        </w:rPr>
        <w:t>getKEGGModelForOrganism</w:t>
      </w:r>
      <w:r>
        <w:rPr>
          <w:rFonts w:ascii="Arial" w:hAnsi="Arial" w:cs="Arial"/>
          <w:color w:val="000000"/>
        </w:rPr>
        <w:t xml:space="preserve"> and the organism reference </w:t>
      </w:r>
      <w:r w:rsidRPr="00A72837">
        <w:rPr>
          <w:rFonts w:ascii="Arial" w:hAnsi="Arial" w:cs="Arial"/>
          <w:i/>
          <w:iCs/>
          <w:color w:val="000000"/>
        </w:rPr>
        <w:t>bbu</w:t>
      </w:r>
      <w:r>
        <w:rPr>
          <w:rFonts w:ascii="Arial" w:hAnsi="Arial" w:cs="Arial"/>
          <w:color w:val="000000"/>
        </w:rPr>
        <w:t>.</w:t>
      </w:r>
    </w:p>
    <w:p w14:paraId="684F8AC5" w14:textId="2E849F6D" w:rsidR="00A72837" w:rsidRDefault="00A72837" w:rsidP="00A72837">
      <w:pPr>
        <w:shd w:val="clear" w:color="auto" w:fill="FFFFFF"/>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t>RAVEN 2.5.3 includes Hidden Markov Models trained to either prokaryotic or eukaryotic protein coding sequences. The prokaryotic models are available with different redundancy cutoffs: 50%, 90%, and 100%. All three models were used to generate de novo genome annotations.</w:t>
      </w:r>
    </w:p>
    <w:p w14:paraId="57A1D20A" w14:textId="400F4368" w:rsidR="00A72837" w:rsidRPr="00A72837" w:rsidRDefault="00A72837" w:rsidP="00A72837">
      <w:pPr>
        <w:pStyle w:val="ListParagraph"/>
        <w:numPr>
          <w:ilvl w:val="0"/>
          <w:numId w:val="3"/>
        </w:numPr>
        <w:shd w:val="clear" w:color="auto" w:fill="FFFFFF"/>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t xml:space="preserve">Three models were generated using </w:t>
      </w:r>
      <w:r w:rsidRPr="00A44121">
        <w:rPr>
          <w:rFonts w:ascii="Consolas" w:hAnsi="Consolas" w:cs="Courier New"/>
          <w:color w:val="000000"/>
        </w:rPr>
        <w:t>getKEGGModelForOrganism</w:t>
      </w:r>
      <w:r>
        <w:rPr>
          <w:rFonts w:ascii="Arial" w:hAnsi="Arial" w:cs="Arial"/>
          <w:color w:val="000000"/>
        </w:rPr>
        <w:t xml:space="preserve"> </w:t>
      </w:r>
    </w:p>
    <w:p w14:paraId="3A8AF1C1" w14:textId="24CAFCAB" w:rsidR="00A72837" w:rsidRPr="00A72837" w:rsidRDefault="00A72837" w:rsidP="00A72837">
      <w:pPr>
        <w:pStyle w:val="ListParagraph"/>
        <w:numPr>
          <w:ilvl w:val="0"/>
          <w:numId w:val="3"/>
        </w:numPr>
        <w:shd w:val="clear" w:color="auto" w:fill="FFFFFF"/>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t xml:space="preserve">All three HMM models were merged using </w:t>
      </w:r>
      <w:r w:rsidRPr="00134E0B">
        <w:rPr>
          <w:rFonts w:ascii="Consolas" w:hAnsi="Consolas"/>
        </w:rPr>
        <w:t>mergeModels</w:t>
      </w:r>
      <w:r w:rsidRPr="00A72837">
        <w:rPr>
          <w:rFonts w:ascii="Arial" w:hAnsi="Arial" w:cs="Arial"/>
        </w:rPr>
        <w:t>.</w:t>
      </w:r>
    </w:p>
    <w:p w14:paraId="71CA748E" w14:textId="494D1984" w:rsidR="00A72837" w:rsidRPr="00A72837" w:rsidRDefault="00A72837" w:rsidP="00A72837">
      <w:pPr>
        <w:pStyle w:val="ListParagraph"/>
        <w:numPr>
          <w:ilvl w:val="0"/>
          <w:numId w:val="3"/>
        </w:numPr>
        <w:shd w:val="clear" w:color="auto" w:fill="FFFFFF"/>
        <w:spacing w:before="100" w:beforeAutospacing="1" w:after="100" w:afterAutospacing="1" w:line="240" w:lineRule="auto"/>
        <w:rPr>
          <w:rFonts w:ascii="Arial" w:eastAsia="Times New Roman" w:hAnsi="Arial" w:cs="Arial"/>
          <w:kern w:val="0"/>
          <w14:ligatures w14:val="none"/>
        </w:rPr>
      </w:pPr>
      <w:r>
        <w:rPr>
          <w:rFonts w:ascii="Arial" w:hAnsi="Arial" w:cs="Arial"/>
        </w:rPr>
        <w:t xml:space="preserve">The HMM and KEGG models were combined using </w:t>
      </w:r>
      <w:r w:rsidRPr="00134E0B">
        <w:rPr>
          <w:rFonts w:ascii="Consolas" w:hAnsi="Consolas"/>
        </w:rPr>
        <w:t>mergeModels</w:t>
      </w:r>
    </w:p>
    <w:p w14:paraId="20D0EC3D" w14:textId="67634CC0" w:rsidR="00A72837" w:rsidRPr="00A72837" w:rsidRDefault="00A72837" w:rsidP="00A72837">
      <w:pPr>
        <w:pStyle w:val="ListParagraph"/>
        <w:numPr>
          <w:ilvl w:val="0"/>
          <w:numId w:val="3"/>
        </w:numPr>
        <w:shd w:val="clear" w:color="auto" w:fill="FFFFFF"/>
        <w:spacing w:before="100" w:beforeAutospacing="1" w:after="100" w:afterAutospacing="1" w:line="240" w:lineRule="auto"/>
        <w:rPr>
          <w:rFonts w:ascii="Arial" w:eastAsia="Times New Roman" w:hAnsi="Arial" w:cs="Arial"/>
          <w:kern w:val="0"/>
          <w14:ligatures w14:val="none"/>
        </w:rPr>
      </w:pPr>
      <w:r>
        <w:rPr>
          <w:rFonts w:ascii="Arial" w:hAnsi="Arial" w:cs="Arial"/>
        </w:rPr>
        <w:t xml:space="preserve">The resulting HMM-KEGG model was combined with the previous Metacyc model using </w:t>
      </w:r>
      <w:r w:rsidRPr="006B316A">
        <w:rPr>
          <w:rFonts w:ascii="Consolas" w:hAnsi="Consolas"/>
        </w:rPr>
        <w:t>combineMetaCycKEGGModels</w:t>
      </w:r>
    </w:p>
    <w:p w14:paraId="1C569481" w14:textId="77777777" w:rsidR="008C3FF1" w:rsidRDefault="008C3FF1" w:rsidP="00A72837">
      <w:pPr>
        <w:shd w:val="clear" w:color="auto" w:fill="FFFFFF"/>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t>Note that a replication of this might not produce an exact copy of iBB151. This is because KEGG and Metacyc have been updated since I ran these in summer 2020, and HMMs have an element of machine learning which can result in slightly different results each time. Also, the draft model is a mess and has to be ‘curated’ before it’s usable.</w:t>
      </w:r>
    </w:p>
    <w:p w14:paraId="638FCB0B" w14:textId="408BD75B" w:rsidR="00A72837" w:rsidRDefault="00A72837" w:rsidP="00A72837">
      <w:pPr>
        <w:shd w:val="clear" w:color="auto" w:fill="FFFFFF"/>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t>A lot of manual curation followed to turn the combined draft model into iBB151. The curation steps included</w:t>
      </w:r>
    </w:p>
    <w:p w14:paraId="29880B95" w14:textId="4A706AD1" w:rsidR="00A72837" w:rsidRDefault="00A72837" w:rsidP="00A72837">
      <w:pPr>
        <w:pStyle w:val="ListParagraph"/>
        <w:numPr>
          <w:ilvl w:val="0"/>
          <w:numId w:val="4"/>
        </w:numPr>
        <w:shd w:val="clear" w:color="auto" w:fill="FFFFFF"/>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t>Addition of pseudoreactions including the biomass reaction</w:t>
      </w:r>
    </w:p>
    <w:p w14:paraId="0D4E3EB3" w14:textId="1DD9637A" w:rsidR="00A72837" w:rsidRDefault="003B06BB" w:rsidP="00A72837">
      <w:pPr>
        <w:pStyle w:val="ListParagraph"/>
        <w:numPr>
          <w:ilvl w:val="0"/>
          <w:numId w:val="4"/>
        </w:numPr>
        <w:shd w:val="clear" w:color="auto" w:fill="FFFFFF"/>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t>Addition of reactions based on available literature</w:t>
      </w:r>
    </w:p>
    <w:p w14:paraId="5DEC5A4F" w14:textId="124B9D68" w:rsidR="003B06BB" w:rsidRDefault="003B06BB" w:rsidP="00A72837">
      <w:pPr>
        <w:pStyle w:val="ListParagraph"/>
        <w:numPr>
          <w:ilvl w:val="0"/>
          <w:numId w:val="4"/>
        </w:numPr>
        <w:shd w:val="clear" w:color="auto" w:fill="FFFFFF"/>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t xml:space="preserve">Provision of extracellular metabolites and transport reactions. These were added to remove waste and provide reagents to the point that every metabolic reaction was able to carry flux. This was confirmed using the commands </w:t>
      </w:r>
      <w:r w:rsidRPr="00177471">
        <w:rPr>
          <w:rFonts w:ascii="Consolas" w:hAnsi="Consolas"/>
        </w:rPr>
        <w:t>checkProduc</w:t>
      </w:r>
      <w:r w:rsidR="008C3FF1">
        <w:rPr>
          <w:rFonts w:ascii="Consolas" w:hAnsi="Consolas"/>
        </w:rPr>
        <w:t>tion</w:t>
      </w:r>
      <w:r>
        <w:rPr>
          <w:rFonts w:ascii="Arial" w:hAnsi="Arial" w:cs="Arial"/>
        </w:rPr>
        <w:t xml:space="preserve"> and</w:t>
      </w:r>
      <w:r>
        <w:rPr>
          <w:rFonts w:ascii="Arial" w:eastAsia="Times New Roman" w:hAnsi="Arial" w:cs="Arial"/>
          <w:kern w:val="0"/>
          <w14:ligatures w14:val="none"/>
        </w:rPr>
        <w:t xml:space="preserve"> </w:t>
      </w:r>
      <w:r w:rsidR="00177471" w:rsidRPr="00177471">
        <w:rPr>
          <w:rFonts w:ascii="Consolas" w:eastAsia="Times New Roman" w:hAnsi="Consolas" w:cs="Arial"/>
          <w:kern w:val="0"/>
          <w14:ligatures w14:val="none"/>
        </w:rPr>
        <w:t>hasFlux</w:t>
      </w:r>
    </w:p>
    <w:p w14:paraId="73DB40A7" w14:textId="6FAFDEAB" w:rsidR="008C3FF1" w:rsidRDefault="008C3FF1" w:rsidP="000B6403">
      <w:pPr>
        <w:pStyle w:val="ListParagraph"/>
        <w:numPr>
          <w:ilvl w:val="0"/>
          <w:numId w:val="4"/>
        </w:numPr>
        <w:shd w:val="clear" w:color="auto" w:fill="FFFFFF"/>
        <w:spacing w:before="100" w:beforeAutospacing="1" w:after="100" w:afterAutospacing="1" w:line="240" w:lineRule="auto"/>
        <w:rPr>
          <w:rFonts w:ascii="Arial" w:eastAsia="Times New Roman" w:hAnsi="Arial" w:cs="Arial"/>
          <w:kern w:val="0"/>
          <w14:ligatures w14:val="none"/>
        </w:rPr>
      </w:pPr>
      <w:r w:rsidRPr="008C3FF1">
        <w:rPr>
          <w:rFonts w:ascii="Arial" w:eastAsia="Times New Roman" w:hAnsi="Arial" w:cs="Arial"/>
          <w:kern w:val="0"/>
          <w14:ligatures w14:val="none"/>
        </w:rPr>
        <w:t xml:space="preserve">Generally tidying up </w:t>
      </w:r>
      <w:r>
        <w:rPr>
          <w:rFonts w:ascii="Arial" w:eastAsia="Times New Roman" w:hAnsi="Arial" w:cs="Arial"/>
          <w:kern w:val="0"/>
          <w14:ligatures w14:val="none"/>
        </w:rPr>
        <w:t>names and formatting, which are different across the various databases used.</w:t>
      </w:r>
    </w:p>
    <w:p w14:paraId="1E029355" w14:textId="77777777" w:rsidR="004E6F43" w:rsidRDefault="004E6F43" w:rsidP="004E6F43">
      <w:pPr>
        <w:shd w:val="clear" w:color="auto" w:fill="FFFFFF"/>
        <w:spacing w:before="100" w:beforeAutospacing="1" w:after="100" w:afterAutospacing="1" w:line="240" w:lineRule="auto"/>
        <w:rPr>
          <w:rFonts w:ascii="Arial" w:eastAsia="Times New Roman" w:hAnsi="Arial" w:cs="Arial"/>
          <w:kern w:val="0"/>
          <w14:ligatures w14:val="none"/>
        </w:rPr>
      </w:pPr>
    </w:p>
    <w:p w14:paraId="39D43754" w14:textId="77777777" w:rsidR="004E6F43" w:rsidRDefault="004E6F43" w:rsidP="004E6F43">
      <w:pPr>
        <w:shd w:val="clear" w:color="auto" w:fill="FFFFFF"/>
        <w:spacing w:before="100" w:beforeAutospacing="1" w:after="100" w:afterAutospacing="1" w:line="240" w:lineRule="auto"/>
        <w:rPr>
          <w:rFonts w:ascii="Arial" w:eastAsia="Times New Roman" w:hAnsi="Arial" w:cs="Arial"/>
          <w:kern w:val="0"/>
          <w14:ligatures w14:val="none"/>
        </w:rPr>
      </w:pPr>
    </w:p>
    <w:p w14:paraId="5754D22D" w14:textId="77777777" w:rsidR="004E6F43" w:rsidRDefault="004E6F43" w:rsidP="004E6F43">
      <w:pPr>
        <w:shd w:val="clear" w:color="auto" w:fill="FFFFFF"/>
        <w:spacing w:before="100" w:beforeAutospacing="1" w:after="100" w:afterAutospacing="1" w:line="240" w:lineRule="auto"/>
        <w:rPr>
          <w:rFonts w:ascii="Arial" w:eastAsia="Times New Roman" w:hAnsi="Arial" w:cs="Arial"/>
          <w:kern w:val="0"/>
          <w14:ligatures w14:val="none"/>
        </w:rPr>
      </w:pPr>
    </w:p>
    <w:p w14:paraId="3C6A2ED0" w14:textId="77777777" w:rsidR="004E6F43" w:rsidRDefault="004E6F43" w:rsidP="004E6F43">
      <w:pPr>
        <w:shd w:val="clear" w:color="auto" w:fill="FFFFFF"/>
        <w:spacing w:before="100" w:beforeAutospacing="1" w:after="100" w:afterAutospacing="1" w:line="240" w:lineRule="auto"/>
        <w:rPr>
          <w:rFonts w:ascii="Arial" w:eastAsia="Times New Roman" w:hAnsi="Arial" w:cs="Arial"/>
          <w:kern w:val="0"/>
          <w14:ligatures w14:val="none"/>
        </w:rPr>
      </w:pPr>
    </w:p>
    <w:p w14:paraId="257A4F21" w14:textId="16739E5D" w:rsidR="004E6F43" w:rsidRPr="008006A9" w:rsidRDefault="004E6F43" w:rsidP="004E6F43">
      <w:pPr>
        <w:shd w:val="clear" w:color="auto" w:fill="FFFFFF"/>
        <w:spacing w:before="100" w:beforeAutospacing="1" w:after="100" w:afterAutospacing="1" w:line="240" w:lineRule="auto"/>
        <w:rPr>
          <w:rFonts w:ascii="Arial" w:eastAsia="Times New Roman" w:hAnsi="Arial" w:cs="Arial"/>
          <w:b/>
          <w:bCs/>
          <w:kern w:val="0"/>
          <w14:ligatures w14:val="none"/>
        </w:rPr>
      </w:pPr>
      <w:r w:rsidRPr="008006A9">
        <w:rPr>
          <w:rFonts w:ascii="Arial" w:eastAsia="Times New Roman" w:hAnsi="Arial" w:cs="Arial"/>
          <w:b/>
          <w:bCs/>
          <w:kern w:val="0"/>
          <w14:ligatures w14:val="none"/>
        </w:rPr>
        <w:lastRenderedPageBreak/>
        <w:t>Analysis of iBB151</w:t>
      </w:r>
    </w:p>
    <w:p w14:paraId="4762F580" w14:textId="14EED882" w:rsidR="004E6F43" w:rsidRDefault="004E6F43" w:rsidP="004E6F43">
      <w:pPr>
        <w:shd w:val="clear" w:color="auto" w:fill="FFFFFF"/>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t xml:space="preserve">Analysis was performed with COBRA. As with RAVEN above, COBRA was previously published  at </w:t>
      </w:r>
      <w:hyperlink r:id="rId7" w:history="1">
        <w:r w:rsidRPr="00330A95">
          <w:rPr>
            <w:rStyle w:val="Hyperlink"/>
            <w:rFonts w:ascii="Arial" w:eastAsia="Times New Roman" w:hAnsi="Arial" w:cs="Arial"/>
            <w:kern w:val="0"/>
            <w14:ligatures w14:val="none"/>
          </w:rPr>
          <w:t>https://doi.org/10.1038/s41596-018-0098-2</w:t>
        </w:r>
      </w:hyperlink>
      <w:r>
        <w:rPr>
          <w:rFonts w:ascii="Arial" w:eastAsia="Times New Roman" w:hAnsi="Arial" w:cs="Arial"/>
          <w:kern w:val="0"/>
          <w14:ligatures w14:val="none"/>
        </w:rPr>
        <w:t xml:space="preserve">. Scripts and documentation are available at </w:t>
      </w:r>
      <w:hyperlink r:id="rId8" w:history="1">
        <w:r w:rsidRPr="00330A95">
          <w:rPr>
            <w:rStyle w:val="Hyperlink"/>
            <w:rFonts w:ascii="Arial" w:eastAsia="Times New Roman" w:hAnsi="Arial" w:cs="Arial"/>
            <w:kern w:val="0"/>
            <w14:ligatures w14:val="none"/>
          </w:rPr>
          <w:t>https://github.com/opencobra/cobratoolbox/</w:t>
        </w:r>
      </w:hyperlink>
      <w:r>
        <w:rPr>
          <w:rFonts w:ascii="Arial" w:eastAsia="Times New Roman" w:hAnsi="Arial" w:cs="Arial"/>
          <w:kern w:val="0"/>
          <w14:ligatures w14:val="none"/>
        </w:rPr>
        <w:t xml:space="preserve">. </w:t>
      </w:r>
      <w:r w:rsidR="008006A9">
        <w:rPr>
          <w:rFonts w:ascii="Arial" w:eastAsia="Times New Roman" w:hAnsi="Arial" w:cs="Arial"/>
          <w:kern w:val="0"/>
          <w14:ligatures w14:val="none"/>
        </w:rPr>
        <w:t xml:space="preserve">The COBRA Toolbox v3.0 was used in MATLAB R202A. </w:t>
      </w:r>
    </w:p>
    <w:p w14:paraId="2941BDD9" w14:textId="4D4D49D3" w:rsidR="008006A9" w:rsidRPr="008006A9" w:rsidRDefault="008006A9" w:rsidP="008006A9">
      <w:pPr>
        <w:pStyle w:val="ListParagraph"/>
        <w:numPr>
          <w:ilvl w:val="0"/>
          <w:numId w:val="5"/>
        </w:numPr>
        <w:shd w:val="clear" w:color="auto" w:fill="FFFFFF"/>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t xml:space="preserve">iBB151 can be imported using </w:t>
      </w:r>
      <w:r w:rsidRPr="008006A9">
        <w:rPr>
          <w:rFonts w:ascii="Consolas" w:hAnsi="Consolas"/>
        </w:rPr>
        <w:t>readCbModel</w:t>
      </w:r>
    </w:p>
    <w:p w14:paraId="3FBE29D7" w14:textId="58365214" w:rsidR="008006A9" w:rsidRPr="008006A9" w:rsidRDefault="008006A9" w:rsidP="008006A9">
      <w:pPr>
        <w:pStyle w:val="ListParagraph"/>
        <w:numPr>
          <w:ilvl w:val="0"/>
          <w:numId w:val="5"/>
        </w:numPr>
        <w:shd w:val="clear" w:color="auto" w:fill="FFFFFF"/>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t xml:space="preserve">The model can be solved for biomass production using </w:t>
      </w:r>
      <w:r w:rsidRPr="008006A9">
        <w:rPr>
          <w:rFonts w:ascii="Consolas" w:hAnsi="Consolas"/>
        </w:rPr>
        <w:t>optimizeCbModel</w:t>
      </w:r>
    </w:p>
    <w:p w14:paraId="68A7937C" w14:textId="531C20A2" w:rsidR="008006A9" w:rsidRDefault="008006A9" w:rsidP="008006A9">
      <w:pPr>
        <w:pStyle w:val="ListParagraph"/>
        <w:numPr>
          <w:ilvl w:val="0"/>
          <w:numId w:val="5"/>
        </w:numPr>
        <w:shd w:val="clear" w:color="auto" w:fill="FFFFFF"/>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t xml:space="preserve">Essential reactions are identified using </w:t>
      </w:r>
      <w:r w:rsidRPr="008006A9">
        <w:rPr>
          <w:rFonts w:ascii="Arial" w:eastAsia="Times New Roman" w:hAnsi="Arial" w:cs="Arial"/>
          <w:i/>
          <w:iCs/>
          <w:kern w:val="0"/>
          <w14:ligatures w14:val="none"/>
        </w:rPr>
        <w:t>singleRxnDeletion</w:t>
      </w:r>
    </w:p>
    <w:p w14:paraId="5EAEBCC2" w14:textId="7E269AAD" w:rsidR="008006A9" w:rsidRDefault="008006A9" w:rsidP="008006A9">
      <w:pPr>
        <w:pStyle w:val="ListParagraph"/>
        <w:numPr>
          <w:ilvl w:val="0"/>
          <w:numId w:val="5"/>
        </w:numPr>
        <w:shd w:val="clear" w:color="auto" w:fill="FFFFFF"/>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t xml:space="preserve">Essential genes are identified using </w:t>
      </w:r>
      <w:r w:rsidRPr="008006A9">
        <w:rPr>
          <w:rFonts w:ascii="Arial" w:eastAsia="Times New Roman" w:hAnsi="Arial" w:cs="Arial"/>
          <w:i/>
          <w:iCs/>
          <w:kern w:val="0"/>
          <w14:ligatures w14:val="none"/>
        </w:rPr>
        <w:t>singleGeneDeletion</w:t>
      </w:r>
    </w:p>
    <w:p w14:paraId="31C66305" w14:textId="27B60BB1" w:rsidR="008006A9" w:rsidRPr="008006A9" w:rsidRDefault="008006A9" w:rsidP="008006A9">
      <w:pPr>
        <w:pStyle w:val="ListParagraph"/>
        <w:numPr>
          <w:ilvl w:val="0"/>
          <w:numId w:val="5"/>
        </w:numPr>
        <w:shd w:val="clear" w:color="auto" w:fill="FFFFFF"/>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t xml:space="preserve">Lethal double mutants are identified using </w:t>
      </w:r>
      <w:r w:rsidRPr="008006A9">
        <w:rPr>
          <w:rFonts w:ascii="Arial" w:eastAsia="Times New Roman" w:hAnsi="Arial" w:cs="Arial"/>
          <w:i/>
          <w:iCs/>
          <w:kern w:val="0"/>
          <w14:ligatures w14:val="none"/>
        </w:rPr>
        <w:t>doubleGeneDeletion</w:t>
      </w:r>
    </w:p>
    <w:p w14:paraId="16386196" w14:textId="7A9118A7" w:rsidR="008006A9" w:rsidRDefault="008006A9" w:rsidP="008006A9">
      <w:pPr>
        <w:pStyle w:val="ListParagraph"/>
        <w:numPr>
          <w:ilvl w:val="0"/>
          <w:numId w:val="5"/>
        </w:numPr>
        <w:shd w:val="clear" w:color="auto" w:fill="FFFFFF"/>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t>The outputs from each of these yield a growth rate and a growth ratio (growth rate of mutant/growth rate of wild type)</w:t>
      </w:r>
    </w:p>
    <w:p w14:paraId="5CC60284" w14:textId="557ACC07" w:rsidR="008006A9" w:rsidRPr="008006A9" w:rsidRDefault="008006A9" w:rsidP="008006A9">
      <w:pPr>
        <w:pStyle w:val="ListParagraph"/>
        <w:numPr>
          <w:ilvl w:val="0"/>
          <w:numId w:val="6"/>
        </w:numPr>
        <w:rPr>
          <w:rFonts w:ascii="Arial" w:eastAsia="Times New Roman" w:hAnsi="Arial" w:cs="Arial"/>
          <w:kern w:val="0"/>
          <w14:ligatures w14:val="none"/>
        </w:rPr>
      </w:pPr>
      <w:r w:rsidRPr="008006A9">
        <w:rPr>
          <w:rFonts w:ascii="Arial" w:eastAsia="Times New Roman" w:hAnsi="Arial" w:cs="Arial"/>
          <w:kern w:val="0"/>
          <w14:ligatures w14:val="none"/>
        </w:rPr>
        <w:t xml:space="preserve">The essential reactions of </w:t>
      </w:r>
      <w:r w:rsidRPr="008006A9">
        <w:rPr>
          <w:rFonts w:ascii="Arial" w:eastAsia="Times New Roman" w:hAnsi="Arial" w:cs="Arial"/>
          <w:i/>
          <w:iCs/>
          <w:kern w:val="0"/>
          <w14:ligatures w14:val="none"/>
        </w:rPr>
        <w:t>B. burgdorferi</w:t>
      </w:r>
      <w:r w:rsidRPr="008006A9">
        <w:rPr>
          <w:rFonts w:ascii="Arial" w:eastAsia="Times New Roman" w:hAnsi="Arial" w:cs="Arial"/>
          <w:kern w:val="0"/>
          <w14:ligatures w14:val="none"/>
        </w:rPr>
        <w:t xml:space="preserve"> were compared to those of </w:t>
      </w:r>
      <w:r w:rsidRPr="008006A9">
        <w:rPr>
          <w:rFonts w:ascii="Arial" w:eastAsia="Times New Roman" w:hAnsi="Arial" w:cs="Arial"/>
          <w:i/>
          <w:iCs/>
          <w:kern w:val="0"/>
          <w14:ligatures w14:val="none"/>
        </w:rPr>
        <w:t>E. coli</w:t>
      </w:r>
      <w:r w:rsidRPr="008006A9">
        <w:rPr>
          <w:rFonts w:ascii="Arial" w:eastAsia="Times New Roman" w:hAnsi="Arial" w:cs="Arial"/>
          <w:kern w:val="0"/>
          <w14:ligatures w14:val="none"/>
        </w:rPr>
        <w:t xml:space="preserve"> and </w:t>
      </w:r>
      <w:r w:rsidRPr="008006A9">
        <w:rPr>
          <w:rFonts w:ascii="Arial" w:eastAsia="Times New Roman" w:hAnsi="Arial" w:cs="Arial"/>
          <w:i/>
          <w:iCs/>
          <w:kern w:val="0"/>
          <w14:ligatures w14:val="none"/>
        </w:rPr>
        <w:t>S. aureus</w:t>
      </w:r>
      <w:r w:rsidRPr="008006A9">
        <w:rPr>
          <w:rFonts w:ascii="Arial" w:eastAsia="Times New Roman" w:hAnsi="Arial" w:cs="Arial"/>
          <w:kern w:val="0"/>
          <w14:ligatures w14:val="none"/>
        </w:rPr>
        <w:t xml:space="preserve"> to identify unique essential genes. For this, previously published reference models iML1515 (</w:t>
      </w:r>
      <w:hyperlink r:id="rId9" w:history="1">
        <w:r w:rsidRPr="00330A95">
          <w:rPr>
            <w:rStyle w:val="Hyperlink"/>
            <w:rFonts w:ascii="Arial" w:eastAsia="Times New Roman" w:hAnsi="Arial" w:cs="Arial"/>
            <w:kern w:val="0"/>
            <w14:ligatures w14:val="none"/>
          </w:rPr>
          <w:t>https://doi.org/10.1038/nbt.3956</w:t>
        </w:r>
      </w:hyperlink>
      <w:r w:rsidRPr="008006A9">
        <w:rPr>
          <w:rFonts w:ascii="Arial" w:eastAsia="Times New Roman" w:hAnsi="Arial" w:cs="Arial"/>
          <w:kern w:val="0"/>
          <w14:ligatures w14:val="none"/>
        </w:rPr>
        <w:t>)</w:t>
      </w:r>
      <w:r>
        <w:rPr>
          <w:rFonts w:ascii="Arial" w:eastAsia="Times New Roman" w:hAnsi="Arial" w:cs="Arial"/>
          <w:kern w:val="0"/>
          <w14:ligatures w14:val="none"/>
        </w:rPr>
        <w:t xml:space="preserve"> </w:t>
      </w:r>
      <w:r w:rsidRPr="008006A9">
        <w:rPr>
          <w:rFonts w:ascii="Arial" w:eastAsia="Times New Roman" w:hAnsi="Arial" w:cs="Arial"/>
          <w:kern w:val="0"/>
          <w14:ligatures w14:val="none"/>
        </w:rPr>
        <w:t xml:space="preserve">and iYS854 </w:t>
      </w:r>
      <w:r>
        <w:rPr>
          <w:rFonts w:ascii="Arial" w:eastAsia="Times New Roman" w:hAnsi="Arial" w:cs="Arial"/>
          <w:kern w:val="0"/>
          <w14:ligatures w14:val="none"/>
        </w:rPr>
        <w:t xml:space="preserve"> (</w:t>
      </w:r>
      <w:hyperlink r:id="rId10" w:history="1">
        <w:r w:rsidRPr="008006A9">
          <w:rPr>
            <w:rStyle w:val="Hyperlink"/>
            <w:rFonts w:ascii="Arial" w:eastAsia="Times New Roman" w:hAnsi="Arial" w:cs="Arial"/>
            <w:kern w:val="0"/>
            <w14:ligatures w14:val="none"/>
          </w:rPr>
          <w:t>https://doi.org/10.1371/journal.pcbi.1006644</w:t>
        </w:r>
      </w:hyperlink>
      <w:r>
        <w:rPr>
          <w:rFonts w:ascii="Arial" w:eastAsia="Times New Roman" w:hAnsi="Arial" w:cs="Arial"/>
          <w:kern w:val="0"/>
          <w14:ligatures w14:val="none"/>
        </w:rPr>
        <w:t>) were used, analyzed as above</w:t>
      </w:r>
    </w:p>
    <w:sectPr w:rsidR="008006A9" w:rsidRPr="00800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60261"/>
    <w:multiLevelType w:val="multilevel"/>
    <w:tmpl w:val="E0AC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A6478"/>
    <w:multiLevelType w:val="hybridMultilevel"/>
    <w:tmpl w:val="1E8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4789A"/>
    <w:multiLevelType w:val="hybridMultilevel"/>
    <w:tmpl w:val="FAD6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500AD"/>
    <w:multiLevelType w:val="multilevel"/>
    <w:tmpl w:val="43D2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673BA"/>
    <w:multiLevelType w:val="hybridMultilevel"/>
    <w:tmpl w:val="0830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1B08B9"/>
    <w:multiLevelType w:val="hybridMultilevel"/>
    <w:tmpl w:val="C7046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8117314">
    <w:abstractNumId w:val="0"/>
  </w:num>
  <w:num w:numId="2" w16cid:durableId="1263566652">
    <w:abstractNumId w:val="5"/>
  </w:num>
  <w:num w:numId="3" w16cid:durableId="940181908">
    <w:abstractNumId w:val="1"/>
  </w:num>
  <w:num w:numId="4" w16cid:durableId="1951744192">
    <w:abstractNumId w:val="4"/>
  </w:num>
  <w:num w:numId="5" w16cid:durableId="1385787891">
    <w:abstractNumId w:val="2"/>
  </w:num>
  <w:num w:numId="6" w16cid:durableId="193464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11"/>
    <w:rsid w:val="000069C8"/>
    <w:rsid w:val="00114887"/>
    <w:rsid w:val="00177471"/>
    <w:rsid w:val="00270345"/>
    <w:rsid w:val="003B06BB"/>
    <w:rsid w:val="004E6F43"/>
    <w:rsid w:val="00681A11"/>
    <w:rsid w:val="008006A9"/>
    <w:rsid w:val="008C3FF1"/>
    <w:rsid w:val="00A72837"/>
    <w:rsid w:val="00E0328E"/>
    <w:rsid w:val="00EB1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9793"/>
  <w15:chartTrackingRefBased/>
  <w15:docId w15:val="{950DA8B0-2008-4802-AC71-D8530ACE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A11"/>
    <w:rPr>
      <w:color w:val="0000FF"/>
      <w:u w:val="single"/>
    </w:rPr>
  </w:style>
  <w:style w:type="character" w:styleId="UnresolvedMention">
    <w:name w:val="Unresolved Mention"/>
    <w:basedOn w:val="DefaultParagraphFont"/>
    <w:uiPriority w:val="99"/>
    <w:semiHidden/>
    <w:unhideWhenUsed/>
    <w:rsid w:val="00EB1400"/>
    <w:rPr>
      <w:color w:val="605E5C"/>
      <w:shd w:val="clear" w:color="auto" w:fill="E1DFDD"/>
    </w:rPr>
  </w:style>
  <w:style w:type="paragraph" w:styleId="ListParagraph">
    <w:name w:val="List Paragraph"/>
    <w:basedOn w:val="Normal"/>
    <w:uiPriority w:val="34"/>
    <w:qFormat/>
    <w:rsid w:val="00EB1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75587">
      <w:bodyDiv w:val="1"/>
      <w:marLeft w:val="0"/>
      <w:marRight w:val="0"/>
      <w:marTop w:val="0"/>
      <w:marBottom w:val="0"/>
      <w:divBdr>
        <w:top w:val="none" w:sz="0" w:space="0" w:color="auto"/>
        <w:left w:val="none" w:sz="0" w:space="0" w:color="auto"/>
        <w:bottom w:val="none" w:sz="0" w:space="0" w:color="auto"/>
        <w:right w:val="none" w:sz="0" w:space="0" w:color="auto"/>
      </w:divBdr>
    </w:div>
    <w:div w:id="174170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cobra/cobratoolbox/" TargetMode="External"/><Relationship Id="rId3" Type="http://schemas.openxmlformats.org/officeDocument/2006/relationships/settings" Target="settings.xml"/><Relationship Id="rId7" Type="http://schemas.openxmlformats.org/officeDocument/2006/relationships/hyperlink" Target="https://doi.org/10.1038/s41596-018-0098-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ysBioChalmers/RAVEN" TargetMode="External"/><Relationship Id="rId11" Type="http://schemas.openxmlformats.org/officeDocument/2006/relationships/fontTable" Target="fontTable.xml"/><Relationship Id="rId5" Type="http://schemas.openxmlformats.org/officeDocument/2006/relationships/hyperlink" Target="https://doi.org/10.1371/journal.pcbi.1006541" TargetMode="External"/><Relationship Id="rId10" Type="http://schemas.openxmlformats.org/officeDocument/2006/relationships/hyperlink" Target="https://doi.org/10.1371/journal.pcbi.1006644" TargetMode="External"/><Relationship Id="rId4" Type="http://schemas.openxmlformats.org/officeDocument/2006/relationships/webSettings" Target="webSettings.xml"/><Relationship Id="rId9" Type="http://schemas.openxmlformats.org/officeDocument/2006/relationships/hyperlink" Target="https://doi.org/10.1038/nbt.39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Gwynne, Peter John</dc:creator>
  <cp:keywords/>
  <dc:description/>
  <cp:lastModifiedBy>Gwynne, Peter John</cp:lastModifiedBy>
  <cp:revision>3</cp:revision>
  <dcterms:created xsi:type="dcterms:W3CDTF">2023-08-06T21:23:00Z</dcterms:created>
  <dcterms:modified xsi:type="dcterms:W3CDTF">2023-08-06T22:35:00Z</dcterms:modified>
</cp:coreProperties>
</file>