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774DD" w14:textId="77777777" w:rsidR="009B405D" w:rsidRPr="00E51D48" w:rsidRDefault="009B405D" w:rsidP="009B405D">
      <w:pPr>
        <w:rPr>
          <w:rFonts w:ascii="宋体" w:hAnsi="宋体" w:hint="eastAsia"/>
          <w:szCs w:val="24"/>
        </w:rPr>
      </w:pPr>
      <w:r w:rsidRPr="00E51D48">
        <w:rPr>
          <w:rFonts w:ascii="宋体" w:hAnsi="宋体" w:hint="eastAsia"/>
          <w:szCs w:val="24"/>
        </w:rPr>
        <w:t>第三章 研究设计与数据说明</w:t>
      </w:r>
    </w:p>
    <w:p w14:paraId="60CB4076" w14:textId="096C93E0" w:rsidR="009B405D" w:rsidRPr="00E51D48" w:rsidRDefault="009B405D" w:rsidP="009B405D">
      <w:pPr>
        <w:ind w:firstLineChars="200" w:firstLine="480"/>
        <w:rPr>
          <w:rFonts w:ascii="宋体" w:hAnsi="宋体" w:hint="eastAsia"/>
          <w:szCs w:val="24"/>
        </w:rPr>
      </w:pPr>
      <w:r w:rsidRPr="00E51D48">
        <w:rPr>
          <w:rFonts w:ascii="宋体" w:hAnsi="宋体" w:hint="eastAsia"/>
          <w:szCs w:val="24"/>
        </w:rPr>
        <w:t xml:space="preserve">　3.1 变量选取与定义</w:t>
      </w:r>
    </w:p>
    <w:p w14:paraId="7074EA92" w14:textId="2571B033" w:rsidR="009B405D" w:rsidRPr="00E51D48" w:rsidRDefault="009B405D" w:rsidP="009B405D">
      <w:pPr>
        <w:ind w:firstLineChars="200" w:firstLine="480"/>
        <w:rPr>
          <w:rFonts w:ascii="宋体" w:hAnsi="宋体" w:hint="eastAsia"/>
          <w:szCs w:val="24"/>
        </w:rPr>
      </w:pPr>
      <w:r w:rsidRPr="00E51D48">
        <w:rPr>
          <w:rFonts w:ascii="宋体" w:hAnsi="宋体" w:hint="eastAsia"/>
          <w:szCs w:val="24"/>
        </w:rPr>
        <w:t xml:space="preserve">　　　3.1.1 被解释变量：中国季度GDP（水平值）</w:t>
      </w:r>
    </w:p>
    <w:p w14:paraId="5057DEF8" w14:textId="1581545F" w:rsidR="009B405D" w:rsidRPr="00E51D48" w:rsidRDefault="009B405D" w:rsidP="009B405D">
      <w:pPr>
        <w:ind w:firstLineChars="200" w:firstLine="480"/>
        <w:rPr>
          <w:rFonts w:ascii="宋体" w:hAnsi="宋体" w:hint="eastAsia"/>
          <w:szCs w:val="24"/>
        </w:rPr>
      </w:pPr>
      <w:r w:rsidRPr="00E51D48">
        <w:rPr>
          <w:rFonts w:ascii="宋体" w:hAnsi="宋体" w:hint="eastAsia"/>
          <w:szCs w:val="24"/>
        </w:rPr>
        <w:t xml:space="preserve">　　　3.1.2 核心解释变量：大豆、玉米、小麦、棉花、棕榈油的价格波动</w:t>
      </w:r>
    </w:p>
    <w:p w14:paraId="5611BAB7" w14:textId="1D8E6AB3" w:rsidR="009B405D" w:rsidRPr="00E51D48" w:rsidRDefault="009B405D" w:rsidP="009B405D">
      <w:pPr>
        <w:ind w:firstLineChars="200" w:firstLine="480"/>
        <w:rPr>
          <w:rFonts w:ascii="宋体" w:hAnsi="宋体" w:hint="eastAsia"/>
          <w:szCs w:val="24"/>
        </w:rPr>
      </w:pPr>
      <w:r w:rsidRPr="00E51D48">
        <w:rPr>
          <w:rFonts w:ascii="宋体" w:hAnsi="宋体" w:hint="eastAsia"/>
          <w:szCs w:val="24"/>
        </w:rPr>
        <w:t xml:space="preserve">　　　3.1.3 控制变量：石油价格波动、汇率等</w:t>
      </w:r>
    </w:p>
    <w:p w14:paraId="0134EA88" w14:textId="7BA0129D" w:rsidR="009B405D" w:rsidRPr="00E51D48" w:rsidRDefault="009B405D" w:rsidP="009B405D">
      <w:pPr>
        <w:ind w:firstLineChars="200" w:firstLine="480"/>
        <w:rPr>
          <w:rFonts w:ascii="宋体" w:hAnsi="宋体" w:hint="eastAsia"/>
          <w:szCs w:val="24"/>
        </w:rPr>
      </w:pPr>
      <w:r w:rsidRPr="00E51D48">
        <w:rPr>
          <w:rFonts w:ascii="宋体" w:hAnsi="宋体" w:hint="eastAsia"/>
          <w:szCs w:val="24"/>
        </w:rPr>
        <w:t xml:space="preserve">　3.2 数据来源与处理</w:t>
      </w:r>
    </w:p>
    <w:p w14:paraId="66161408" w14:textId="46F71D13" w:rsidR="009B405D" w:rsidRPr="00E51D48" w:rsidRDefault="009B405D" w:rsidP="009B405D">
      <w:pPr>
        <w:ind w:firstLineChars="200" w:firstLine="480"/>
        <w:rPr>
          <w:rFonts w:ascii="宋体" w:hAnsi="宋体" w:hint="eastAsia"/>
          <w:szCs w:val="24"/>
        </w:rPr>
      </w:pPr>
      <w:r w:rsidRPr="00E51D48">
        <w:rPr>
          <w:rFonts w:ascii="宋体" w:hAnsi="宋体" w:hint="eastAsia"/>
          <w:szCs w:val="24"/>
        </w:rPr>
        <w:t xml:space="preserve">　　　3.2.1 Kaggle及公开数据库介绍</w:t>
      </w:r>
    </w:p>
    <w:p w14:paraId="780B72B0" w14:textId="11234E7A" w:rsidR="009B405D" w:rsidRPr="00E51D48" w:rsidRDefault="009B405D" w:rsidP="009B405D">
      <w:pPr>
        <w:ind w:firstLineChars="200" w:firstLine="480"/>
        <w:rPr>
          <w:rFonts w:ascii="宋体" w:hAnsi="宋体" w:hint="eastAsia"/>
          <w:szCs w:val="24"/>
        </w:rPr>
      </w:pPr>
      <w:r w:rsidRPr="00E51D48">
        <w:rPr>
          <w:rFonts w:ascii="宋体" w:hAnsi="宋体" w:hint="eastAsia"/>
          <w:szCs w:val="24"/>
        </w:rPr>
        <w:t xml:space="preserve">　　　3.2.2 波动率计算方法（季度收益率标准差）</w:t>
      </w:r>
    </w:p>
    <w:p w14:paraId="79A7C854" w14:textId="77777777" w:rsidR="009B405D" w:rsidRDefault="009B405D" w:rsidP="009B405D">
      <w:pPr>
        <w:ind w:firstLineChars="200" w:firstLine="480"/>
        <w:rPr>
          <w:rFonts w:ascii="宋体" w:hAnsi="宋体" w:hint="eastAsia"/>
          <w:szCs w:val="24"/>
        </w:rPr>
      </w:pPr>
      <w:r w:rsidRPr="00E51D48">
        <w:rPr>
          <w:rFonts w:ascii="宋体" w:hAnsi="宋体" w:hint="eastAsia"/>
          <w:szCs w:val="24"/>
        </w:rPr>
        <w:t xml:space="preserve">　3.3 模型选择依据</w:t>
      </w:r>
    </w:p>
    <w:p w14:paraId="2CE93815" w14:textId="608FF3D4" w:rsidR="009B405D" w:rsidRPr="00BF0F6C" w:rsidRDefault="009B405D" w:rsidP="00DF1140">
      <w:pPr>
        <w:spacing w:beforeLines="50" w:before="156" w:afterLines="50" w:after="156"/>
        <w:rPr>
          <w:rFonts w:ascii="宋体" w:hAnsi="宋体" w:hint="eastAsia"/>
          <w:b/>
          <w:bCs/>
          <w:sz w:val="32"/>
          <w:szCs w:val="32"/>
        </w:rPr>
      </w:pPr>
      <w:r w:rsidRPr="00BF0F6C">
        <w:rPr>
          <w:rFonts w:ascii="宋体" w:hAnsi="宋体" w:hint="eastAsia"/>
          <w:b/>
          <w:bCs/>
          <w:sz w:val="32"/>
          <w:szCs w:val="32"/>
        </w:rPr>
        <w:t>3.1 变量选取与定义</w:t>
      </w:r>
    </w:p>
    <w:p w14:paraId="436392D5" w14:textId="77777777" w:rsidR="00C56C06" w:rsidRPr="003E6376" w:rsidRDefault="009B405D" w:rsidP="00DF1140">
      <w:pPr>
        <w:pStyle w:val="2"/>
        <w:spacing w:afterLines="50" w:after="156" w:line="300" w:lineRule="auto"/>
        <w:ind w:left="480"/>
        <w:rPr>
          <w:rFonts w:ascii="宋体" w:hAnsi="宋体" w:hint="eastAsia"/>
          <w:b/>
          <w:bCs/>
          <w:sz w:val="28"/>
          <w:szCs w:val="28"/>
        </w:rPr>
      </w:pPr>
      <w:r>
        <w:rPr>
          <w:rFonts w:hint="eastAsia"/>
        </w:rPr>
        <w:t xml:space="preserve">  </w:t>
      </w:r>
      <w:r w:rsidR="00CC1A55" w:rsidRPr="003E6376">
        <w:rPr>
          <w:rFonts w:ascii="宋体" w:hAnsi="宋体" w:hint="eastAsia"/>
          <w:sz w:val="28"/>
          <w:szCs w:val="28"/>
        </w:rPr>
        <w:t xml:space="preserve">3.1.1 </w:t>
      </w:r>
      <w:r w:rsidR="00C56C06" w:rsidRPr="003E6376">
        <w:rPr>
          <w:rFonts w:ascii="宋体" w:hAnsi="宋体" w:hint="eastAsia"/>
          <w:sz w:val="28"/>
          <w:szCs w:val="28"/>
        </w:rPr>
        <w:t>被解释变量：</w:t>
      </w:r>
      <w:r w:rsidR="00C56C06" w:rsidRPr="003E6376">
        <w:rPr>
          <w:rFonts w:ascii="宋体" w:hAnsi="宋体"/>
          <w:sz w:val="28"/>
          <w:szCs w:val="28"/>
        </w:rPr>
        <w:t>第一产业权重GDP</w:t>
      </w:r>
    </w:p>
    <w:p w14:paraId="4652970C" w14:textId="095EF2C6" w:rsidR="00C56C06" w:rsidRDefault="00C56C06" w:rsidP="00C56C06">
      <w:pPr>
        <w:pStyle w:val="2"/>
        <w:spacing w:after="0" w:line="300" w:lineRule="auto"/>
        <w:ind w:leftChars="0" w:left="0"/>
        <w:rPr>
          <w:rFonts w:ascii="宋体" w:hAnsi="宋体" w:hint="eastAsia"/>
          <w:szCs w:val="24"/>
        </w:rPr>
      </w:pPr>
      <w:r>
        <w:rPr>
          <w:rFonts w:ascii="宋体" w:hAnsi="宋体" w:hint="eastAsia"/>
          <w:b/>
          <w:bCs/>
          <w:szCs w:val="24"/>
        </w:rPr>
        <w:t xml:space="preserve">  </w:t>
      </w:r>
      <w:r w:rsidR="00DF1140">
        <w:rPr>
          <w:rFonts w:ascii="宋体" w:hAnsi="宋体" w:hint="eastAsia"/>
          <w:b/>
          <w:bCs/>
          <w:szCs w:val="24"/>
        </w:rPr>
        <w:t xml:space="preserve"> </w:t>
      </w:r>
      <w:r w:rsidRPr="00C56C06">
        <w:rPr>
          <w:rFonts w:ascii="宋体" w:hAnsi="宋体"/>
          <w:szCs w:val="24"/>
        </w:rPr>
        <w:t>国内生产总值（Nominal Quarterly GDP），</w:t>
      </w:r>
      <w:r>
        <w:rPr>
          <w:rFonts w:ascii="宋体" w:hAnsi="宋体"/>
          <w:szCs w:val="24"/>
        </w:rPr>
        <w:t>具有</w:t>
      </w:r>
      <w:r w:rsidR="00DF1140">
        <w:rPr>
          <w:rFonts w:ascii="宋体" w:hAnsi="宋体"/>
          <w:szCs w:val="24"/>
        </w:rPr>
        <w:t>描述</w:t>
      </w:r>
      <w:r w:rsidRPr="00C56C06">
        <w:rPr>
          <w:rFonts w:ascii="宋体" w:hAnsi="宋体"/>
          <w:szCs w:val="24"/>
        </w:rPr>
        <w:t>宏观经济的总体规模与运行态势</w:t>
      </w:r>
      <w:r w:rsidR="00DF1140">
        <w:rPr>
          <w:rFonts w:ascii="宋体" w:hAnsi="宋体"/>
          <w:szCs w:val="24"/>
        </w:rPr>
        <w:t>的</w:t>
      </w:r>
      <w:r w:rsidR="00DF1140">
        <w:rPr>
          <w:rFonts w:ascii="宋体" w:hAnsi="宋体" w:hint="eastAsia"/>
          <w:szCs w:val="24"/>
        </w:rPr>
        <w:t>作用。我们最初以该指标作为基础宏观指标；但是在相关性分析和滞后性检验的过程中发现，</w:t>
      </w:r>
      <w:r w:rsidR="00DF1140" w:rsidRPr="00DF1140">
        <w:rPr>
          <w:rFonts w:ascii="宋体" w:hAnsi="宋体"/>
          <w:szCs w:val="24"/>
        </w:rPr>
        <w:t>单纯的名义GDP序列由于包含大量非农业部门的宏观噪声，其与农产品价格波动信号的耦合度不够紧密。为此，本文进一步构建了第一产业权重GDP（Weighted GDP of Primary Industry），</w:t>
      </w:r>
      <w:r w:rsidR="00DF1140">
        <w:rPr>
          <w:rFonts w:ascii="宋体" w:hAnsi="宋体" w:hint="eastAsia"/>
          <w:szCs w:val="24"/>
        </w:rPr>
        <w:t>通过相关性检验表明该</w:t>
      </w:r>
      <w:r w:rsidR="00DF1140" w:rsidRPr="00DF1140">
        <w:rPr>
          <w:rFonts w:ascii="宋体" w:hAnsi="宋体"/>
          <w:szCs w:val="24"/>
        </w:rPr>
        <w:t>优化指标能更精准地捕捉农业冲击对宏观经济的边际影响。</w:t>
      </w:r>
    </w:p>
    <w:p w14:paraId="462FC82F" w14:textId="280DE16C" w:rsidR="00DF1140" w:rsidRDefault="00F221C9" w:rsidP="00F221C9">
      <w:pPr>
        <w:pStyle w:val="2"/>
        <w:numPr>
          <w:ilvl w:val="0"/>
          <w:numId w:val="1"/>
        </w:numPr>
        <w:spacing w:after="0" w:line="300" w:lineRule="auto"/>
        <w:ind w:leftChars="0"/>
        <w:rPr>
          <w:rFonts w:ascii="宋体" w:hAnsi="宋体" w:hint="eastAsia"/>
          <w:szCs w:val="24"/>
        </w:rPr>
      </w:pPr>
      <w:r>
        <w:rPr>
          <w:rFonts w:ascii="宋体" w:hAnsi="宋体" w:hint="eastAsia"/>
          <w:szCs w:val="24"/>
        </w:rPr>
        <w:t>中国国内生产总值GDP处理与探索</w:t>
      </w:r>
    </w:p>
    <w:p w14:paraId="589D5D37" w14:textId="39D73162" w:rsidR="00F221C9" w:rsidRDefault="009267DA" w:rsidP="009267DA">
      <w:pPr>
        <w:pStyle w:val="2"/>
        <w:spacing w:after="0" w:line="300" w:lineRule="auto"/>
        <w:ind w:leftChars="0" w:left="120"/>
        <w:rPr>
          <w:rFonts w:ascii="宋体" w:hAnsi="宋体" w:hint="eastAsia"/>
          <w:szCs w:val="24"/>
        </w:rPr>
      </w:pPr>
      <w:r>
        <w:rPr>
          <w:rFonts w:ascii="宋体" w:hAnsi="宋体" w:hint="eastAsia"/>
          <w:szCs w:val="24"/>
        </w:rPr>
        <w:t>一.</w:t>
      </w:r>
      <w:r w:rsidR="00F221C9">
        <w:rPr>
          <w:rFonts w:ascii="宋体" w:hAnsi="宋体" w:hint="eastAsia"/>
          <w:szCs w:val="24"/>
        </w:rPr>
        <w:t>数据处理方式</w:t>
      </w:r>
    </w:p>
    <w:p w14:paraId="65F9A206" w14:textId="122E20DB" w:rsidR="00F221C9" w:rsidRDefault="00F221C9" w:rsidP="00F221C9">
      <w:pPr>
        <w:pStyle w:val="2"/>
        <w:spacing w:after="0" w:line="300" w:lineRule="auto"/>
        <w:ind w:leftChars="0" w:left="120" w:firstLineChars="200" w:firstLine="480"/>
        <w:rPr>
          <w:rFonts w:ascii="宋体" w:hAnsi="宋体" w:hint="eastAsia"/>
          <w:szCs w:val="24"/>
        </w:rPr>
      </w:pPr>
      <w:r>
        <w:rPr>
          <w:rFonts w:ascii="宋体" w:hAnsi="宋体" w:hint="eastAsia"/>
          <w:szCs w:val="24"/>
        </w:rPr>
        <w:t>原始数据来源于kaggle数据源，包含了2005年到2025年的国家年度GDP数据，为满足后续季度高频建模需求，采用了“等比增长拆分”的方式将年度名义GDP转化为季度序列：</w:t>
      </w:r>
      <w:r w:rsidRPr="00F221C9">
        <w:rPr>
          <w:rFonts w:ascii="宋体" w:hAnsi="宋体"/>
          <w:szCs w:val="24"/>
        </w:rPr>
        <w:t>在相邻年份正增长区间内，假设季度间保持恒定几何增长率进行拆解</w:t>
      </w:r>
      <w:r>
        <w:rPr>
          <w:rFonts w:ascii="宋体" w:hAnsi="宋体" w:hint="eastAsia"/>
          <w:szCs w:val="24"/>
        </w:rPr>
        <w:t>；</w:t>
      </w:r>
      <w:r w:rsidRPr="00F221C9">
        <w:rPr>
          <w:rFonts w:ascii="宋体" w:hAnsi="宋体"/>
          <w:szCs w:val="24"/>
        </w:rPr>
        <w:t>对异常年份辅以线性插值修正，确保时间序列的连续性。</w:t>
      </w:r>
    </w:p>
    <w:p w14:paraId="7ED23BCB" w14:textId="2485B9CC" w:rsidR="00F221C9" w:rsidRDefault="009267DA" w:rsidP="009267DA">
      <w:pPr>
        <w:pStyle w:val="2"/>
        <w:spacing w:after="0" w:line="300" w:lineRule="auto"/>
        <w:ind w:leftChars="0" w:left="0"/>
        <w:rPr>
          <w:rFonts w:ascii="宋体" w:hAnsi="宋体" w:hint="eastAsia"/>
          <w:szCs w:val="24"/>
        </w:rPr>
      </w:pPr>
      <w:r>
        <w:rPr>
          <w:rFonts w:ascii="宋体" w:hAnsi="宋体" w:hint="eastAsia"/>
          <w:szCs w:val="24"/>
        </w:rPr>
        <w:t>二．</w:t>
      </w:r>
      <w:r w:rsidR="00F221C9">
        <w:rPr>
          <w:rFonts w:ascii="宋体" w:hAnsi="宋体" w:hint="eastAsia"/>
          <w:szCs w:val="24"/>
        </w:rPr>
        <w:t>数据探索</w:t>
      </w:r>
    </w:p>
    <w:p w14:paraId="57CB843B" w14:textId="1CBCB691" w:rsidR="00F221C9" w:rsidRDefault="003E6376" w:rsidP="009947BB">
      <w:pPr>
        <w:pStyle w:val="2"/>
        <w:spacing w:after="0" w:line="300" w:lineRule="auto"/>
        <w:ind w:leftChars="0" w:left="120" w:firstLineChars="200" w:firstLine="480"/>
        <w:jc w:val="left"/>
        <w:rPr>
          <w:rFonts w:ascii="宋体" w:hAnsi="宋体" w:hint="eastAsia"/>
          <w:szCs w:val="24"/>
        </w:rPr>
      </w:pPr>
      <w:r>
        <w:rPr>
          <w:rFonts w:ascii="宋体" w:hAnsi="宋体" w:hint="eastAsia"/>
          <w:noProof/>
          <w:szCs w:val="24"/>
          <w14:ligatures w14:val="standardContextual"/>
        </w:rPr>
        <w:drawing>
          <wp:anchor distT="0" distB="0" distL="114300" distR="114300" simplePos="0" relativeHeight="251658240" behindDoc="1" locked="0" layoutInCell="1" allowOverlap="1" wp14:anchorId="1E7D57D1" wp14:editId="2EE96858">
            <wp:simplePos x="0" y="0"/>
            <wp:positionH relativeFrom="margin">
              <wp:align>right</wp:align>
            </wp:positionH>
            <wp:positionV relativeFrom="paragraph">
              <wp:posOffset>558165</wp:posOffset>
            </wp:positionV>
            <wp:extent cx="5161280" cy="1743710"/>
            <wp:effectExtent l="0" t="0" r="1270" b="8890"/>
            <wp:wrapTight wrapText="bothSides">
              <wp:wrapPolygon edited="0">
                <wp:start x="0" y="0"/>
                <wp:lineTo x="0" y="21474"/>
                <wp:lineTo x="21526" y="21474"/>
                <wp:lineTo x="21526" y="0"/>
                <wp:lineTo x="0" y="0"/>
              </wp:wrapPolygon>
            </wp:wrapTight>
            <wp:docPr id="6043613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61341" name="图片 6043613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61280" cy="1743710"/>
                    </a:xfrm>
                    <a:prstGeom prst="rect">
                      <a:avLst/>
                    </a:prstGeom>
                  </pic:spPr>
                </pic:pic>
              </a:graphicData>
            </a:graphic>
            <wp14:sizeRelH relativeFrom="margin">
              <wp14:pctWidth>0</wp14:pctWidth>
            </wp14:sizeRelH>
            <wp14:sizeRelV relativeFrom="margin">
              <wp14:pctHeight>0</wp14:pctHeight>
            </wp14:sizeRelV>
          </wp:anchor>
        </w:drawing>
      </w:r>
      <w:r w:rsidR="00F221C9">
        <w:rPr>
          <w:rFonts w:ascii="宋体" w:hAnsi="宋体" w:hint="eastAsia"/>
          <w:szCs w:val="24"/>
        </w:rPr>
        <w:t>在预实验阶段，通过将原始季度名义GDP序列与主要经济作物（如</w:t>
      </w:r>
      <w:r w:rsidR="005335BB">
        <w:rPr>
          <w:rFonts w:ascii="宋体" w:hAnsi="宋体" w:hint="eastAsia"/>
          <w:szCs w:val="24"/>
        </w:rPr>
        <w:t>玉米，大豆）的价格与GDP做了相关性分析:</w:t>
      </w:r>
    </w:p>
    <w:p w14:paraId="57BCA872" w14:textId="3DDE85B8" w:rsidR="003E6376" w:rsidRDefault="003E6376" w:rsidP="003E6376">
      <w:pPr>
        <w:pStyle w:val="2"/>
        <w:spacing w:after="0" w:line="300" w:lineRule="auto"/>
        <w:ind w:leftChars="0" w:left="0"/>
        <w:rPr>
          <w:rFonts w:ascii="宋体" w:hAnsi="宋体" w:hint="eastAsia"/>
          <w:szCs w:val="24"/>
        </w:rPr>
      </w:pPr>
      <w:r>
        <w:rPr>
          <w:rFonts w:ascii="宋体" w:hAnsi="宋体" w:hint="eastAsia"/>
          <w:szCs w:val="24"/>
        </w:rPr>
        <w:lastRenderedPageBreak/>
        <w:t>通过此次数据探索发现:</w:t>
      </w:r>
    </w:p>
    <w:p w14:paraId="1878E213" w14:textId="20A4596B" w:rsidR="009947BB" w:rsidRPr="003E6376" w:rsidRDefault="003E6376" w:rsidP="003E6376">
      <w:pPr>
        <w:pStyle w:val="2"/>
        <w:spacing w:after="0" w:line="300" w:lineRule="auto"/>
        <w:ind w:leftChars="0" w:left="0" w:firstLineChars="200" w:firstLine="480"/>
        <w:rPr>
          <w:rFonts w:ascii="宋体" w:hAnsi="宋体" w:hint="eastAsia"/>
          <w:szCs w:val="24"/>
        </w:rPr>
      </w:pPr>
      <w:r>
        <w:rPr>
          <w:rFonts w:ascii="宋体" w:hAnsi="宋体" w:hint="eastAsia"/>
          <w:szCs w:val="24"/>
        </w:rPr>
        <w:t>1.</w:t>
      </w:r>
      <w:r w:rsidR="009947BB" w:rsidRPr="003E6376">
        <w:rPr>
          <w:rFonts w:ascii="宋体" w:hAnsi="宋体"/>
          <w:szCs w:val="24"/>
        </w:rPr>
        <w:t>噪声干扰显著：名义GDP受第二、三产业（尤其是工业与服务业）周期波动的支配，其方差中仅有小部分由第一产业贡献。这导致农业价格信号在宏总量中被“稀释”，统计显著性较弱。</w:t>
      </w:r>
    </w:p>
    <w:p w14:paraId="57D4F48C" w14:textId="74504048" w:rsidR="009947BB" w:rsidRDefault="003E6376" w:rsidP="003E6376">
      <w:pPr>
        <w:pStyle w:val="2"/>
        <w:spacing w:after="0" w:line="300" w:lineRule="auto"/>
        <w:ind w:leftChars="0" w:left="0" w:firstLineChars="200" w:firstLine="480"/>
        <w:rPr>
          <w:rFonts w:ascii="宋体" w:hAnsi="宋体" w:hint="eastAsia"/>
          <w:szCs w:val="24"/>
        </w:rPr>
      </w:pPr>
      <w:r>
        <w:rPr>
          <w:rFonts w:ascii="宋体" w:hAnsi="宋体" w:hint="eastAsia"/>
          <w:szCs w:val="24"/>
        </w:rPr>
        <w:t>2.</w:t>
      </w:r>
      <w:r w:rsidRPr="003E6376">
        <w:rPr>
          <w:rFonts w:ascii="宋体" w:hAnsi="宋体"/>
          <w:szCs w:val="24"/>
        </w:rPr>
        <w:t>传统名义GDP是一个总量指标，无法动态反映不同经济周期下第一产业贡献率的结构性变化</w:t>
      </w:r>
      <w:r>
        <w:rPr>
          <w:rFonts w:ascii="宋体" w:hAnsi="宋体" w:hint="eastAsia"/>
          <w:szCs w:val="24"/>
        </w:rPr>
        <w:t>。</w:t>
      </w:r>
    </w:p>
    <w:p w14:paraId="6F61E5D8" w14:textId="5E3B7DD2" w:rsidR="0001539E" w:rsidRDefault="0001539E" w:rsidP="0001539E">
      <w:pPr>
        <w:pStyle w:val="2"/>
        <w:spacing w:after="0" w:line="300" w:lineRule="auto"/>
        <w:ind w:leftChars="0" w:left="0" w:firstLineChars="200" w:firstLine="480"/>
        <w:rPr>
          <w:rFonts w:ascii="宋体" w:hAnsi="宋体" w:hint="eastAsia"/>
          <w:szCs w:val="24"/>
        </w:rPr>
      </w:pPr>
      <w:r w:rsidRPr="0001539E">
        <w:rPr>
          <w:rFonts w:ascii="宋体" w:hAnsi="宋体"/>
          <w:szCs w:val="24"/>
        </w:rPr>
        <w:t>基于上述发现，直接使用名义GDP作为被解释变量可能导致模型低估农业价格波动的传导效应。因此，有必要构建一个能“放大”农业部门特征的合成指标。</w:t>
      </w:r>
    </w:p>
    <w:p w14:paraId="54C091BF" w14:textId="333552AA" w:rsidR="009267DA" w:rsidRDefault="009267DA" w:rsidP="009267DA">
      <w:pPr>
        <w:pStyle w:val="2"/>
        <w:spacing w:after="0" w:line="300" w:lineRule="auto"/>
        <w:ind w:leftChars="0" w:left="0"/>
        <w:rPr>
          <w:rFonts w:ascii="宋体" w:hAnsi="宋体" w:hint="eastAsia"/>
          <w:szCs w:val="24"/>
        </w:rPr>
      </w:pPr>
      <w:r>
        <w:rPr>
          <w:rFonts w:ascii="宋体" w:hAnsi="宋体" w:hint="eastAsia"/>
          <w:szCs w:val="24"/>
        </w:rPr>
        <w:t>三．优化变量，构建权重GDP</w:t>
      </w:r>
    </w:p>
    <w:p w14:paraId="693C4314" w14:textId="5EAF03FB" w:rsidR="009267DA" w:rsidRDefault="009267DA" w:rsidP="009267DA">
      <w:pPr>
        <w:pStyle w:val="2"/>
        <w:spacing w:after="0" w:line="300" w:lineRule="auto"/>
        <w:ind w:leftChars="0" w:left="0" w:firstLineChars="200" w:firstLine="480"/>
        <w:rPr>
          <w:rFonts w:ascii="宋体" w:hAnsi="宋体" w:hint="eastAsia"/>
          <w:szCs w:val="24"/>
        </w:rPr>
      </w:pPr>
      <w:r w:rsidRPr="009267DA">
        <w:rPr>
          <w:rFonts w:ascii="宋体" w:hAnsi="宋体"/>
          <w:szCs w:val="24"/>
        </w:rPr>
        <w:t>为剔除非农业部门噪声并强化农业信号的传导机制，构建了第一产业权重GDP。该指标的核心逻辑是将宏观总量乘以第一产业的动态贡献占比，从而提取出“带有农业结构特征的宏观波动分量”</w:t>
      </w:r>
      <w:r>
        <w:rPr>
          <w:rFonts w:ascii="宋体" w:hAnsi="宋体" w:hint="eastAsia"/>
          <w:szCs w:val="24"/>
        </w:rPr>
        <w:t>:</w:t>
      </w:r>
    </w:p>
    <w:p w14:paraId="7D477FE7" w14:textId="0200B246" w:rsidR="009267DA" w:rsidRPr="009267DA" w:rsidRDefault="00000000" w:rsidP="009267DA">
      <w:pPr>
        <w:pStyle w:val="2"/>
        <w:spacing w:after="0" w:line="300" w:lineRule="auto"/>
        <w:ind w:leftChars="0" w:left="0" w:firstLineChars="200" w:firstLine="480"/>
        <w:rPr>
          <w:rFonts w:ascii="宋体" w:hAnsi="宋体" w:hint="eastAsia"/>
          <w:szCs w:val="24"/>
        </w:rPr>
      </w:pPr>
      <m:oMathPara>
        <m:oMath>
          <m:sSub>
            <m:sSubPr>
              <m:ctrlPr>
                <w:rPr>
                  <w:rFonts w:ascii="Cambria Math" w:hAnsi="Cambria Math"/>
                  <w:i/>
                  <w:iCs/>
                  <w:szCs w:val="24"/>
                </w:rPr>
              </m:ctrlPr>
            </m:sSubPr>
            <m:e>
              <m:r>
                <w:rPr>
                  <w:rFonts w:ascii="Cambria Math" w:hAnsi="Cambria Math"/>
                  <w:szCs w:val="24"/>
                </w:rPr>
                <m:t>WeightedGDP</m:t>
              </m:r>
            </m:e>
            <m:sub>
              <m:r>
                <w:rPr>
                  <w:rFonts w:ascii="Cambria Math" w:hAnsi="Cambria Math" w:hint="eastAsia"/>
                  <w:szCs w:val="24"/>
                </w:rPr>
                <m:t>t</m:t>
              </m:r>
            </m:sub>
          </m:sSub>
          <m:r>
            <w:rPr>
              <w:rFonts w:ascii="Cambria Math" w:hAnsi="Cambria Math"/>
              <w:szCs w:val="24"/>
            </w:rPr>
            <m:t>​=</m:t>
          </m:r>
          <m:sSub>
            <m:sSubPr>
              <m:ctrlPr>
                <w:rPr>
                  <w:rFonts w:ascii="Cambria Math" w:hAnsi="Cambria Math"/>
                  <w:i/>
                  <w:iCs/>
                  <w:szCs w:val="24"/>
                </w:rPr>
              </m:ctrlPr>
            </m:sSubPr>
            <m:e>
              <m:r>
                <w:rPr>
                  <w:rFonts w:ascii="Cambria Math" w:hAnsi="Cambria Math"/>
                  <w:szCs w:val="24"/>
                </w:rPr>
                <m:t>GDP</m:t>
              </m:r>
            </m:e>
            <m:sub>
              <m:r>
                <w:rPr>
                  <w:rFonts w:ascii="Cambria Math" w:hAnsi="Cambria Math"/>
                  <w:szCs w:val="24"/>
                </w:rPr>
                <m:t>t</m:t>
              </m:r>
            </m:sub>
          </m:sSub>
          <m:r>
            <w:rPr>
              <w:rFonts w:ascii="Cambria Math" w:hAnsi="Cambria Math"/>
              <w:szCs w:val="24"/>
            </w:rPr>
            <m:t>​×</m:t>
          </m:r>
          <m:sSub>
            <m:sSubPr>
              <m:ctrlPr>
                <w:rPr>
                  <w:rFonts w:ascii="Cambria Math" w:hAnsi="Cambria Math"/>
                  <w:i/>
                  <w:iCs/>
                  <w:szCs w:val="24"/>
                </w:rPr>
              </m:ctrlPr>
            </m:sSubPr>
            <m:e>
              <m:r>
                <w:rPr>
                  <w:rFonts w:ascii="Cambria Math" w:hAnsi="Cambria Math"/>
                  <w:szCs w:val="24"/>
                </w:rPr>
                <m:t>Share</m:t>
              </m:r>
            </m:e>
            <m:sub>
              <m:r>
                <w:rPr>
                  <w:rFonts w:ascii="Cambria Math" w:hAnsi="Cambria Math"/>
                  <w:szCs w:val="24"/>
                </w:rPr>
                <m:t>primary,t</m:t>
              </m:r>
            </m:sub>
          </m:sSub>
          <m:r>
            <w:rPr>
              <w:rFonts w:ascii="Cambria Math" w:hAnsi="Cambria Math"/>
              <w:szCs w:val="24"/>
            </w:rPr>
            <m:t>​</m:t>
          </m:r>
        </m:oMath>
      </m:oMathPara>
    </w:p>
    <w:p w14:paraId="463130E2" w14:textId="1890A655" w:rsidR="009267DA" w:rsidRPr="00A83B77" w:rsidRDefault="009267DA" w:rsidP="00A83B77">
      <w:pPr>
        <w:pStyle w:val="2"/>
        <w:spacing w:after="0" w:line="300" w:lineRule="auto"/>
        <w:ind w:leftChars="0" w:left="0" w:firstLineChars="200" w:firstLine="480"/>
        <w:rPr>
          <w:rFonts w:ascii="宋体" w:hAnsi="宋体" w:hint="eastAsia"/>
          <w:szCs w:val="24"/>
        </w:rPr>
      </w:pPr>
      <w:r w:rsidRPr="00A83B77">
        <w:rPr>
          <w:rFonts w:ascii="宋体" w:hAnsi="宋体" w:hint="eastAsia"/>
          <w:szCs w:val="24"/>
        </w:rPr>
        <w:t>其中，</w:t>
      </w:r>
      <m:oMath>
        <m:sSub>
          <m:sSubPr>
            <m:ctrlPr>
              <w:rPr>
                <w:rFonts w:ascii="Cambria Math" w:hAnsi="Cambria Math"/>
                <w:szCs w:val="24"/>
              </w:rPr>
            </m:ctrlPr>
          </m:sSubPr>
          <m:e>
            <m:r>
              <m:rPr>
                <m:sty m:val="p"/>
              </m:rPr>
              <w:rPr>
                <w:rFonts w:ascii="Cambria Math" w:hAnsi="Cambria Math"/>
                <w:szCs w:val="24"/>
              </w:rPr>
              <m:t>GDP</m:t>
            </m:r>
          </m:e>
          <m:sub>
            <m:r>
              <m:rPr>
                <m:sty m:val="p"/>
              </m:rPr>
              <w:rPr>
                <w:rFonts w:ascii="Cambria Math" w:hAnsi="Cambria Math"/>
                <w:szCs w:val="24"/>
              </w:rPr>
              <m:t>t</m:t>
            </m:r>
          </m:sub>
        </m:sSub>
      </m:oMath>
      <w:r w:rsidRPr="00A83B77">
        <w:rPr>
          <w:rFonts w:ascii="宋体" w:hAnsi="宋体"/>
          <w:szCs w:val="24"/>
        </w:rPr>
        <w:t>为经季度化处理的名义GDP，</w:t>
      </w:r>
      <m:oMath>
        <m:sSub>
          <m:sSubPr>
            <m:ctrlPr>
              <w:rPr>
                <w:rFonts w:ascii="Cambria Math" w:hAnsi="Cambria Math"/>
                <w:szCs w:val="24"/>
              </w:rPr>
            </m:ctrlPr>
          </m:sSubPr>
          <m:e>
            <m:r>
              <m:rPr>
                <m:sty m:val="p"/>
              </m:rPr>
              <w:rPr>
                <w:rFonts w:ascii="Cambria Math" w:hAnsi="Cambria Math"/>
                <w:szCs w:val="24"/>
              </w:rPr>
              <m:t>Share</m:t>
            </m:r>
          </m:e>
          <m:sub>
            <m:r>
              <m:rPr>
                <m:sty m:val="p"/>
              </m:rPr>
              <w:rPr>
                <w:rFonts w:ascii="Cambria Math" w:hAnsi="Cambria Math"/>
                <w:szCs w:val="24"/>
              </w:rPr>
              <m:t>primary,t</m:t>
            </m:r>
          </m:sub>
        </m:sSub>
      </m:oMath>
      <w:r w:rsidRPr="00A83B77">
        <w:rPr>
          <w:rFonts w:ascii="宋体" w:hAnsi="宋体"/>
          <w:szCs w:val="24"/>
        </w:rPr>
        <w:t>为第一产业的动态贡献占比。</w:t>
      </w:r>
    </w:p>
    <w:p w14:paraId="051869CF" w14:textId="2BD04F18" w:rsidR="00AB05B4" w:rsidRDefault="00D971D0" w:rsidP="00D971D0">
      <w:pPr>
        <w:pStyle w:val="2"/>
        <w:spacing w:after="0" w:line="300" w:lineRule="auto"/>
        <w:ind w:leftChars="0" w:left="0" w:firstLineChars="200" w:firstLine="480"/>
        <w:rPr>
          <w:rFonts w:ascii="宋体" w:hAnsi="宋体" w:hint="eastAsia"/>
          <w:szCs w:val="24"/>
        </w:rPr>
      </w:pPr>
      <w:r>
        <w:rPr>
          <w:rFonts w:ascii="宋体" w:hAnsi="宋体" w:hint="eastAsia"/>
          <w:noProof/>
          <w:szCs w:val="24"/>
          <w14:ligatures w14:val="standardContextual"/>
        </w:rPr>
        <w:drawing>
          <wp:anchor distT="0" distB="0" distL="114300" distR="114300" simplePos="0" relativeHeight="251659264" behindDoc="1" locked="0" layoutInCell="1" allowOverlap="1" wp14:anchorId="6732414E" wp14:editId="76985206">
            <wp:simplePos x="0" y="0"/>
            <wp:positionH relativeFrom="margin">
              <wp:align>center</wp:align>
            </wp:positionH>
            <wp:positionV relativeFrom="paragraph">
              <wp:posOffset>742950</wp:posOffset>
            </wp:positionV>
            <wp:extent cx="6315075" cy="2133600"/>
            <wp:effectExtent l="0" t="0" r="9525" b="0"/>
            <wp:wrapTight wrapText="bothSides">
              <wp:wrapPolygon edited="0">
                <wp:start x="0" y="0"/>
                <wp:lineTo x="0" y="21407"/>
                <wp:lineTo x="21567" y="21407"/>
                <wp:lineTo x="21567" y="0"/>
                <wp:lineTo x="0" y="0"/>
              </wp:wrapPolygon>
            </wp:wrapTight>
            <wp:docPr id="18493845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84586" name="图片 18493845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15075" cy="2133600"/>
                    </a:xfrm>
                    <a:prstGeom prst="rect">
                      <a:avLst/>
                    </a:prstGeom>
                  </pic:spPr>
                </pic:pic>
              </a:graphicData>
            </a:graphic>
            <wp14:sizeRelH relativeFrom="margin">
              <wp14:pctWidth>0</wp14:pctWidth>
            </wp14:sizeRelH>
            <wp14:sizeRelV relativeFrom="margin">
              <wp14:pctHeight>0</wp14:pctHeight>
            </wp14:sizeRelV>
          </wp:anchor>
        </w:drawing>
      </w:r>
      <w:r w:rsidR="009267DA" w:rsidRPr="009267DA">
        <w:rPr>
          <w:rFonts w:ascii="宋体" w:hAnsi="宋体"/>
          <w:szCs w:val="24"/>
        </w:rPr>
        <w:t>使用此指标构建权重，能够敏锐捕捉到在特定季度）农业部门对经济增长边际贡献的瞬时放大效应，</w:t>
      </w:r>
      <w:r w:rsidR="009267DA">
        <w:rPr>
          <w:rFonts w:ascii="宋体" w:hAnsi="宋体" w:hint="eastAsia"/>
          <w:szCs w:val="24"/>
        </w:rPr>
        <w:t>这</w:t>
      </w:r>
      <w:r w:rsidR="009E0342">
        <w:rPr>
          <w:rFonts w:ascii="宋体" w:hAnsi="宋体" w:hint="eastAsia"/>
          <w:szCs w:val="24"/>
        </w:rPr>
        <w:t>能更加精准的捕捉经济作物价格波动对经济市场的影响</w:t>
      </w:r>
      <w:r w:rsidR="009267DA" w:rsidRPr="009267DA">
        <w:rPr>
          <w:rFonts w:ascii="宋体" w:hAnsi="宋体"/>
          <w:szCs w:val="24"/>
        </w:rPr>
        <w:t>。</w:t>
      </w:r>
    </w:p>
    <w:p w14:paraId="5EC0848A" w14:textId="77777777" w:rsidR="00D971D0" w:rsidRDefault="00AB05B4" w:rsidP="00D971D0">
      <w:pPr>
        <w:pStyle w:val="2"/>
        <w:spacing w:after="0" w:line="300" w:lineRule="auto"/>
        <w:ind w:leftChars="0" w:left="0" w:firstLineChars="200" w:firstLine="480"/>
        <w:rPr>
          <w:rFonts w:ascii="宋体" w:hAnsi="宋体" w:hint="eastAsia"/>
          <w:szCs w:val="24"/>
        </w:rPr>
      </w:pPr>
      <w:r w:rsidRPr="00AB05B4">
        <w:rPr>
          <w:rFonts w:ascii="宋体" w:hAnsi="宋体"/>
          <w:szCs w:val="24"/>
        </w:rPr>
        <w:t>通过对比分析发现，构建后的第一产业权重GDP相较于原始名义GDP具有显著的统计优势：</w:t>
      </w:r>
    </w:p>
    <w:p w14:paraId="773ED7EF" w14:textId="5890026A" w:rsidR="00D971D0" w:rsidRDefault="00D971D0" w:rsidP="00D971D0">
      <w:pPr>
        <w:pStyle w:val="2"/>
        <w:spacing w:after="0" w:line="300" w:lineRule="auto"/>
        <w:ind w:leftChars="0" w:left="0" w:firstLineChars="200" w:firstLine="480"/>
        <w:rPr>
          <w:rFonts w:ascii="宋体" w:hAnsi="宋体" w:hint="eastAsia"/>
          <w:szCs w:val="24"/>
        </w:rPr>
      </w:pPr>
      <w:r>
        <w:rPr>
          <w:rFonts w:ascii="宋体" w:hAnsi="宋体" w:hint="eastAsia"/>
          <w:szCs w:val="24"/>
        </w:rPr>
        <w:t>1.更强的显著性</w:t>
      </w:r>
      <w:r w:rsidRPr="00D971D0">
        <w:rPr>
          <w:rFonts w:ascii="宋体" w:hAnsi="宋体"/>
          <w:szCs w:val="24"/>
        </w:rPr>
        <w:br/>
      </w:r>
      <w:r w:rsidRPr="00D971D0">
        <w:rPr>
          <w:rFonts w:ascii="宋体" w:hAnsi="宋体" w:hint="eastAsia"/>
          <w:szCs w:val="24"/>
        </w:rPr>
        <w:t xml:space="preserve">    </w:t>
      </w:r>
      <w:r w:rsidRPr="00D971D0">
        <w:rPr>
          <w:rFonts w:ascii="宋体" w:hAnsi="宋体"/>
          <w:szCs w:val="24"/>
        </w:rPr>
        <w:t>数据显示，权重GDP与主要农产品价格序列的皮尔逊相关系数普遍大幅提升。其中，与大豆价格的相关性从名义GDP的</w:t>
      </w:r>
      <m:oMath>
        <m:r>
          <w:rPr>
            <w:rFonts w:ascii="Cambria Math" w:hAnsi="Cambria Math"/>
            <w:szCs w:val="24"/>
          </w:rPr>
          <m:t>0.44</m:t>
        </m:r>
      </m:oMath>
      <w:r w:rsidRPr="00D971D0">
        <w:rPr>
          <w:rFonts w:ascii="宋体" w:hAnsi="宋体"/>
          <w:szCs w:val="24"/>
        </w:rPr>
        <w:t>跃升至</w:t>
      </w:r>
      <m:oMath>
        <m:r>
          <w:rPr>
            <w:rFonts w:ascii="Cambria Math" w:hAnsi="Cambria Math"/>
            <w:szCs w:val="24"/>
          </w:rPr>
          <m:t>0.64</m:t>
        </m:r>
      </m:oMath>
      <w:r w:rsidRPr="00D971D0">
        <w:rPr>
          <w:rFonts w:ascii="宋体" w:hAnsi="宋体"/>
          <w:szCs w:val="24"/>
        </w:rPr>
        <w:t>，增幅达45%；与棉花及棕榈油的相关性分别提升36%和38%。更为关键的是，该变量成功挖掘出了被总量指标掩盖的隐性关联玉米价格与名义GDP几乎不相关</w:t>
      </w:r>
      <m:oMath>
        <m:r>
          <w:rPr>
            <w:rFonts w:ascii="Cambria Math" w:hAnsi="Cambria Math"/>
            <w:szCs w:val="24"/>
          </w:rPr>
          <m:t>r=-0.03</m:t>
        </m:r>
      </m:oMath>
      <w:r w:rsidRPr="00D971D0">
        <w:rPr>
          <w:rFonts w:ascii="宋体" w:hAnsi="宋体"/>
          <w:szCs w:val="24"/>
        </w:rPr>
        <w:t>，但在权重GDP模型中呈现出明确的正相关</w:t>
      </w:r>
      <m:oMath>
        <m:r>
          <w:rPr>
            <w:rFonts w:ascii="Cambria Math" w:hAnsi="Cambria Math"/>
            <w:szCs w:val="24"/>
          </w:rPr>
          <m:t>r=0.28</m:t>
        </m:r>
      </m:oMath>
      <w:r w:rsidRPr="00D971D0">
        <w:rPr>
          <w:rFonts w:ascii="宋体" w:hAnsi="宋体"/>
          <w:szCs w:val="24"/>
        </w:rPr>
        <w:t>。这表明优化后的指标能更敏锐地</w:t>
      </w:r>
      <w:r w:rsidRPr="00D971D0">
        <w:rPr>
          <w:rFonts w:ascii="宋体" w:hAnsi="宋体"/>
          <w:szCs w:val="24"/>
        </w:rPr>
        <w:lastRenderedPageBreak/>
        <w:t>捕捉农产品价格波动对宏观经济的边际冲击。</w:t>
      </w:r>
    </w:p>
    <w:p w14:paraId="11EF7B25" w14:textId="1A9DE78F" w:rsidR="00D971D0" w:rsidRPr="00D971D0" w:rsidRDefault="00D971D0" w:rsidP="00D971D0">
      <w:pPr>
        <w:pStyle w:val="2"/>
        <w:spacing w:after="0" w:line="300" w:lineRule="auto"/>
        <w:ind w:leftChars="0" w:left="0" w:firstLineChars="200" w:firstLine="480"/>
        <w:rPr>
          <w:rFonts w:ascii="宋体" w:hAnsi="宋体" w:hint="eastAsia"/>
          <w:szCs w:val="24"/>
        </w:rPr>
      </w:pPr>
      <w:r>
        <w:rPr>
          <w:rFonts w:ascii="宋体" w:hAnsi="宋体" w:hint="eastAsia"/>
          <w:szCs w:val="24"/>
        </w:rPr>
        <w:t>2.更低的噪声影响</w:t>
      </w:r>
    </w:p>
    <w:p w14:paraId="66CE1EB1" w14:textId="5F29F24F" w:rsidR="00D971D0" w:rsidRPr="00D971D0" w:rsidRDefault="00D971D0" w:rsidP="00D971D0">
      <w:pPr>
        <w:pStyle w:val="2"/>
        <w:spacing w:after="0" w:line="300" w:lineRule="auto"/>
        <w:ind w:leftChars="0" w:left="0" w:firstLineChars="200" w:firstLine="480"/>
        <w:rPr>
          <w:rFonts w:ascii="宋体" w:hAnsi="宋体" w:hint="eastAsia"/>
          <w:szCs w:val="24"/>
        </w:rPr>
      </w:pPr>
      <w:r w:rsidRPr="00D971D0">
        <w:rPr>
          <w:rFonts w:ascii="宋体" w:hAnsi="宋体"/>
          <w:szCs w:val="24"/>
        </w:rPr>
        <w:t>作为非农业部门的对照组，原油价格在两个模型中均显示为弱相关分别为</w:t>
      </w:r>
      <m:oMath>
        <m:r>
          <w:rPr>
            <w:rFonts w:ascii="Cambria Math" w:hAnsi="Cambria Math"/>
            <w:szCs w:val="24"/>
          </w:rPr>
          <m:t>-0.05</m:t>
        </m:r>
      </m:oMath>
      <w:r w:rsidRPr="00D971D0">
        <w:rPr>
          <w:rFonts w:ascii="宋体" w:hAnsi="宋体"/>
          <w:szCs w:val="24"/>
        </w:rPr>
        <w:t>和</w:t>
      </w:r>
      <m:oMath>
        <m:r>
          <w:rPr>
            <w:rFonts w:ascii="Cambria Math" w:hAnsi="Cambria Math"/>
            <w:szCs w:val="24"/>
          </w:rPr>
          <m:t>-0.12</m:t>
        </m:r>
      </m:oMath>
      <w:r w:rsidRPr="00D971D0">
        <w:rPr>
          <w:rFonts w:ascii="宋体" w:hAnsi="宋体"/>
          <w:szCs w:val="24"/>
        </w:rPr>
        <w:t>。这一结果反向证实了权重GDP有效过滤了第二、三产业的周期性噪声，保留了纯粹的第一产业结构特征。这种“去噪”处理使得后续机器学习模型（如XGBoost）在训练过程中，能够更聚焦于农业价格因子的特征分裂，避免了工业周期波动对模型权重的干扰，从而显著提高了模型的可解释性与预测精度。</w:t>
      </w:r>
    </w:p>
    <w:p w14:paraId="4E9C75B5" w14:textId="66677825" w:rsidR="004E6FB1" w:rsidRDefault="004E6FB1" w:rsidP="00551ECA">
      <w:pPr>
        <w:pStyle w:val="2"/>
        <w:spacing w:beforeLines="50" w:before="156" w:afterLines="50" w:after="156" w:line="300" w:lineRule="auto"/>
        <w:ind w:leftChars="0"/>
        <w:rPr>
          <w:rFonts w:ascii="宋体" w:hAnsi="宋体" w:hint="eastAsia"/>
          <w:sz w:val="28"/>
          <w:szCs w:val="28"/>
        </w:rPr>
      </w:pPr>
      <w:r w:rsidRPr="004E6FB1">
        <w:rPr>
          <w:rFonts w:ascii="宋体" w:hAnsi="宋体" w:hint="eastAsia"/>
          <w:sz w:val="28"/>
          <w:szCs w:val="28"/>
        </w:rPr>
        <w:t>3.1.2 核心解释变量：</w:t>
      </w:r>
      <w:r>
        <w:rPr>
          <w:rFonts w:ascii="宋体" w:hAnsi="宋体" w:hint="eastAsia"/>
          <w:sz w:val="28"/>
          <w:szCs w:val="28"/>
        </w:rPr>
        <w:t>经济作物</w:t>
      </w:r>
      <w:r w:rsidRPr="004E6FB1">
        <w:rPr>
          <w:rFonts w:ascii="宋体" w:hAnsi="宋体" w:hint="eastAsia"/>
          <w:sz w:val="28"/>
          <w:szCs w:val="28"/>
        </w:rPr>
        <w:t>价格波动</w:t>
      </w:r>
    </w:p>
    <w:p w14:paraId="7F48DCF0" w14:textId="3EFE5F1E" w:rsidR="00551ECA" w:rsidRDefault="00551ECA" w:rsidP="00551ECA">
      <w:pPr>
        <w:pStyle w:val="2"/>
        <w:spacing w:after="0" w:line="300" w:lineRule="auto"/>
        <w:ind w:leftChars="0" w:left="0"/>
        <w:rPr>
          <w:rFonts w:ascii="宋体" w:hAnsi="宋体" w:hint="eastAsia"/>
          <w:szCs w:val="24"/>
        </w:rPr>
      </w:pPr>
      <w:r>
        <w:rPr>
          <w:rFonts w:ascii="宋体" w:hAnsi="宋体" w:hint="eastAsia"/>
          <w:szCs w:val="24"/>
        </w:rPr>
        <w:t xml:space="preserve">  </w:t>
      </w:r>
      <w:r w:rsidRPr="00551ECA">
        <w:rPr>
          <w:rFonts w:ascii="宋体" w:hAnsi="宋体" w:hint="eastAsia"/>
          <w:szCs w:val="24"/>
        </w:rPr>
        <w:t>本研究</w:t>
      </w:r>
      <w:r w:rsidRPr="00551ECA">
        <w:rPr>
          <w:rFonts w:ascii="宋体" w:hAnsi="宋体"/>
          <w:szCs w:val="24"/>
        </w:rPr>
        <w:t>选取小麦、玉米、大豆、棉花、棕榈油五种关键农产品作为核心解释变量。数据来源于</w:t>
      </w:r>
      <w:r>
        <w:rPr>
          <w:rFonts w:ascii="宋体" w:hAnsi="宋体" w:hint="eastAsia"/>
          <w:szCs w:val="24"/>
        </w:rPr>
        <w:t>kaggle上的两个数据集：</w:t>
      </w:r>
      <w:r w:rsidRPr="00551ECA">
        <w:rPr>
          <w:rFonts w:ascii="宋体" w:hAnsi="宋体"/>
          <w:szCs w:val="24"/>
        </w:rPr>
        <w:t>联合国世界粮食计划署（WFP）全球食品价格数据库及国际期货市场日度行情数据。</w:t>
      </w:r>
    </w:p>
    <w:p w14:paraId="36B3ED83" w14:textId="7785B931" w:rsidR="006914A4" w:rsidRDefault="006914A4" w:rsidP="006914A4">
      <w:pPr>
        <w:pStyle w:val="2"/>
        <w:spacing w:after="0" w:line="300" w:lineRule="auto"/>
        <w:ind w:leftChars="0" w:left="0"/>
        <w:rPr>
          <w:rFonts w:ascii="宋体" w:hAnsi="宋体" w:hint="eastAsia"/>
          <w:szCs w:val="24"/>
        </w:rPr>
      </w:pPr>
      <w:r w:rsidRPr="006914A4">
        <w:rPr>
          <w:rFonts w:ascii="宋体" w:hAnsi="宋体" w:hint="eastAsia"/>
          <w:szCs w:val="24"/>
        </w:rPr>
        <w:t>一．</w:t>
      </w:r>
      <w:r>
        <w:rPr>
          <w:rFonts w:ascii="宋体" w:hAnsi="宋体" w:hint="eastAsia"/>
          <w:szCs w:val="24"/>
        </w:rPr>
        <w:t>变量选取依据</w:t>
      </w:r>
    </w:p>
    <w:p w14:paraId="3C2A18FA" w14:textId="4E7D464F" w:rsidR="006914A4" w:rsidRDefault="006914A4" w:rsidP="006914A4">
      <w:pPr>
        <w:pStyle w:val="2"/>
        <w:spacing w:after="0" w:line="300" w:lineRule="auto"/>
        <w:ind w:leftChars="0" w:left="0" w:firstLineChars="200" w:firstLine="480"/>
        <w:rPr>
          <w:rFonts w:ascii="宋体" w:hAnsi="宋体" w:hint="eastAsia"/>
          <w:szCs w:val="24"/>
        </w:rPr>
      </w:pPr>
      <w:r>
        <w:rPr>
          <w:rFonts w:ascii="宋体" w:hAnsi="宋体" w:hint="eastAsia"/>
          <w:szCs w:val="24"/>
        </w:rPr>
        <w:t>1.</w:t>
      </w:r>
      <w:r w:rsidRPr="006914A4">
        <w:rPr>
          <w:rFonts w:hint="eastAsia"/>
        </w:rPr>
        <w:t xml:space="preserve"> </w:t>
      </w:r>
      <w:r w:rsidRPr="006914A4">
        <w:rPr>
          <w:rFonts w:ascii="宋体" w:hAnsi="宋体" w:hint="eastAsia"/>
          <w:szCs w:val="24"/>
        </w:rPr>
        <w:t>高进口依存度与外部冲击敏感性：如文献综述所述，中国大豆对外依存度已超过80%，棕榈油长期依赖进口，棉花与玉米亦存在显著的供需缺口。这使得国际市场价格波动能通过贸易渠道迅速传导至国内，成为考察外部冲击的理想代理变量（和聪贤，2021；刘颖，2014）。</w:t>
      </w:r>
    </w:p>
    <w:p w14:paraId="24B8F216" w14:textId="01250AE9" w:rsidR="006914A4" w:rsidRDefault="006914A4" w:rsidP="006914A4">
      <w:pPr>
        <w:pStyle w:val="2"/>
        <w:spacing w:after="0" w:line="300" w:lineRule="auto"/>
        <w:ind w:leftChars="0" w:left="0" w:firstLineChars="200" w:firstLine="480"/>
        <w:rPr>
          <w:rFonts w:ascii="宋体" w:hAnsi="宋体" w:hint="eastAsia"/>
          <w:szCs w:val="24"/>
        </w:rPr>
      </w:pPr>
      <w:r>
        <w:rPr>
          <w:rFonts w:ascii="宋体" w:hAnsi="宋体" w:hint="eastAsia"/>
          <w:szCs w:val="24"/>
        </w:rPr>
        <w:t>2.</w:t>
      </w:r>
      <w:r w:rsidRPr="006914A4">
        <w:rPr>
          <w:rFonts w:hint="eastAsia"/>
        </w:rPr>
        <w:t xml:space="preserve"> </w:t>
      </w:r>
      <w:r w:rsidRPr="006914A4">
        <w:rPr>
          <w:rFonts w:ascii="宋体" w:hAnsi="宋体" w:hint="eastAsia"/>
          <w:szCs w:val="24"/>
        </w:rPr>
        <w:t>全产业链渗透性：这五类作物覆盖了粮食安全（小麦、玉米）、饲料与油脂供给（大豆、棕榈油）及纺织原料（棉花）四大关键领域。其价格波动不仅直接影响第一产业增加值，更通过生产成本效应（如饲料涨价推高养殖业成本）和输入性通胀预期，广泛渗透至第二、三产业，最终汇聚于GDP总量的变动中（郭蒙，2023）。</w:t>
      </w:r>
    </w:p>
    <w:p w14:paraId="25738E51" w14:textId="6DAB0CC9" w:rsidR="006914A4" w:rsidRPr="006914A4" w:rsidRDefault="006914A4" w:rsidP="006914A4">
      <w:pPr>
        <w:pStyle w:val="2"/>
        <w:spacing w:after="0" w:line="300" w:lineRule="auto"/>
        <w:ind w:leftChars="0" w:left="0" w:firstLineChars="200" w:firstLine="480"/>
        <w:rPr>
          <w:rFonts w:ascii="宋体" w:hAnsi="宋体" w:hint="eastAsia"/>
          <w:szCs w:val="24"/>
        </w:rPr>
      </w:pPr>
      <w:r>
        <w:rPr>
          <w:rFonts w:ascii="宋体" w:hAnsi="宋体" w:hint="eastAsia"/>
          <w:szCs w:val="24"/>
        </w:rPr>
        <w:t>3.</w:t>
      </w:r>
      <w:r w:rsidRPr="006914A4">
        <w:rPr>
          <w:rFonts w:hint="eastAsia"/>
        </w:rPr>
        <w:t xml:space="preserve"> </w:t>
      </w:r>
      <w:r w:rsidRPr="006914A4">
        <w:rPr>
          <w:rFonts w:ascii="宋体" w:hAnsi="宋体" w:hint="eastAsia"/>
          <w:szCs w:val="24"/>
        </w:rPr>
        <w:t>数据可得性与市场成熟度：上述品种在全球主要期货交易所（如CBOT、BMD、ICE）拥有连续、高频的交易数据，价格形成机制透明，能够有效剔除单一政策干预噪声，真实反映全球供需基本面的不确定性。</w:t>
      </w:r>
    </w:p>
    <w:p w14:paraId="196F594F" w14:textId="349441FA" w:rsidR="00785DB0" w:rsidRDefault="006914A4" w:rsidP="006914A4">
      <w:pPr>
        <w:pStyle w:val="2"/>
        <w:spacing w:after="0" w:line="300" w:lineRule="auto"/>
        <w:ind w:leftChars="0" w:left="0"/>
        <w:rPr>
          <w:rFonts w:ascii="宋体" w:hAnsi="宋体" w:hint="eastAsia"/>
          <w:szCs w:val="24"/>
        </w:rPr>
      </w:pPr>
      <w:r>
        <w:rPr>
          <w:rFonts w:ascii="宋体" w:hAnsi="宋体" w:hint="eastAsia"/>
          <w:szCs w:val="24"/>
        </w:rPr>
        <w:t>二．</w:t>
      </w:r>
      <w:r w:rsidR="00551ECA">
        <w:rPr>
          <w:rFonts w:ascii="宋体" w:hAnsi="宋体" w:hint="eastAsia"/>
          <w:szCs w:val="24"/>
        </w:rPr>
        <w:t>数据预处理</w:t>
      </w:r>
    </w:p>
    <w:p w14:paraId="0FD63651" w14:textId="5D802DF1" w:rsidR="00785DB0" w:rsidRDefault="00785DB0" w:rsidP="00785DB0">
      <w:pPr>
        <w:pStyle w:val="2"/>
        <w:spacing w:after="0" w:line="300" w:lineRule="auto"/>
        <w:ind w:leftChars="0" w:left="0" w:firstLineChars="200" w:firstLine="480"/>
        <w:rPr>
          <w:rFonts w:ascii="宋体" w:hAnsi="宋体" w:hint="eastAsia"/>
          <w:szCs w:val="24"/>
        </w:rPr>
      </w:pPr>
      <w:r w:rsidRPr="00785DB0">
        <w:rPr>
          <w:rFonts w:ascii="宋体" w:hAnsi="宋体"/>
          <w:szCs w:val="24"/>
        </w:rPr>
        <w:t>原始数据包含日度或月度报价。首先将日期统一转换为时间序列格式，剔除缺失值后，按季度（Quarter,</w:t>
      </w:r>
      <m:oMath>
        <m:r>
          <w:rPr>
            <w:rFonts w:ascii="Cambria Math" w:hAnsi="Cambria Math"/>
            <w:szCs w:val="24"/>
          </w:rPr>
          <m:t>Q</m:t>
        </m:r>
      </m:oMath>
      <w:r w:rsidRPr="00785DB0">
        <w:rPr>
          <w:rFonts w:ascii="宋体" w:hAnsi="宋体"/>
          <w:szCs w:val="24"/>
        </w:rPr>
        <w:t>）进行聚合。对于多数品种，取季度内所有有效价格的算术平均值作为该季度的代表价格</w:t>
      </w:r>
      <m:oMath>
        <m:sSub>
          <m:sSubPr>
            <m:ctrlPr>
              <w:rPr>
                <w:rFonts w:ascii="Cambria Math" w:hAnsi="Cambria Math"/>
                <w:szCs w:val="24"/>
              </w:rPr>
            </m:ctrlPr>
          </m:sSubPr>
          <m:e>
            <m:r>
              <w:rPr>
                <w:rFonts w:ascii="Cambria Math" w:hAnsi="Cambria Math"/>
                <w:szCs w:val="24"/>
              </w:rPr>
              <m:t>P</m:t>
            </m:r>
          </m:e>
          <m:sub>
            <m:r>
              <w:rPr>
                <w:rFonts w:ascii="Cambria Math" w:hAnsi="Cambria Math"/>
                <w:szCs w:val="24"/>
              </w:rPr>
              <m:t>q</m:t>
            </m:r>
          </m:sub>
        </m:sSub>
      </m:oMath>
      <w:r w:rsidRPr="00785DB0">
        <w:rPr>
          <w:rFonts w:ascii="宋体" w:hAnsi="宋体" w:hint="eastAsia"/>
          <w:szCs w:val="24"/>
        </w:rPr>
        <w:t>。</w:t>
      </w:r>
    </w:p>
    <w:p w14:paraId="2DEBB861" w14:textId="2524B696" w:rsidR="00785DB0" w:rsidRDefault="00785DB0" w:rsidP="00785DB0">
      <w:pPr>
        <w:pStyle w:val="2"/>
        <w:spacing w:after="0" w:line="300" w:lineRule="auto"/>
        <w:ind w:leftChars="0" w:left="0" w:firstLineChars="200" w:firstLine="480"/>
        <w:rPr>
          <w:rFonts w:ascii="宋体" w:hAnsi="宋体" w:hint="eastAsia"/>
          <w:szCs w:val="24"/>
        </w:rPr>
      </w:pPr>
      <w:r>
        <w:rPr>
          <w:rFonts w:ascii="宋体" w:hAnsi="宋体" w:hint="eastAsia"/>
          <w:szCs w:val="24"/>
        </w:rPr>
        <w:t>特殊品种处理，</w:t>
      </w:r>
      <w:r w:rsidRPr="00785DB0">
        <w:rPr>
          <w:rFonts w:ascii="宋体" w:hAnsi="宋体"/>
          <w:szCs w:val="24"/>
        </w:rPr>
        <w:t>鉴于棉花价格数据的特殊性，本研究采用多源数据融合策略。原始 WFP 数据若存在缺失或精度不足，则补充来自国际洲际交易所（ICE）的日度收盘价数据。</w:t>
      </w:r>
    </w:p>
    <w:p w14:paraId="1B2A7A4D" w14:textId="6C437215" w:rsidR="007E60E5" w:rsidRDefault="006914A4" w:rsidP="007E60E5">
      <w:pPr>
        <w:pStyle w:val="2"/>
        <w:spacing w:after="0" w:line="300" w:lineRule="auto"/>
        <w:ind w:leftChars="0" w:left="0"/>
        <w:rPr>
          <w:rFonts w:ascii="宋体" w:hAnsi="宋体" w:hint="eastAsia"/>
          <w:szCs w:val="24"/>
        </w:rPr>
      </w:pPr>
      <w:r>
        <w:rPr>
          <w:rFonts w:ascii="宋体" w:hAnsi="宋体" w:hint="eastAsia"/>
          <w:szCs w:val="24"/>
        </w:rPr>
        <w:t>三．</w:t>
      </w:r>
      <w:r w:rsidR="00110B4D">
        <w:rPr>
          <w:rFonts w:ascii="宋体" w:hAnsi="宋体" w:hint="eastAsia"/>
          <w:szCs w:val="24"/>
        </w:rPr>
        <w:t>选取价格波动的原因</w:t>
      </w:r>
      <w:r w:rsidR="00110B4D">
        <w:rPr>
          <w:rFonts w:ascii="宋体" w:hAnsi="宋体"/>
          <w:szCs w:val="24"/>
        </w:rPr>
        <w:t xml:space="preserve"> </w:t>
      </w:r>
    </w:p>
    <w:p w14:paraId="0489532B" w14:textId="510642DE" w:rsidR="00785DB0" w:rsidRDefault="007E60E5" w:rsidP="007E60E5">
      <w:pPr>
        <w:pStyle w:val="2"/>
        <w:spacing w:after="0" w:line="300" w:lineRule="auto"/>
        <w:ind w:leftChars="0" w:left="0" w:firstLineChars="200" w:firstLine="480"/>
        <w:rPr>
          <w:rFonts w:ascii="宋体" w:hAnsi="宋体" w:hint="eastAsia"/>
          <w:szCs w:val="24"/>
        </w:rPr>
      </w:pPr>
      <w:r>
        <w:rPr>
          <w:rFonts w:ascii="宋体" w:hAnsi="宋体" w:hint="eastAsia"/>
          <w:szCs w:val="24"/>
        </w:rPr>
        <w:lastRenderedPageBreak/>
        <w:t>价格</w:t>
      </w:r>
      <w:r w:rsidR="000B2726">
        <w:rPr>
          <w:rFonts w:ascii="宋体" w:hAnsi="宋体" w:hint="eastAsia"/>
          <w:szCs w:val="24"/>
        </w:rPr>
        <w:t>波动代表了市场的不确定性，</w:t>
      </w:r>
      <w:r>
        <w:rPr>
          <w:rFonts w:ascii="宋体" w:hAnsi="宋体" w:hint="eastAsia"/>
          <w:szCs w:val="24"/>
        </w:rPr>
        <w:t>相较于单纯的价格变化，该指标可以更准确的捕捉因预期不稳导致的投资推迟和预防性行为等非线性宏观冲击。</w:t>
      </w:r>
    </w:p>
    <w:p w14:paraId="4F8AB2FA" w14:textId="6666AE1D" w:rsidR="007E60E5" w:rsidRDefault="007E60E5" w:rsidP="007E60E5">
      <w:pPr>
        <w:pStyle w:val="2"/>
        <w:spacing w:after="0" w:line="300" w:lineRule="auto"/>
        <w:ind w:leftChars="0" w:left="0" w:firstLineChars="200" w:firstLine="480"/>
        <w:rPr>
          <w:rFonts w:ascii="宋体" w:hAnsi="宋体" w:hint="eastAsia"/>
          <w:szCs w:val="24"/>
        </w:rPr>
      </w:pPr>
      <w:r>
        <w:rPr>
          <w:noProof/>
          <w14:ligatures w14:val="standardContextual"/>
        </w:rPr>
        <w:drawing>
          <wp:inline distT="0" distB="0" distL="0" distR="0" wp14:anchorId="0C327591" wp14:editId="55E97C97">
            <wp:extent cx="5274310" cy="2501900"/>
            <wp:effectExtent l="0" t="0" r="2540" b="0"/>
            <wp:docPr id="1917652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52046" name=""/>
                    <pic:cNvPicPr/>
                  </pic:nvPicPr>
                  <pic:blipFill>
                    <a:blip r:embed="rId10"/>
                    <a:stretch>
                      <a:fillRect/>
                    </a:stretch>
                  </pic:blipFill>
                  <pic:spPr>
                    <a:xfrm>
                      <a:off x="0" y="0"/>
                      <a:ext cx="5274310" cy="2501900"/>
                    </a:xfrm>
                    <a:prstGeom prst="rect">
                      <a:avLst/>
                    </a:prstGeom>
                  </pic:spPr>
                </pic:pic>
              </a:graphicData>
            </a:graphic>
          </wp:inline>
        </w:drawing>
      </w:r>
    </w:p>
    <w:p w14:paraId="7796FE20" w14:textId="20A5EBF1" w:rsidR="00110B4D" w:rsidRDefault="00110B4D" w:rsidP="00110B4D">
      <w:pPr>
        <w:pStyle w:val="2"/>
        <w:spacing w:after="0" w:line="300" w:lineRule="auto"/>
        <w:ind w:leftChars="0" w:left="0" w:firstLineChars="200" w:firstLine="480"/>
        <w:rPr>
          <w:rFonts w:ascii="宋体" w:hAnsi="宋体" w:hint="eastAsia"/>
          <w:szCs w:val="24"/>
        </w:rPr>
      </w:pPr>
      <w:r w:rsidRPr="00110B4D">
        <w:rPr>
          <w:rFonts w:ascii="宋体" w:hAnsi="宋体" w:hint="eastAsia"/>
          <w:szCs w:val="24"/>
        </w:rPr>
        <w:t>以石油的价格波动为例，</w:t>
      </w:r>
      <w:r w:rsidRPr="00110B4D">
        <w:rPr>
          <w:rFonts w:ascii="宋体" w:hAnsi="宋体"/>
          <w:szCs w:val="24"/>
        </w:rPr>
        <w:t>在2008年金融危机</w:t>
      </w:r>
      <w:r w:rsidRPr="00110B4D">
        <w:rPr>
          <w:rFonts w:ascii="宋体" w:hAnsi="宋体" w:hint="eastAsia"/>
          <w:szCs w:val="24"/>
        </w:rPr>
        <w:t>时</w:t>
      </w:r>
      <w:r w:rsidR="00E844A1">
        <w:rPr>
          <w:rFonts w:ascii="宋体" w:hAnsi="宋体" w:hint="eastAsia"/>
          <w:szCs w:val="24"/>
        </w:rPr>
        <w:t>，</w:t>
      </w:r>
      <w:r w:rsidRPr="00110B4D">
        <w:rPr>
          <w:rFonts w:ascii="宋体" w:hAnsi="宋体" w:hint="eastAsia"/>
          <w:szCs w:val="24"/>
        </w:rPr>
        <w:t>石油价格</w:t>
      </w:r>
      <w:r w:rsidRPr="00110B4D">
        <w:rPr>
          <w:rFonts w:ascii="宋体" w:hAnsi="宋体"/>
          <w:szCs w:val="24"/>
        </w:rPr>
        <w:t>出现“高位宽幅震荡”特征</w:t>
      </w:r>
      <w:r>
        <w:rPr>
          <w:rFonts w:ascii="宋体" w:hAnsi="宋体" w:hint="eastAsia"/>
          <w:szCs w:val="24"/>
        </w:rPr>
        <w:t>。</w:t>
      </w:r>
      <w:r w:rsidRPr="00110B4D">
        <w:rPr>
          <w:rFonts w:ascii="宋体" w:hAnsi="宋体"/>
          <w:szCs w:val="24"/>
        </w:rPr>
        <w:t>此时，价格水平可能维持高位不变（</w:t>
      </w:r>
      <m:oMath>
        <m:r>
          <m:rPr>
            <m:sty m:val="p"/>
          </m:rPr>
          <w:rPr>
            <w:rFonts w:ascii="Cambria Math" w:hAnsi="Cambria Math"/>
            <w:szCs w:val="24"/>
          </w:rPr>
          <m:t>Δ</m:t>
        </m:r>
        <m:r>
          <w:rPr>
            <w:rFonts w:ascii="Cambria Math" w:hAnsi="Cambria Math"/>
            <w:szCs w:val="24"/>
          </w:rPr>
          <m:t>P≈0</m:t>
        </m:r>
      </m:oMath>
      <w:r w:rsidRPr="00110B4D">
        <w:rPr>
          <w:rFonts w:ascii="宋体" w:hAnsi="宋体"/>
          <w:szCs w:val="24"/>
        </w:rPr>
        <w:t>），但剧烈的波动已导致供应链中断、信贷成本上升和库存策略失效，进而显著拖累经济增长。若仅使用价格变化作为解释变量，将严重低估这些时期的外部冲击影响。</w:t>
      </w:r>
    </w:p>
    <w:p w14:paraId="1F83AE9A" w14:textId="6A005B4E" w:rsidR="00E844A1" w:rsidRDefault="00E844A1" w:rsidP="009C2268">
      <w:pPr>
        <w:pStyle w:val="2"/>
        <w:spacing w:beforeLines="50" w:before="156" w:afterLines="50" w:after="156" w:line="300" w:lineRule="auto"/>
        <w:ind w:leftChars="175"/>
        <w:rPr>
          <w:rFonts w:ascii="宋体" w:hAnsi="宋体" w:hint="eastAsia"/>
          <w:sz w:val="28"/>
          <w:szCs w:val="28"/>
        </w:rPr>
      </w:pPr>
      <w:r w:rsidRPr="00E844A1">
        <w:rPr>
          <w:rFonts w:ascii="宋体" w:hAnsi="宋体" w:hint="eastAsia"/>
          <w:sz w:val="28"/>
          <w:szCs w:val="28"/>
        </w:rPr>
        <w:t xml:space="preserve">3.1.3 </w:t>
      </w:r>
      <w:r w:rsidR="009C2268">
        <w:rPr>
          <w:rFonts w:ascii="宋体" w:hAnsi="宋体" w:hint="eastAsia"/>
          <w:sz w:val="28"/>
          <w:szCs w:val="28"/>
        </w:rPr>
        <w:t>数据合并</w:t>
      </w:r>
      <w:r w:rsidRPr="00E844A1">
        <w:rPr>
          <w:rFonts w:ascii="宋体" w:hAnsi="宋体"/>
          <w:sz w:val="28"/>
          <w:szCs w:val="28"/>
        </w:rPr>
        <w:t>与量纲统一方法</w:t>
      </w:r>
    </w:p>
    <w:p w14:paraId="7AD05AEE" w14:textId="3BD1129A" w:rsidR="009C2268" w:rsidRPr="009B380B" w:rsidRDefault="00067D44" w:rsidP="009B380B">
      <w:pPr>
        <w:pStyle w:val="2"/>
        <w:spacing w:after="0" w:line="300" w:lineRule="auto"/>
        <w:ind w:leftChars="0" w:left="0" w:firstLineChars="200" w:firstLine="480"/>
        <w:rPr>
          <w:rFonts w:ascii="宋体" w:hAnsi="宋体" w:hint="eastAsia"/>
          <w:szCs w:val="24"/>
        </w:rPr>
      </w:pPr>
      <w:r w:rsidRPr="009B380B">
        <w:rPr>
          <w:rFonts w:ascii="宋体" w:hAnsi="宋体" w:hint="eastAsia"/>
          <w:szCs w:val="24"/>
        </w:rPr>
        <w:t>数据处理方面，</w:t>
      </w:r>
      <w:r w:rsidRPr="009B380B">
        <w:rPr>
          <w:rFonts w:ascii="宋体" w:hAnsi="宋体"/>
          <w:szCs w:val="24"/>
        </w:rPr>
        <w:t>鉴于本研究数据集由多源异构数据构成，为消除量纲差异对后续实证分析的干扰并夯实数据基础，本研究构建了标准化的数据处理流水线。该流程严格遵循</w:t>
      </w:r>
      <w:r w:rsidR="004E53E0" w:rsidRPr="009B380B">
        <w:rPr>
          <w:rFonts w:ascii="宋体" w:hAnsi="宋体" w:hint="eastAsia"/>
          <w:szCs w:val="24"/>
        </w:rPr>
        <w:t>“</w:t>
      </w:r>
      <w:r w:rsidRPr="009B380B">
        <w:rPr>
          <w:rFonts w:ascii="宋体" w:hAnsi="宋体"/>
          <w:szCs w:val="24"/>
        </w:rPr>
        <w:t>多源异构整合 → 季度频率对齐 → 外连接融合 → 核心宏观变量构造 → 对数差分无量纲化</w:t>
      </w:r>
      <w:r w:rsidR="004E53E0" w:rsidRPr="009B380B">
        <w:rPr>
          <w:rFonts w:ascii="宋体" w:hAnsi="宋体" w:hint="eastAsia"/>
          <w:szCs w:val="24"/>
        </w:rPr>
        <w:t>”</w:t>
      </w:r>
      <w:r w:rsidRPr="009B380B">
        <w:rPr>
          <w:rFonts w:ascii="宋体" w:hAnsi="宋体"/>
          <w:szCs w:val="24"/>
        </w:rPr>
        <w:t>的技术路线，确保了数据在统计口径与量纲尺度上的高度统一。</w:t>
      </w:r>
    </w:p>
    <w:p w14:paraId="53F9F09E" w14:textId="540087B7" w:rsidR="004E53E0" w:rsidRPr="009B380B" w:rsidRDefault="004E53E0" w:rsidP="009B380B">
      <w:pPr>
        <w:pStyle w:val="2"/>
        <w:spacing w:after="0" w:line="300" w:lineRule="auto"/>
        <w:ind w:leftChars="0" w:left="0"/>
        <w:rPr>
          <w:rFonts w:ascii="宋体" w:hAnsi="宋体" w:hint="eastAsia"/>
          <w:szCs w:val="24"/>
        </w:rPr>
      </w:pPr>
      <w:r w:rsidRPr="009B380B">
        <w:rPr>
          <w:rFonts w:ascii="宋体" w:hAnsi="宋体" w:hint="eastAsia"/>
          <w:szCs w:val="24"/>
        </w:rPr>
        <w:t>一. 多源数据频率对齐与标准化</w:t>
      </w:r>
    </w:p>
    <w:p w14:paraId="07A8E0A2" w14:textId="397BA4F2" w:rsidR="004E53E0" w:rsidRPr="009B380B" w:rsidRDefault="004E53E0" w:rsidP="009B380B">
      <w:pPr>
        <w:pStyle w:val="2"/>
        <w:spacing w:after="0" w:line="300" w:lineRule="auto"/>
        <w:ind w:leftChars="0" w:left="0" w:firstLineChars="200" w:firstLine="480"/>
        <w:rPr>
          <w:rFonts w:ascii="宋体" w:hAnsi="宋体" w:hint="eastAsia"/>
          <w:szCs w:val="24"/>
        </w:rPr>
      </w:pPr>
      <w:r w:rsidRPr="009B380B">
        <w:rPr>
          <w:rFonts w:ascii="宋体" w:hAnsi="宋体" w:hint="eastAsia"/>
          <w:szCs w:val="24"/>
        </w:rPr>
        <w:t>为消除采样频率不一致导致的伪回归风险，本研究将所有原始数据统一映射至季度频率。针对不同来源数据特性，采取差异化聚合策略：</w:t>
      </w:r>
    </w:p>
    <w:p w14:paraId="6A808E6C" w14:textId="77777777" w:rsidR="004E53E0" w:rsidRPr="009B380B" w:rsidRDefault="004E53E0" w:rsidP="009B380B">
      <w:pPr>
        <w:pStyle w:val="2"/>
        <w:spacing w:after="0" w:line="300" w:lineRule="auto"/>
        <w:ind w:leftChars="0"/>
        <w:rPr>
          <w:rFonts w:ascii="宋体" w:hAnsi="宋体" w:hint="eastAsia"/>
          <w:szCs w:val="24"/>
        </w:rPr>
      </w:pPr>
      <w:r w:rsidRPr="009B380B">
        <w:rPr>
          <w:rFonts w:ascii="宋体" w:hAnsi="宋体" w:hint="eastAsia"/>
          <w:szCs w:val="24"/>
        </w:rPr>
        <w:t>1.</w:t>
      </w:r>
      <w:r w:rsidRPr="004E53E0">
        <w:rPr>
          <w:rFonts w:ascii="宋体" w:hAnsi="宋体"/>
          <w:szCs w:val="24"/>
        </w:rPr>
        <w:t>高频金融与商品序列（日度 </w:t>
      </w:r>
      <m:oMath>
        <m:r>
          <w:rPr>
            <w:rFonts w:ascii="Cambria Math" w:hAnsi="Cambria Math"/>
            <w:szCs w:val="24"/>
          </w:rPr>
          <m:t>→</m:t>
        </m:r>
      </m:oMath>
      <w:r w:rsidRPr="004E53E0">
        <w:rPr>
          <w:rFonts w:ascii="宋体" w:hAnsi="宋体"/>
          <w:szCs w:val="24"/>
        </w:rPr>
        <w:t> 季度均值）：</w:t>
      </w:r>
    </w:p>
    <w:p w14:paraId="01CE5C77" w14:textId="2BFB8095" w:rsidR="004E53E0" w:rsidRPr="009B380B" w:rsidRDefault="004E53E0" w:rsidP="009B380B">
      <w:pPr>
        <w:pStyle w:val="2"/>
        <w:spacing w:after="0" w:line="300" w:lineRule="auto"/>
        <w:ind w:leftChars="0"/>
        <w:rPr>
          <w:rFonts w:ascii="宋体" w:hAnsi="宋体" w:hint="eastAsia"/>
          <w:szCs w:val="24"/>
        </w:rPr>
      </w:pPr>
      <w:r w:rsidRPr="004E53E0">
        <w:rPr>
          <w:rFonts w:ascii="宋体" w:hAnsi="宋体"/>
          <w:szCs w:val="24"/>
        </w:rPr>
        <w:t>对于原油价格、外汇汇率及全球农产品价格，首先解析时间戳并映射至季度标签（</w:t>
      </w:r>
      <m:oMath>
        <m:r>
          <w:rPr>
            <w:rFonts w:ascii="Cambria Math" w:hAnsi="Cambria Math"/>
            <w:szCs w:val="24"/>
          </w:rPr>
          <m:t>YYYYQn</m:t>
        </m:r>
      </m:oMath>
      <w:r w:rsidRPr="004E53E0">
        <w:rPr>
          <w:rFonts w:ascii="宋体" w:hAnsi="宋体"/>
          <w:szCs w:val="24"/>
        </w:rPr>
        <w:t>）。随后，计算季度内所有有效观测值的算术平均值：</w:t>
      </w:r>
    </w:p>
    <w:p w14:paraId="3F8918A0" w14:textId="626B2E71" w:rsidR="004E53E0" w:rsidRPr="004E53E0" w:rsidRDefault="004E53E0" w:rsidP="009B380B">
      <w:pPr>
        <w:pStyle w:val="2"/>
        <w:spacing w:after="0" w:line="300" w:lineRule="auto"/>
        <w:ind w:left="480"/>
        <w:rPr>
          <w:rFonts w:ascii="宋体" w:hAnsi="宋体" w:hint="eastAsia"/>
          <w:szCs w:val="24"/>
        </w:rPr>
      </w:pPr>
      <w:r w:rsidRPr="009B380B">
        <w:rPr>
          <w:rFonts w:ascii="宋体" w:hAnsi="宋体" w:hint="eastAsia"/>
          <w:szCs w:val="24"/>
        </w:rPr>
        <w:t>2. 低频宏观序列（年度 → 季度插值/复制）：</w:t>
      </w:r>
    </w:p>
    <w:p w14:paraId="0CEFC55B" w14:textId="366911A7" w:rsidR="004E53E0" w:rsidRPr="009B380B" w:rsidRDefault="004E53E0" w:rsidP="009B380B">
      <w:pPr>
        <w:pStyle w:val="2"/>
        <w:spacing w:after="0" w:line="300" w:lineRule="auto"/>
        <w:ind w:leftChars="0" w:left="0" w:firstLineChars="200" w:firstLine="480"/>
        <w:rPr>
          <w:rFonts w:ascii="宋体" w:hAnsi="宋体" w:hint="eastAsia"/>
          <w:szCs w:val="24"/>
        </w:rPr>
      </w:pPr>
      <w:r w:rsidRPr="009B380B">
        <w:rPr>
          <w:rFonts w:ascii="宋体" w:hAnsi="宋体"/>
          <w:szCs w:val="24"/>
        </w:rPr>
        <w:t>对于中国年度GDP总量，采用线性插值法构建季度序列，以平滑捕捉年度间的增长趋势；对于三次产业贡献率及第一产业占比等结构性指标，鉴于其年度核算属性，采用季度复制法，将年度数值赋予当年四个季度，以保持结构比例的时序一致性。</w:t>
      </w:r>
    </w:p>
    <w:p w14:paraId="0F2871AC" w14:textId="2ECE2927" w:rsidR="004E53E0" w:rsidRPr="009B380B" w:rsidRDefault="004E53E0" w:rsidP="009B380B">
      <w:pPr>
        <w:pStyle w:val="2"/>
        <w:spacing w:after="0" w:line="300" w:lineRule="auto"/>
        <w:ind w:leftChars="0"/>
        <w:rPr>
          <w:rFonts w:ascii="宋体" w:hAnsi="宋体" w:hint="eastAsia"/>
          <w:szCs w:val="24"/>
        </w:rPr>
      </w:pPr>
      <w:r w:rsidRPr="009B380B">
        <w:rPr>
          <w:rFonts w:ascii="宋体" w:hAnsi="宋体" w:hint="eastAsia"/>
          <w:szCs w:val="24"/>
        </w:rPr>
        <w:t>3. 样本区间截断：</w:t>
      </w:r>
    </w:p>
    <w:p w14:paraId="42419B14" w14:textId="451DC3A4" w:rsidR="004E53E0" w:rsidRPr="009B380B" w:rsidRDefault="004E53E0" w:rsidP="009B380B">
      <w:pPr>
        <w:pStyle w:val="2"/>
        <w:spacing w:after="0" w:line="300" w:lineRule="auto"/>
        <w:ind w:leftChars="0" w:left="0" w:firstLineChars="200" w:firstLine="480"/>
        <w:rPr>
          <w:rFonts w:ascii="宋体" w:hAnsi="宋体" w:hint="eastAsia"/>
          <w:szCs w:val="24"/>
        </w:rPr>
      </w:pPr>
      <w:r w:rsidRPr="009B380B">
        <w:rPr>
          <w:rFonts w:ascii="宋体" w:hAnsi="宋体"/>
          <w:szCs w:val="24"/>
        </w:rPr>
        <w:lastRenderedPageBreak/>
        <w:t>所有序列合并后，统一截取200</w:t>
      </w:r>
      <w:r w:rsidR="007055B6" w:rsidRPr="009B380B">
        <w:rPr>
          <w:rFonts w:ascii="宋体" w:hAnsi="宋体" w:hint="eastAsia"/>
          <w:szCs w:val="24"/>
        </w:rPr>
        <w:t>5</w:t>
      </w:r>
      <w:r w:rsidRPr="009B380B">
        <w:rPr>
          <w:rFonts w:ascii="宋体" w:hAnsi="宋体"/>
          <w:szCs w:val="24"/>
        </w:rPr>
        <w:t>年第一季度 至最新可用数据作为研究样本区间，确保长周期宏观分析的完整性。</w:t>
      </w:r>
    </w:p>
    <w:p w14:paraId="40834B2E" w14:textId="56C81ABF" w:rsidR="007055B6" w:rsidRPr="009B380B" w:rsidRDefault="007055B6" w:rsidP="009B380B">
      <w:pPr>
        <w:pStyle w:val="2"/>
        <w:spacing w:after="0" w:line="300" w:lineRule="auto"/>
        <w:ind w:leftChars="0" w:left="0"/>
        <w:rPr>
          <w:rFonts w:ascii="宋体" w:hAnsi="宋体" w:hint="eastAsia"/>
          <w:szCs w:val="24"/>
        </w:rPr>
      </w:pPr>
      <w:r w:rsidRPr="009B380B">
        <w:rPr>
          <w:rFonts w:ascii="宋体" w:hAnsi="宋体" w:hint="eastAsia"/>
          <w:szCs w:val="24"/>
        </w:rPr>
        <w:t>二. 基于外连接的数据融合策略</w:t>
      </w:r>
    </w:p>
    <w:p w14:paraId="69339628" w14:textId="3771719A" w:rsidR="007055B6" w:rsidRPr="009B380B" w:rsidRDefault="007055B6" w:rsidP="009B380B">
      <w:pPr>
        <w:pStyle w:val="2"/>
        <w:spacing w:after="0" w:line="300" w:lineRule="auto"/>
        <w:ind w:leftChars="0" w:left="0" w:firstLineChars="200" w:firstLine="480"/>
        <w:rPr>
          <w:rFonts w:ascii="宋体" w:hAnsi="宋体" w:hint="eastAsia"/>
          <w:szCs w:val="24"/>
        </w:rPr>
      </w:pPr>
      <w:r w:rsidRPr="009B380B">
        <w:rPr>
          <w:rFonts w:ascii="宋体" w:hAnsi="宋体"/>
          <w:szCs w:val="24"/>
        </w:rPr>
        <w:t>为最大化保留信息并避免单一数据源缺失导致的样本选择性偏差，本研究构建了以季度为唯一主键的外连接合并机制</w:t>
      </w:r>
      <w:r w:rsidRPr="009B380B">
        <w:rPr>
          <w:rFonts w:ascii="宋体" w:hAnsi="宋体" w:hint="eastAsia"/>
          <w:szCs w:val="24"/>
        </w:rPr>
        <w:t>。</w:t>
      </w:r>
      <w:r w:rsidRPr="009B380B">
        <w:rPr>
          <w:rFonts w:ascii="宋体" w:hAnsi="宋体"/>
          <w:szCs w:val="24"/>
        </w:rPr>
        <w:t>该策略允许主表在特定季度存在部分变量缺失，从而保留了其他变量的有效观测。</w:t>
      </w:r>
    </w:p>
    <w:p w14:paraId="635DA8C5" w14:textId="7AFDBE74" w:rsidR="007055B6" w:rsidRPr="009B380B" w:rsidRDefault="007055B6" w:rsidP="009B380B">
      <w:pPr>
        <w:pStyle w:val="2"/>
        <w:spacing w:after="0" w:line="300" w:lineRule="auto"/>
        <w:ind w:leftChars="0" w:left="0"/>
        <w:rPr>
          <w:rFonts w:ascii="宋体" w:hAnsi="宋体" w:hint="eastAsia"/>
          <w:szCs w:val="24"/>
        </w:rPr>
      </w:pPr>
      <w:r w:rsidRPr="009B380B">
        <w:rPr>
          <w:rFonts w:ascii="宋体" w:hAnsi="宋体" w:hint="eastAsia"/>
          <w:szCs w:val="24"/>
        </w:rPr>
        <w:t>三</w:t>
      </w:r>
      <w:r w:rsidR="00FA5354" w:rsidRPr="009B380B">
        <w:rPr>
          <w:rFonts w:ascii="宋体" w:hAnsi="宋体" w:hint="eastAsia"/>
          <w:szCs w:val="24"/>
        </w:rPr>
        <w:t>.核心派生变量构建</w:t>
      </w:r>
    </w:p>
    <w:p w14:paraId="1EABBB1A" w14:textId="0103A032" w:rsidR="00FA5354" w:rsidRPr="009B380B" w:rsidRDefault="00FA5354" w:rsidP="009B380B">
      <w:pPr>
        <w:pStyle w:val="2"/>
        <w:spacing w:after="0" w:line="300" w:lineRule="auto"/>
        <w:ind w:leftChars="0" w:left="0" w:firstLine="570"/>
        <w:rPr>
          <w:rFonts w:ascii="宋体" w:hAnsi="宋体" w:hint="eastAsia"/>
          <w:szCs w:val="24"/>
        </w:rPr>
      </w:pPr>
      <w:r w:rsidRPr="009B380B">
        <w:rPr>
          <w:rFonts w:ascii="宋体" w:hAnsi="宋体" w:hint="eastAsia"/>
          <w:szCs w:val="24"/>
        </w:rPr>
        <w:t>为精准量化第一产业对宏观经济的实际贡献规模，本研究构造了核心被解释变量:第一产业权重GDP。</w:t>
      </w:r>
      <w:r w:rsidR="00FD6D28" w:rsidRPr="009B380B">
        <w:rPr>
          <w:rFonts w:ascii="宋体" w:hAnsi="宋体"/>
          <w:szCs w:val="24"/>
        </w:rPr>
        <w:t>该变量不仅吸收了宏观经济总量的增长信息，还内嵌了产业结构变迁特征，作为后续弹性分析、滞后相关检验及机器学习预测的目标变量</w:t>
      </w:r>
      <w:r w:rsidR="00FD6D28" w:rsidRPr="009B380B">
        <w:rPr>
          <w:rFonts w:ascii="宋体" w:hAnsi="宋体" w:hint="eastAsia"/>
          <w:szCs w:val="24"/>
        </w:rPr>
        <w:t>。</w:t>
      </w:r>
    </w:p>
    <w:p w14:paraId="4759158C" w14:textId="453AEEF9" w:rsidR="00FA5354" w:rsidRPr="009B380B" w:rsidRDefault="00FA5354" w:rsidP="009B380B">
      <w:pPr>
        <w:pStyle w:val="2"/>
        <w:spacing w:after="0" w:line="300" w:lineRule="auto"/>
        <w:ind w:leftChars="0" w:left="0"/>
        <w:rPr>
          <w:rFonts w:ascii="宋体" w:hAnsi="宋体" w:hint="eastAsia"/>
          <w:szCs w:val="24"/>
        </w:rPr>
      </w:pPr>
      <w:r w:rsidRPr="009B380B">
        <w:rPr>
          <w:rFonts w:ascii="宋体" w:hAnsi="宋体" w:hint="eastAsia"/>
          <w:szCs w:val="24"/>
        </w:rPr>
        <w:t>四. 量纲统一：对数差分变换</w:t>
      </w:r>
    </w:p>
    <w:p w14:paraId="5B496F25" w14:textId="77B290EA" w:rsidR="00FA5354" w:rsidRPr="009B380B" w:rsidRDefault="00FD6D28" w:rsidP="009B380B">
      <w:pPr>
        <w:pStyle w:val="2"/>
        <w:spacing w:after="0" w:line="300" w:lineRule="auto"/>
        <w:ind w:leftChars="0" w:left="0" w:firstLineChars="200" w:firstLine="480"/>
        <w:rPr>
          <w:rFonts w:ascii="宋体" w:hAnsi="宋体" w:hint="eastAsia"/>
          <w:szCs w:val="24"/>
        </w:rPr>
      </w:pPr>
      <w:r w:rsidRPr="009B380B">
        <w:rPr>
          <w:rFonts w:ascii="宋体" w:hAnsi="宋体" w:hint="eastAsia"/>
          <w:szCs w:val="24"/>
        </w:rPr>
        <w:t>由于原始变量存在严重的量纲异质性（如“亿元”、“美元/吨”、“本币/美元”）</w:t>
      </w:r>
      <w:r w:rsidR="00FA5354" w:rsidRPr="009B380B">
        <w:rPr>
          <w:rFonts w:ascii="宋体" w:hAnsi="宋体"/>
          <w:szCs w:val="24"/>
        </w:rPr>
        <w:t>，直接使用水平值进行建模不仅导致回归系数缺乏经济学解释力，还易引发异方差问题。本研究采用对数差分法实现跨变量的无量纲化</w:t>
      </w:r>
      <w:r w:rsidRPr="009B380B">
        <w:rPr>
          <w:rFonts w:ascii="宋体" w:hAnsi="宋体" w:hint="eastAsia"/>
          <w:szCs w:val="24"/>
        </w:rPr>
        <w:t>：</w:t>
      </w:r>
    </w:p>
    <w:p w14:paraId="79F5558E" w14:textId="5A1FBA44" w:rsidR="00FD6D28" w:rsidRPr="009B380B" w:rsidRDefault="00FD6D28" w:rsidP="009B380B">
      <w:pPr>
        <w:pStyle w:val="2"/>
        <w:spacing w:after="0" w:line="300" w:lineRule="auto"/>
        <w:ind w:leftChars="0" w:left="0" w:firstLineChars="200" w:firstLine="480"/>
        <w:rPr>
          <w:rFonts w:ascii="宋体" w:hAnsi="宋体" w:hint="eastAsia"/>
          <w:szCs w:val="24"/>
        </w:rPr>
      </w:pPr>
      <w:r w:rsidRPr="009B380B">
        <w:rPr>
          <w:rFonts w:ascii="宋体" w:hAnsi="宋体"/>
          <w:szCs w:val="24"/>
        </w:rPr>
        <w:t>对数化：对所有严格正值序列</w:t>
      </w:r>
      <m:oMath>
        <m:sSub>
          <m:sSubPr>
            <m:ctrlPr>
              <w:rPr>
                <w:rFonts w:ascii="Cambria Math" w:hAnsi="Cambria Math"/>
                <w:szCs w:val="24"/>
              </w:rPr>
            </m:ctrlPr>
          </m:sSubPr>
          <m:e>
            <m:r>
              <w:rPr>
                <w:rFonts w:ascii="Cambria Math" w:hAnsi="Cambria Math"/>
                <w:szCs w:val="24"/>
              </w:rPr>
              <m:t>X</m:t>
            </m:r>
          </m:e>
          <m:sub>
            <m:r>
              <w:rPr>
                <w:rFonts w:ascii="Cambria Math" w:hAnsi="Cambria Math"/>
                <w:szCs w:val="24"/>
              </w:rPr>
              <m:t>t</m:t>
            </m:r>
          </m:sub>
        </m:sSub>
      </m:oMath>
      <w:r w:rsidRPr="009B380B">
        <w:rPr>
          <w:rFonts w:ascii="宋体" w:hAnsi="宋体"/>
          <w:szCs w:val="24"/>
        </w:rPr>
        <w:t>取自然对数</w:t>
      </w:r>
      <m:oMath>
        <m:sSub>
          <m:sSubPr>
            <m:ctrlPr>
              <w:rPr>
                <w:rFonts w:ascii="Cambria Math" w:hAnsi="Cambria Math"/>
                <w:szCs w:val="24"/>
              </w:rPr>
            </m:ctrlPr>
          </m:sSubPr>
          <m:e>
            <m:r>
              <w:rPr>
                <w:rFonts w:ascii="Cambria Math" w:hAnsi="Cambria Math"/>
                <w:szCs w:val="24"/>
              </w:rPr>
              <m:t>x</m:t>
            </m:r>
          </m:e>
          <m:sub>
            <m:r>
              <w:rPr>
                <w:rFonts w:ascii="Cambria Math" w:hAnsi="Cambria Math"/>
                <w:szCs w:val="24"/>
              </w:rPr>
              <m:t>t</m:t>
            </m:r>
          </m:sub>
        </m:sSub>
        <m:r>
          <w:rPr>
            <w:rFonts w:ascii="Cambria Math" w:hAnsi="Cambria Math"/>
            <w:szCs w:val="24"/>
          </w:rPr>
          <m:t>=</m:t>
        </m:r>
        <m:r>
          <m:rPr>
            <m:sty m:val="p"/>
          </m:rPr>
          <w:rPr>
            <w:rFonts w:ascii="Cambria Math" w:hAnsi="Cambria Math"/>
            <w:szCs w:val="24"/>
          </w:rPr>
          <m:t>ln</m:t>
        </m:r>
        <m:r>
          <w:rPr>
            <w:rFonts w:ascii="Cambria Math" w:hAnsi="Cambria Math"/>
            <w:szCs w:val="24"/>
          </w:rPr>
          <m:t>⁡(</m:t>
        </m:r>
        <m:sSub>
          <m:sSubPr>
            <m:ctrlPr>
              <w:rPr>
                <w:rFonts w:ascii="Cambria Math" w:hAnsi="Cambria Math"/>
                <w:szCs w:val="24"/>
              </w:rPr>
            </m:ctrlPr>
          </m:sSubPr>
          <m:e>
            <m:r>
              <w:rPr>
                <w:rFonts w:ascii="Cambria Math" w:hAnsi="Cambria Math"/>
                <w:szCs w:val="24"/>
              </w:rPr>
              <m:t>X</m:t>
            </m:r>
          </m:e>
          <m:sub>
            <m:r>
              <w:rPr>
                <w:rFonts w:ascii="Cambria Math" w:hAnsi="Cambria Math"/>
                <w:szCs w:val="24"/>
              </w:rPr>
              <m:t>t</m:t>
            </m:r>
          </m:sub>
        </m:sSub>
        <m:r>
          <w:rPr>
            <w:rFonts w:ascii="Cambria Math" w:hAnsi="Cambria Math"/>
            <w:szCs w:val="24"/>
          </w:rPr>
          <m:t>)</m:t>
        </m:r>
      </m:oMath>
      <w:r w:rsidRPr="009B380B">
        <w:rPr>
          <w:rFonts w:ascii="宋体" w:hAnsi="宋体" w:hint="eastAsia"/>
          <w:szCs w:val="24"/>
        </w:rPr>
        <w:t>，</w:t>
      </w:r>
      <w:r w:rsidRPr="009B380B">
        <w:rPr>
          <w:rFonts w:ascii="宋体" w:hAnsi="宋体"/>
          <w:szCs w:val="24"/>
        </w:rPr>
        <w:t>将乘性关系转化为加性关系，压缩极端值影响</w:t>
      </w:r>
    </w:p>
    <w:p w14:paraId="56988B3D" w14:textId="3F0F3683" w:rsidR="00FD6D28" w:rsidRPr="009B380B" w:rsidRDefault="00FD6D28" w:rsidP="009B380B">
      <w:pPr>
        <w:pStyle w:val="2"/>
        <w:spacing w:after="0" w:line="300" w:lineRule="auto"/>
        <w:ind w:leftChars="0" w:left="0" w:firstLineChars="200" w:firstLine="480"/>
        <w:rPr>
          <w:rFonts w:ascii="宋体" w:hAnsi="宋体" w:hint="eastAsia"/>
          <w:szCs w:val="24"/>
        </w:rPr>
      </w:pPr>
      <w:r w:rsidRPr="009B380B">
        <w:rPr>
          <w:rFonts w:ascii="宋体" w:hAnsi="宋体" w:hint="eastAsia"/>
          <w:szCs w:val="24"/>
        </w:rPr>
        <w:t>一阶差分：计算对数序列的一阶差分，得到对数收益率。</w:t>
      </w:r>
    </w:p>
    <w:p w14:paraId="08A85CA6" w14:textId="530AACAB" w:rsidR="00B4009A" w:rsidRPr="009B380B" w:rsidRDefault="00B4009A" w:rsidP="009B380B">
      <w:pPr>
        <w:pStyle w:val="2"/>
        <w:spacing w:after="0" w:line="300" w:lineRule="auto"/>
        <w:ind w:leftChars="0" w:left="0"/>
        <w:rPr>
          <w:rFonts w:ascii="宋体" w:hAnsi="宋体" w:hint="eastAsia"/>
          <w:szCs w:val="24"/>
        </w:rPr>
      </w:pPr>
      <w:r w:rsidRPr="009B380B">
        <w:rPr>
          <w:rFonts w:ascii="宋体" w:hAnsi="宋体" w:hint="eastAsia"/>
          <w:szCs w:val="24"/>
        </w:rPr>
        <w:t>五.特征工程</w:t>
      </w:r>
    </w:p>
    <w:p w14:paraId="193370E0" w14:textId="201F5980" w:rsidR="00B4009A" w:rsidRPr="009B380B" w:rsidRDefault="00B4009A" w:rsidP="009B380B">
      <w:pPr>
        <w:pStyle w:val="2"/>
        <w:spacing w:after="0" w:line="300" w:lineRule="auto"/>
        <w:ind w:leftChars="0" w:left="0"/>
        <w:rPr>
          <w:rFonts w:ascii="宋体" w:hAnsi="宋体" w:hint="eastAsia"/>
          <w:szCs w:val="24"/>
        </w:rPr>
      </w:pPr>
      <w:r w:rsidRPr="009B380B">
        <w:rPr>
          <w:rFonts w:ascii="宋体" w:hAnsi="宋体" w:hint="eastAsia"/>
          <w:szCs w:val="24"/>
        </w:rPr>
        <w:t xml:space="preserve">  </w:t>
      </w:r>
      <w:r w:rsidR="00E00C32">
        <w:rPr>
          <w:rFonts w:ascii="宋体" w:hAnsi="宋体" w:hint="eastAsia"/>
          <w:szCs w:val="24"/>
        </w:rPr>
        <w:t xml:space="preserve"> </w:t>
      </w:r>
      <w:r w:rsidR="00FD6D28" w:rsidRPr="009B380B">
        <w:rPr>
          <w:rFonts w:ascii="宋体" w:hAnsi="宋体"/>
          <w:szCs w:val="24"/>
        </w:rPr>
        <w:t>在完成基础量纲统一后，为进一步捕捉宏观经济的动态传导机制与非线性特征，</w:t>
      </w:r>
      <w:r w:rsidR="00FD6D28" w:rsidRPr="009B380B">
        <w:rPr>
          <w:rFonts w:ascii="宋体" w:hAnsi="宋体" w:hint="eastAsia"/>
          <w:szCs w:val="24"/>
        </w:rPr>
        <w:t>构建了多维度特征体系：</w:t>
      </w:r>
    </w:p>
    <w:p w14:paraId="281E0627" w14:textId="7B7E9951" w:rsidR="00B226E0" w:rsidRPr="009B380B" w:rsidRDefault="00B226E0" w:rsidP="009B380B">
      <w:pPr>
        <w:pStyle w:val="2"/>
        <w:spacing w:after="0" w:line="300" w:lineRule="auto"/>
        <w:ind w:leftChars="0" w:left="0"/>
        <w:rPr>
          <w:rFonts w:ascii="宋体" w:hAnsi="宋体" w:hint="eastAsia"/>
          <w:szCs w:val="24"/>
        </w:rPr>
      </w:pPr>
      <w:r w:rsidRPr="009B380B">
        <w:rPr>
          <w:rFonts w:ascii="宋体" w:hAnsi="宋体" w:hint="eastAsia"/>
          <w:szCs w:val="24"/>
        </w:rPr>
        <w:t>1.</w:t>
      </w:r>
      <w:r w:rsidRPr="009B380B">
        <w:rPr>
          <w:rFonts w:ascii="宋体" w:hAnsi="宋体"/>
          <w:szCs w:val="24"/>
        </w:rPr>
        <w:t>动态时滞与趋势刻画</w:t>
      </w:r>
    </w:p>
    <w:p w14:paraId="4DFD9FAA" w14:textId="54FF5911" w:rsidR="009B380B" w:rsidRPr="009B380B" w:rsidRDefault="00B226E0" w:rsidP="009B380B">
      <w:pPr>
        <w:pStyle w:val="2"/>
        <w:spacing w:after="0" w:line="300" w:lineRule="auto"/>
        <w:ind w:leftChars="0" w:left="0" w:firstLineChars="200" w:firstLine="480"/>
        <w:rPr>
          <w:rFonts w:ascii="宋体" w:hAnsi="宋体" w:hint="eastAsia"/>
          <w:szCs w:val="24"/>
        </w:rPr>
      </w:pPr>
      <w:r w:rsidRPr="009B380B">
        <w:rPr>
          <w:rFonts w:ascii="宋体" w:hAnsi="宋体"/>
          <w:szCs w:val="24"/>
        </w:rPr>
        <w:t>为捕捉经济变量的惯性传导与波动状态，构造了1至4期滞后项以反映自回归特性及外部冲击的延迟效应；同时引入4季度滚动均值与标准差。关键设计在于将所有滚动统计量向后移位一期，严格杜绝“未来函数泄露”，确保模型仅基于历史状态进行预测。</w:t>
      </w:r>
    </w:p>
    <w:p w14:paraId="7EAA81EC" w14:textId="77777777" w:rsidR="00B226E0" w:rsidRPr="009B380B" w:rsidRDefault="00B226E0" w:rsidP="009B380B">
      <w:pPr>
        <w:pStyle w:val="2"/>
        <w:spacing w:after="0" w:line="300" w:lineRule="auto"/>
        <w:ind w:leftChars="0" w:left="480" w:hangingChars="200" w:hanging="480"/>
        <w:rPr>
          <w:rFonts w:ascii="宋体" w:hAnsi="宋体" w:hint="eastAsia"/>
          <w:szCs w:val="24"/>
        </w:rPr>
      </w:pPr>
      <w:r w:rsidRPr="009B380B">
        <w:rPr>
          <w:rFonts w:ascii="宋体" w:hAnsi="宋体" w:hint="eastAsia"/>
          <w:szCs w:val="24"/>
        </w:rPr>
        <w:t>2.</w:t>
      </w:r>
      <w:r w:rsidRPr="00B226E0">
        <w:rPr>
          <w:rFonts w:ascii="宋体" w:hAnsi="宋体"/>
          <w:szCs w:val="24"/>
        </w:rPr>
        <w:t>季节控制与非线性联动</w:t>
      </w:r>
    </w:p>
    <w:p w14:paraId="72FD1FFE" w14:textId="7E168B94" w:rsidR="00B226E0" w:rsidRPr="00B226E0" w:rsidRDefault="00B226E0" w:rsidP="009B380B">
      <w:pPr>
        <w:pStyle w:val="2"/>
        <w:spacing w:after="0" w:line="300" w:lineRule="auto"/>
        <w:ind w:leftChars="0" w:left="0" w:firstLineChars="200" w:firstLine="480"/>
        <w:rPr>
          <w:rFonts w:ascii="宋体" w:hAnsi="宋体" w:hint="eastAsia"/>
          <w:szCs w:val="24"/>
        </w:rPr>
      </w:pPr>
      <w:r w:rsidRPr="00B226E0">
        <w:rPr>
          <w:rFonts w:ascii="宋体" w:hAnsi="宋体"/>
          <w:szCs w:val="24"/>
        </w:rPr>
        <w:t>针对农业生产的周期性规律，引入季度虚拟变量以消除季节性偏差。此外，基于成本推动理论构造能源与农产品价格的交互项，旨在捕捉单一变量无法体现的非线性机制（如油价高涨对粮价波动的放大或抑制效应），增强模型对复杂市场环境的拟合能力。</w:t>
      </w:r>
    </w:p>
    <w:p w14:paraId="246FAE6B" w14:textId="77777777" w:rsidR="00B226E0" w:rsidRPr="009B380B" w:rsidRDefault="00B226E0" w:rsidP="009B380B">
      <w:pPr>
        <w:pStyle w:val="2"/>
        <w:spacing w:after="0" w:line="300" w:lineRule="auto"/>
        <w:ind w:leftChars="0" w:left="0"/>
        <w:rPr>
          <w:rFonts w:ascii="宋体" w:hAnsi="宋体" w:hint="eastAsia"/>
          <w:szCs w:val="24"/>
        </w:rPr>
      </w:pPr>
      <w:r w:rsidRPr="009B380B">
        <w:rPr>
          <w:rFonts w:ascii="宋体" w:hAnsi="宋体" w:hint="eastAsia"/>
          <w:szCs w:val="24"/>
        </w:rPr>
        <w:t>3.</w:t>
      </w:r>
      <w:r w:rsidRPr="00B226E0">
        <w:rPr>
          <w:rFonts w:ascii="宋体" w:hAnsi="宋体"/>
          <w:szCs w:val="24"/>
        </w:rPr>
        <w:t>自适应信号优选机制</w:t>
      </w:r>
    </w:p>
    <w:p w14:paraId="73C15AAB" w14:textId="7261B163" w:rsidR="00B226E0" w:rsidRPr="00B226E0" w:rsidRDefault="00B226E0" w:rsidP="009B380B">
      <w:pPr>
        <w:pStyle w:val="2"/>
        <w:spacing w:after="0" w:line="300" w:lineRule="auto"/>
        <w:ind w:leftChars="0" w:left="0" w:firstLineChars="200" w:firstLine="480"/>
        <w:rPr>
          <w:rFonts w:ascii="宋体" w:hAnsi="宋体" w:hint="eastAsia"/>
          <w:szCs w:val="24"/>
        </w:rPr>
      </w:pPr>
      <w:r w:rsidRPr="00B226E0">
        <w:rPr>
          <w:rFonts w:ascii="宋体" w:hAnsi="宋体"/>
          <w:szCs w:val="24"/>
        </w:rPr>
        <w:t>在全量特征基础上，构建基于统计显著性的精简特征集。该机制对每个变量自动对比“原始差分”、“EWMA平滑”与“预白化冲击”三种表征形式，并从0至8期的宽窗口中筛选出相关性最强且显著的最优滞后阶数。这一过程实现了提</w:t>
      </w:r>
      <w:r w:rsidRPr="00B226E0">
        <w:rPr>
          <w:rFonts w:ascii="宋体" w:hAnsi="宋体"/>
          <w:szCs w:val="24"/>
        </w:rPr>
        <w:lastRenderedPageBreak/>
        <w:t>升了模型的泛化能力与可解释性。</w:t>
      </w:r>
    </w:p>
    <w:p w14:paraId="72AB81F4" w14:textId="38A56F58" w:rsidR="00BF0F6C" w:rsidRDefault="009933ED" w:rsidP="00BF0F6C">
      <w:pPr>
        <w:pStyle w:val="2"/>
        <w:spacing w:beforeLines="50" w:before="156" w:afterLines="50" w:after="156" w:line="300" w:lineRule="auto"/>
        <w:ind w:leftChars="0" w:left="0"/>
        <w:rPr>
          <w:rFonts w:ascii="宋体" w:hAnsi="宋体" w:hint="eastAsia"/>
          <w:b/>
          <w:bCs/>
          <w:sz w:val="32"/>
          <w:szCs w:val="32"/>
        </w:rPr>
      </w:pPr>
      <w:r w:rsidRPr="009933ED">
        <w:rPr>
          <w:rFonts w:ascii="宋体" w:hAnsi="宋体"/>
          <w:noProof/>
          <w:sz w:val="28"/>
          <w:szCs w:val="28"/>
        </w:rPr>
        <w:drawing>
          <wp:inline distT="0" distB="0" distL="0" distR="0" wp14:anchorId="7E2BB69A" wp14:editId="7C8C0417">
            <wp:extent cx="5274310" cy="1777365"/>
            <wp:effectExtent l="0" t="0" r="2540" b="0"/>
            <wp:docPr id="589076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76304" name=""/>
                    <pic:cNvPicPr/>
                  </pic:nvPicPr>
                  <pic:blipFill>
                    <a:blip r:embed="rId11"/>
                    <a:stretch>
                      <a:fillRect/>
                    </a:stretch>
                  </pic:blipFill>
                  <pic:spPr>
                    <a:xfrm>
                      <a:off x="0" y="0"/>
                      <a:ext cx="5274310" cy="1777365"/>
                    </a:xfrm>
                    <a:prstGeom prst="rect">
                      <a:avLst/>
                    </a:prstGeom>
                  </pic:spPr>
                </pic:pic>
              </a:graphicData>
            </a:graphic>
          </wp:inline>
        </w:drawing>
      </w:r>
    </w:p>
    <w:p w14:paraId="2F75EE6F" w14:textId="06793323" w:rsidR="00BF0F6C" w:rsidRPr="00BF0F6C" w:rsidRDefault="00BF0F6C" w:rsidP="00BF0F6C">
      <w:pPr>
        <w:pStyle w:val="2"/>
        <w:spacing w:beforeLines="50" w:before="156" w:afterLines="50" w:after="156" w:line="300" w:lineRule="auto"/>
        <w:ind w:leftChars="0" w:left="0"/>
        <w:rPr>
          <w:rFonts w:ascii="宋体" w:hAnsi="宋体" w:hint="eastAsia"/>
          <w:sz w:val="28"/>
          <w:szCs w:val="28"/>
        </w:rPr>
      </w:pPr>
      <w:r w:rsidRPr="00BF0F6C">
        <w:rPr>
          <w:rFonts w:ascii="宋体" w:hAnsi="宋体" w:hint="eastAsia"/>
          <w:b/>
          <w:bCs/>
          <w:sz w:val="32"/>
          <w:szCs w:val="32"/>
        </w:rPr>
        <w:t>3.2 数据来源与处理</w:t>
      </w:r>
    </w:p>
    <w:p w14:paraId="6C32CBA3" w14:textId="77777777" w:rsidR="005B2BFC" w:rsidRDefault="005B2BFC" w:rsidP="005B2BFC">
      <w:pPr>
        <w:pStyle w:val="2"/>
        <w:spacing w:beforeLines="50" w:before="156" w:afterLines="50" w:after="156" w:line="300" w:lineRule="auto"/>
        <w:ind w:leftChars="0" w:left="0" w:firstLineChars="200" w:firstLine="560"/>
        <w:rPr>
          <w:rFonts w:ascii="宋体" w:hAnsi="宋体" w:hint="eastAsia"/>
          <w:sz w:val="28"/>
          <w:szCs w:val="28"/>
        </w:rPr>
      </w:pPr>
      <w:r w:rsidRPr="005B2BFC">
        <w:rPr>
          <w:rFonts w:ascii="宋体" w:hAnsi="宋体" w:hint="eastAsia"/>
          <w:sz w:val="28"/>
          <w:szCs w:val="28"/>
        </w:rPr>
        <w:t>3.2.1 Kaggle及公开数据库介绍</w:t>
      </w:r>
    </w:p>
    <w:p w14:paraId="56065813" w14:textId="77777777" w:rsidR="006450A6" w:rsidRPr="006450A6" w:rsidRDefault="006450A6" w:rsidP="006450A6">
      <w:pPr>
        <w:pStyle w:val="2"/>
        <w:spacing w:after="0" w:line="300" w:lineRule="auto"/>
        <w:ind w:leftChars="0" w:left="0"/>
        <w:rPr>
          <w:rFonts w:ascii="宋体" w:hAnsi="宋体" w:hint="eastAsia"/>
          <w:szCs w:val="24"/>
        </w:rPr>
      </w:pPr>
      <w:r w:rsidRPr="006450A6">
        <w:rPr>
          <w:rFonts w:ascii="宋体" w:hAnsi="宋体"/>
          <w:szCs w:val="24"/>
        </w:rPr>
        <w:t>1. 能源价格基准：国际原油市场数据</w:t>
      </w:r>
    </w:p>
    <w:p w14:paraId="4C6DC33E" w14:textId="44A44EB5" w:rsidR="006450A6" w:rsidRPr="006450A6" w:rsidRDefault="006450A6" w:rsidP="006450A6">
      <w:pPr>
        <w:pStyle w:val="2"/>
        <w:spacing w:after="0" w:line="300" w:lineRule="auto"/>
        <w:ind w:leftChars="0" w:left="0" w:firstLineChars="200" w:firstLine="480"/>
        <w:rPr>
          <w:rFonts w:ascii="宋体" w:hAnsi="宋体" w:hint="eastAsia"/>
          <w:szCs w:val="24"/>
        </w:rPr>
      </w:pPr>
      <w:r w:rsidRPr="006450A6">
        <w:rPr>
          <w:rFonts w:ascii="宋体" w:hAnsi="宋体"/>
          <w:szCs w:val="24"/>
        </w:rPr>
        <w:t>数据源：基于</w:t>
      </w:r>
      <w:r w:rsidRPr="006450A6">
        <w:rPr>
          <w:rFonts w:ascii="宋体" w:hAnsi="宋体"/>
          <w:i/>
          <w:iCs/>
          <w:szCs w:val="24"/>
        </w:rPr>
        <w:t>Investing.com</w:t>
      </w:r>
      <w:r w:rsidRPr="006450A6">
        <w:rPr>
          <w:rFonts w:ascii="宋体" w:hAnsi="宋体"/>
          <w:szCs w:val="24"/>
        </w:rPr>
        <w:t> 历史行情整理，托管于 Kaggle (Crude_Oil_Price_2000_2023.csv)。</w:t>
      </w:r>
    </w:p>
    <w:p w14:paraId="29E80268" w14:textId="77777777" w:rsidR="006450A6" w:rsidRPr="006450A6" w:rsidRDefault="006450A6" w:rsidP="006450A6">
      <w:pPr>
        <w:pStyle w:val="2"/>
        <w:spacing w:after="0" w:line="300" w:lineRule="auto"/>
        <w:ind w:leftChars="0" w:left="0" w:firstLineChars="200" w:firstLine="480"/>
        <w:rPr>
          <w:rFonts w:ascii="宋体" w:hAnsi="宋体" w:hint="eastAsia"/>
          <w:szCs w:val="24"/>
        </w:rPr>
      </w:pPr>
      <w:r w:rsidRPr="006450A6">
        <w:rPr>
          <w:rFonts w:ascii="宋体" w:hAnsi="宋体"/>
          <w:szCs w:val="24"/>
        </w:rPr>
        <w:t>选取逻辑：原油作为“工业血液”，其价格波动是全球通胀预期与生产成本冲击的核心代理变量。本研究选取 Brent 原油（布伦特原油）收盘价作为基准，因其涵盖了北海及全球主要产油区的供需信息，相较于 WTI 更具全球代表性。</w:t>
      </w:r>
    </w:p>
    <w:p w14:paraId="44B1244D" w14:textId="77777777" w:rsidR="006450A6" w:rsidRPr="006450A6" w:rsidRDefault="006450A6" w:rsidP="006450A6">
      <w:pPr>
        <w:pStyle w:val="2"/>
        <w:spacing w:after="0" w:line="300" w:lineRule="auto"/>
        <w:ind w:leftChars="0" w:left="0"/>
        <w:rPr>
          <w:rFonts w:ascii="宋体" w:hAnsi="宋体" w:hint="eastAsia"/>
          <w:szCs w:val="24"/>
        </w:rPr>
      </w:pPr>
      <w:r w:rsidRPr="006450A6">
        <w:rPr>
          <w:rFonts w:ascii="宋体" w:hAnsi="宋体"/>
          <w:szCs w:val="24"/>
        </w:rPr>
        <w:t>字段细节：包含2000年1月至2023年12月的日度交易数据，涵盖开盘价、最高价、最低价、收盘价及成交量。</w:t>
      </w:r>
    </w:p>
    <w:p w14:paraId="5ACA739D" w14:textId="77777777" w:rsidR="006450A6" w:rsidRPr="006450A6" w:rsidRDefault="006450A6" w:rsidP="006450A6">
      <w:pPr>
        <w:pStyle w:val="2"/>
        <w:spacing w:after="0" w:line="300" w:lineRule="auto"/>
        <w:ind w:leftChars="0" w:left="0" w:firstLineChars="200" w:firstLine="480"/>
        <w:rPr>
          <w:rFonts w:ascii="宋体" w:hAnsi="宋体" w:hint="eastAsia"/>
          <w:szCs w:val="24"/>
        </w:rPr>
      </w:pPr>
      <w:r w:rsidRPr="006450A6">
        <w:rPr>
          <w:rFonts w:ascii="宋体" w:hAnsi="宋体"/>
          <w:szCs w:val="24"/>
        </w:rPr>
        <w:t>处理说明：将日度数据聚合为月度算术平均值，以平滑日内高频噪声，匹配宏观经济的低频波动特征。</w:t>
      </w:r>
    </w:p>
    <w:p w14:paraId="12CBBF89" w14:textId="77777777" w:rsidR="006450A6" w:rsidRDefault="006450A6" w:rsidP="006450A6">
      <w:pPr>
        <w:pStyle w:val="2"/>
        <w:spacing w:after="0" w:line="300" w:lineRule="auto"/>
        <w:ind w:leftChars="0" w:left="240" w:hangingChars="100" w:hanging="240"/>
        <w:rPr>
          <w:rFonts w:ascii="宋体" w:hAnsi="宋体" w:hint="eastAsia"/>
          <w:szCs w:val="24"/>
        </w:rPr>
      </w:pPr>
      <w:r w:rsidRPr="006450A6">
        <w:rPr>
          <w:rFonts w:ascii="宋体" w:hAnsi="宋体"/>
          <w:szCs w:val="24"/>
        </w:rPr>
        <w:t>2. 农产品价格信号：全球期货与现货双维数据</w:t>
      </w:r>
    </w:p>
    <w:p w14:paraId="777CBD9B" w14:textId="4C612D87" w:rsidR="006450A6" w:rsidRPr="006450A6" w:rsidRDefault="006450A6" w:rsidP="006450A6">
      <w:pPr>
        <w:pStyle w:val="2"/>
        <w:spacing w:after="0" w:line="300" w:lineRule="auto"/>
        <w:ind w:leftChars="0" w:left="0" w:firstLineChars="200" w:firstLine="480"/>
        <w:rPr>
          <w:rFonts w:ascii="宋体" w:hAnsi="宋体" w:hint="eastAsia"/>
          <w:szCs w:val="24"/>
        </w:rPr>
      </w:pPr>
      <w:r w:rsidRPr="006450A6">
        <w:rPr>
          <w:rFonts w:ascii="宋体" w:hAnsi="宋体"/>
          <w:szCs w:val="24"/>
        </w:rPr>
        <w:t>期货端（先行指标）：源自CME Group（芝加哥商品交易所）历史数据 (all_agricultural_products_data.csv)。选取小麦(Wheat)、玉米(Corn)、棕榈油 (Palm Oil) 的主力合约连续序列。期货价格反映了市场对未来供需的预期，具有显著的价格发现功能。</w:t>
      </w:r>
    </w:p>
    <w:p w14:paraId="0782DC2C" w14:textId="77777777" w:rsidR="006450A6" w:rsidRPr="006450A6" w:rsidRDefault="006450A6" w:rsidP="006450A6">
      <w:pPr>
        <w:pStyle w:val="2"/>
        <w:spacing w:after="0" w:line="300" w:lineRule="auto"/>
        <w:ind w:leftChars="0" w:left="0" w:firstLineChars="200" w:firstLine="480"/>
        <w:rPr>
          <w:rFonts w:ascii="宋体" w:hAnsi="宋体" w:hint="eastAsia"/>
          <w:szCs w:val="24"/>
        </w:rPr>
      </w:pPr>
      <w:r w:rsidRPr="006450A6">
        <w:rPr>
          <w:rFonts w:ascii="宋体" w:hAnsi="宋体"/>
          <w:szCs w:val="24"/>
        </w:rPr>
        <w:t>现货端（实质影响）：源自联合国世界粮食计划署 (WFP) 的 全球食品价格数据库 (Global Food Prices Database)。该数据集覆盖全球80余个国家的2000多个地方市场，提供了真实的零售与批发价格监测。</w:t>
      </w:r>
    </w:p>
    <w:p w14:paraId="42453703" w14:textId="77777777" w:rsidR="006450A6" w:rsidRPr="006450A6" w:rsidRDefault="006450A6" w:rsidP="006450A6">
      <w:pPr>
        <w:pStyle w:val="2"/>
        <w:spacing w:after="0" w:line="300" w:lineRule="auto"/>
        <w:ind w:leftChars="0" w:left="0"/>
        <w:rPr>
          <w:rFonts w:ascii="宋体" w:hAnsi="宋体" w:hint="eastAsia"/>
          <w:szCs w:val="24"/>
        </w:rPr>
      </w:pPr>
      <w:r w:rsidRPr="006450A6">
        <w:rPr>
          <w:rFonts w:ascii="宋体" w:hAnsi="宋体"/>
          <w:szCs w:val="24"/>
        </w:rPr>
        <w:t>互补性说明：利用期货数据捕捉金融市场的预期冲击，利用WFP现货数据验证实体经济的成本传导，两者互为印证，有效避免了单一数据源的偏差。</w:t>
      </w:r>
    </w:p>
    <w:p w14:paraId="04F47FCC" w14:textId="77777777" w:rsidR="006450A6" w:rsidRPr="006450A6" w:rsidRDefault="006450A6" w:rsidP="006450A6">
      <w:pPr>
        <w:pStyle w:val="2"/>
        <w:spacing w:after="0" w:line="300" w:lineRule="auto"/>
        <w:ind w:leftChars="0" w:left="0"/>
        <w:rPr>
          <w:rFonts w:ascii="宋体" w:hAnsi="宋体" w:hint="eastAsia"/>
          <w:szCs w:val="24"/>
        </w:rPr>
      </w:pPr>
      <w:r w:rsidRPr="006450A6">
        <w:rPr>
          <w:rFonts w:ascii="宋体" w:hAnsi="宋体"/>
          <w:szCs w:val="24"/>
        </w:rPr>
        <w:t>3. 汇率平减因子：多币种外汇数据</w:t>
      </w:r>
    </w:p>
    <w:p w14:paraId="32D76FE4" w14:textId="66104392" w:rsidR="006450A6" w:rsidRPr="006450A6" w:rsidRDefault="006450A6" w:rsidP="006450A6">
      <w:pPr>
        <w:pStyle w:val="2"/>
        <w:spacing w:after="0" w:line="300" w:lineRule="auto"/>
        <w:ind w:leftChars="0" w:left="0" w:firstLineChars="200" w:firstLine="480"/>
        <w:rPr>
          <w:rFonts w:ascii="宋体" w:hAnsi="宋体" w:hint="eastAsia"/>
          <w:szCs w:val="24"/>
        </w:rPr>
      </w:pPr>
      <w:r w:rsidRPr="006450A6">
        <w:rPr>
          <w:rFonts w:ascii="宋体" w:hAnsi="宋体"/>
          <w:szCs w:val="24"/>
        </w:rPr>
        <w:t xml:space="preserve">数据源：整合自欧洲央行(ECB)及美联储(FRED)数据 </w:t>
      </w:r>
      <w:r w:rsidRPr="006450A6">
        <w:rPr>
          <w:rFonts w:ascii="宋体" w:hAnsi="宋体"/>
          <w:szCs w:val="24"/>
        </w:rPr>
        <w:lastRenderedPageBreak/>
        <w:t>(Foreign_Exchange_Rates.csv)。</w:t>
      </w:r>
    </w:p>
    <w:p w14:paraId="0DEC578F" w14:textId="77777777" w:rsidR="006450A6" w:rsidRPr="006450A6" w:rsidRDefault="006450A6" w:rsidP="006450A6">
      <w:pPr>
        <w:pStyle w:val="2"/>
        <w:spacing w:after="0" w:line="300" w:lineRule="auto"/>
        <w:ind w:leftChars="0" w:left="0" w:firstLineChars="200" w:firstLine="480"/>
        <w:rPr>
          <w:rFonts w:ascii="宋体" w:hAnsi="宋体" w:hint="eastAsia"/>
          <w:szCs w:val="24"/>
        </w:rPr>
      </w:pPr>
      <w:r w:rsidRPr="006450A6">
        <w:rPr>
          <w:rFonts w:ascii="宋体" w:hAnsi="宋体"/>
          <w:szCs w:val="24"/>
        </w:rPr>
        <w:t>选取逻辑：由于大宗商品多以美元计价，而目标变量（各国GDP）多以本币统计，汇率波动是重要的混淆变量。</w:t>
      </w:r>
    </w:p>
    <w:p w14:paraId="3EE7BCFD" w14:textId="77777777" w:rsidR="006450A6" w:rsidRPr="006450A6" w:rsidRDefault="006450A6" w:rsidP="006450A6">
      <w:pPr>
        <w:pStyle w:val="2"/>
        <w:spacing w:after="0" w:line="300" w:lineRule="auto"/>
        <w:ind w:leftChars="0" w:left="0" w:firstLineChars="200" w:firstLine="480"/>
        <w:rPr>
          <w:rFonts w:ascii="宋体" w:hAnsi="宋体" w:hint="eastAsia"/>
          <w:szCs w:val="24"/>
        </w:rPr>
      </w:pPr>
      <w:r w:rsidRPr="006450A6">
        <w:rPr>
          <w:rFonts w:ascii="宋体" w:hAnsi="宋体"/>
          <w:szCs w:val="24"/>
        </w:rPr>
        <w:t>处理说明：提取主要经济体货币对美元的月度平均汇率，作为平减因子 (Deflator)。所有非美元计价的本地商品价格均统一折算为 美元计价 (USD-denominated)，消除了币种差异带来的量纲干扰，确保跨国比较的有效性。</w:t>
      </w:r>
    </w:p>
    <w:p w14:paraId="27AA11F9" w14:textId="77777777" w:rsidR="006450A6" w:rsidRPr="006450A6" w:rsidRDefault="006450A6" w:rsidP="006450A6">
      <w:pPr>
        <w:pStyle w:val="2"/>
        <w:spacing w:after="0" w:line="300" w:lineRule="auto"/>
        <w:ind w:leftChars="0" w:left="0"/>
        <w:rPr>
          <w:rFonts w:ascii="宋体" w:hAnsi="宋体" w:hint="eastAsia"/>
          <w:szCs w:val="24"/>
        </w:rPr>
      </w:pPr>
      <w:r w:rsidRPr="006450A6">
        <w:rPr>
          <w:rFonts w:ascii="宋体" w:hAnsi="宋体"/>
          <w:szCs w:val="24"/>
        </w:rPr>
        <w:t>4. 被解释变量：宏观经济增长指标</w:t>
      </w:r>
    </w:p>
    <w:p w14:paraId="42803E32" w14:textId="3BE7A129" w:rsidR="006450A6" w:rsidRPr="006450A6" w:rsidRDefault="006450A6" w:rsidP="006450A6">
      <w:pPr>
        <w:pStyle w:val="2"/>
        <w:spacing w:after="0" w:line="300" w:lineRule="auto"/>
        <w:ind w:leftChars="0" w:left="0" w:firstLineChars="200" w:firstLine="480"/>
        <w:rPr>
          <w:rFonts w:ascii="宋体" w:hAnsi="宋体" w:hint="eastAsia"/>
          <w:szCs w:val="24"/>
        </w:rPr>
      </w:pPr>
      <w:r w:rsidRPr="006450A6">
        <w:rPr>
          <w:rFonts w:ascii="宋体" w:hAnsi="宋体"/>
          <w:szCs w:val="24"/>
        </w:rPr>
        <w:t>数据源：基于世界银行(World Bank)及IMF 官方统计整理 (GDP_2005_2025_final.csv)。</w:t>
      </w:r>
    </w:p>
    <w:p w14:paraId="4CDEDB9B" w14:textId="37DD3283" w:rsidR="006450A6" w:rsidRPr="006450A6" w:rsidRDefault="006450A6" w:rsidP="006450A6">
      <w:pPr>
        <w:pStyle w:val="2"/>
        <w:spacing w:after="0" w:line="300" w:lineRule="auto"/>
        <w:ind w:leftChars="0" w:left="0" w:firstLineChars="200" w:firstLine="480"/>
        <w:rPr>
          <w:rFonts w:ascii="宋体" w:hAnsi="宋体" w:hint="eastAsia"/>
          <w:szCs w:val="24"/>
        </w:rPr>
      </w:pPr>
      <w:r w:rsidRPr="006450A6">
        <w:rPr>
          <w:rFonts w:ascii="宋体" w:hAnsi="宋体"/>
          <w:szCs w:val="24"/>
        </w:rPr>
        <w:t>核心变量：选取各国实际国内生产总值增长率(Real GDP Growth Rate) 作为模型的目标变量 (</w:t>
      </w:r>
      <m:oMath>
        <m:sSub>
          <m:sSubPr>
            <m:ctrlPr>
              <w:rPr>
                <w:rFonts w:ascii="Cambria Math" w:hAnsi="Cambria Math"/>
                <w:szCs w:val="24"/>
              </w:rPr>
            </m:ctrlPr>
          </m:sSubPr>
          <m:e>
            <m:r>
              <w:rPr>
                <w:rFonts w:ascii="Cambria Math" w:hAnsi="Cambria Math"/>
                <w:szCs w:val="24"/>
              </w:rPr>
              <m:t>Y</m:t>
            </m:r>
          </m:e>
          <m:sub>
            <m:r>
              <w:rPr>
                <w:rFonts w:ascii="Cambria Math" w:hAnsi="Cambria Math"/>
                <w:szCs w:val="24"/>
              </w:rPr>
              <m:t>t</m:t>
            </m:r>
          </m:sub>
        </m:sSub>
      </m:oMath>
      <w:r w:rsidRPr="006450A6">
        <w:rPr>
          <w:rFonts w:ascii="宋体" w:hAnsi="宋体"/>
          <w:szCs w:val="24"/>
        </w:rPr>
        <w:t>)。</w:t>
      </w:r>
    </w:p>
    <w:p w14:paraId="1C9BA22D" w14:textId="77777777" w:rsidR="006450A6" w:rsidRPr="006450A6" w:rsidRDefault="006450A6" w:rsidP="006450A6">
      <w:pPr>
        <w:pStyle w:val="2"/>
        <w:spacing w:after="0" w:line="300" w:lineRule="auto"/>
        <w:ind w:leftChars="0" w:left="0" w:firstLineChars="200" w:firstLine="480"/>
        <w:rPr>
          <w:rFonts w:ascii="宋体" w:hAnsi="宋体" w:hint="eastAsia"/>
          <w:szCs w:val="24"/>
        </w:rPr>
      </w:pPr>
      <w:r w:rsidRPr="006450A6">
        <w:rPr>
          <w:rFonts w:ascii="宋体" w:hAnsi="宋体"/>
          <w:szCs w:val="24"/>
        </w:rPr>
        <w:t>样本筛选：剔除数据缺失率超过20%的微型经济体，最终保留全球前20大经济体及主要新兴市场的长面板数据，时间跨度覆盖2005年至2023年。</w:t>
      </w:r>
    </w:p>
    <w:p w14:paraId="19A95C29" w14:textId="30DEA1F3" w:rsidR="006450A6" w:rsidRPr="006450A6" w:rsidRDefault="006450A6" w:rsidP="006450A6">
      <w:pPr>
        <w:pStyle w:val="2"/>
        <w:spacing w:after="0" w:line="300" w:lineRule="auto"/>
        <w:ind w:leftChars="0" w:left="0" w:firstLineChars="200" w:firstLine="480"/>
        <w:rPr>
          <w:rFonts w:ascii="宋体" w:hAnsi="宋体" w:hint="eastAsia"/>
          <w:szCs w:val="24"/>
        </w:rPr>
      </w:pPr>
      <w:r w:rsidRPr="006450A6">
        <w:rPr>
          <w:rFonts w:ascii="宋体" w:hAnsi="宋体"/>
          <w:szCs w:val="24"/>
        </w:rPr>
        <w:t>补充验证：引入中国国家统计局发布的</w:t>
      </w:r>
      <w:r w:rsidR="00E75FE9">
        <w:rPr>
          <w:rFonts w:ascii="宋体" w:hAnsi="宋体" w:hint="eastAsia"/>
          <w:szCs w:val="24"/>
        </w:rPr>
        <w:t>各</w:t>
      </w:r>
      <w:r w:rsidRPr="006450A6">
        <w:rPr>
          <w:rFonts w:ascii="宋体" w:hAnsi="宋体"/>
          <w:szCs w:val="24"/>
        </w:rPr>
        <w:t>产业增加值数据</w:t>
      </w:r>
      <w:r w:rsidR="00E75FE9">
        <w:rPr>
          <w:rFonts w:ascii="宋体" w:hAnsi="宋体" w:hint="eastAsia"/>
          <w:szCs w:val="24"/>
        </w:rPr>
        <w:t>以及在GDP增长中的占比</w:t>
      </w:r>
      <w:r w:rsidRPr="006450A6">
        <w:rPr>
          <w:rFonts w:ascii="宋体" w:hAnsi="宋体"/>
          <w:szCs w:val="24"/>
        </w:rPr>
        <w:t>，</w:t>
      </w:r>
      <w:r w:rsidR="00E75FE9">
        <w:rPr>
          <w:rFonts w:ascii="宋体" w:hAnsi="宋体" w:hint="eastAsia"/>
          <w:szCs w:val="24"/>
        </w:rPr>
        <w:t>为计算动态化的第一产业权重GDP提供数据支撑。</w:t>
      </w:r>
    </w:p>
    <w:p w14:paraId="59C41561" w14:textId="3302FEF2" w:rsidR="005B2BFC" w:rsidRDefault="00445FFA" w:rsidP="00445FFA">
      <w:pPr>
        <w:pStyle w:val="2"/>
        <w:spacing w:beforeLines="50" w:before="156" w:afterLines="50" w:after="156" w:line="300" w:lineRule="auto"/>
        <w:ind w:leftChars="0" w:left="0" w:firstLineChars="200" w:firstLine="560"/>
        <w:rPr>
          <w:rFonts w:ascii="宋体" w:hAnsi="宋体" w:hint="eastAsia"/>
          <w:sz w:val="28"/>
          <w:szCs w:val="28"/>
        </w:rPr>
      </w:pPr>
      <w:r w:rsidRPr="00445FFA">
        <w:rPr>
          <w:rFonts w:ascii="宋体" w:hAnsi="宋体" w:hint="eastAsia"/>
          <w:sz w:val="28"/>
          <w:szCs w:val="28"/>
        </w:rPr>
        <w:t>3.2.2 波动率计算方法</w:t>
      </w:r>
    </w:p>
    <w:p w14:paraId="033FE939" w14:textId="0D2B5796" w:rsidR="00196D3F" w:rsidRDefault="00196D3F" w:rsidP="00196D3F">
      <w:pPr>
        <w:pStyle w:val="2"/>
        <w:spacing w:after="0" w:line="300" w:lineRule="auto"/>
        <w:ind w:leftChars="0" w:left="0" w:firstLineChars="200" w:firstLine="480"/>
        <w:rPr>
          <w:rFonts w:ascii="宋体" w:hAnsi="宋体" w:hint="eastAsia"/>
          <w:szCs w:val="24"/>
        </w:rPr>
      </w:pPr>
      <w:r w:rsidRPr="00196D3F">
        <w:rPr>
          <w:rFonts w:ascii="宋体" w:hAnsi="宋体"/>
          <w:szCs w:val="24"/>
        </w:rPr>
        <w:t>为量化外部供给冲击的不确定性，本研究构建了五大主要农产品（小麦、玉米、大豆、棉花、棕榈油）的季度价格波动率指标。</w:t>
      </w:r>
    </w:p>
    <w:p w14:paraId="45A89C2E" w14:textId="4F6DC2B6" w:rsidR="00C76DA6" w:rsidRDefault="00C76DA6" w:rsidP="00C76DA6">
      <w:pPr>
        <w:pStyle w:val="2"/>
        <w:spacing w:after="0" w:line="300" w:lineRule="auto"/>
        <w:ind w:leftChars="0" w:left="0"/>
        <w:rPr>
          <w:rFonts w:ascii="宋体" w:hAnsi="宋体" w:hint="eastAsia"/>
          <w:szCs w:val="24"/>
        </w:rPr>
      </w:pPr>
      <w:r>
        <w:rPr>
          <w:rFonts w:ascii="宋体" w:hAnsi="宋体" w:hint="eastAsia"/>
          <w:szCs w:val="24"/>
        </w:rPr>
        <w:t>一.</w:t>
      </w:r>
      <w:r w:rsidRPr="00C76DA6">
        <w:rPr>
          <w:rFonts w:hint="eastAsia"/>
        </w:rPr>
        <w:t xml:space="preserve"> </w:t>
      </w:r>
      <w:r w:rsidRPr="00C76DA6">
        <w:rPr>
          <w:rFonts w:ascii="宋体" w:hAnsi="宋体" w:hint="eastAsia"/>
          <w:szCs w:val="24"/>
        </w:rPr>
        <w:t>构建全球月度基准价格序列</w:t>
      </w:r>
    </w:p>
    <w:p w14:paraId="11FF50F0" w14:textId="77777777" w:rsidR="00C76DA6" w:rsidRPr="00C76DA6" w:rsidRDefault="00C76DA6" w:rsidP="00C76DA6">
      <w:pPr>
        <w:pStyle w:val="2"/>
        <w:spacing w:after="0" w:line="300" w:lineRule="auto"/>
        <w:ind w:leftChars="0" w:left="0" w:firstLineChars="200" w:firstLine="480"/>
        <w:rPr>
          <w:rFonts w:ascii="宋体" w:hAnsi="宋体" w:hint="eastAsia"/>
          <w:szCs w:val="24"/>
        </w:rPr>
      </w:pPr>
      <w:r w:rsidRPr="00C76DA6">
        <w:rPr>
          <w:rFonts w:ascii="宋体" w:hAnsi="宋体"/>
          <w:szCs w:val="24"/>
        </w:rPr>
        <w:t>鉴于原始数据（WFP数据库）包含全球数千个地方市场的离散报价，存在显著的地区异质性与微观噪声，本研究首先进行空间聚合。</w:t>
      </w:r>
    </w:p>
    <w:p w14:paraId="5E3DD7A2" w14:textId="2593FB85" w:rsidR="00C76DA6" w:rsidRDefault="00C76DA6" w:rsidP="00C76DA6">
      <w:pPr>
        <w:pStyle w:val="2"/>
        <w:spacing w:after="0" w:line="300" w:lineRule="auto"/>
        <w:ind w:leftChars="0" w:left="0" w:firstLineChars="200" w:firstLine="480"/>
        <w:rPr>
          <w:rFonts w:ascii="宋体" w:hAnsi="宋体" w:hint="eastAsia"/>
          <w:szCs w:val="24"/>
        </w:rPr>
      </w:pPr>
      <w:r w:rsidRPr="00C76DA6">
        <w:rPr>
          <w:rFonts w:ascii="宋体" w:hAnsi="宋体"/>
          <w:szCs w:val="24"/>
        </w:rPr>
        <w:t>对于每种农产品，将同一月份</w:t>
      </w:r>
      <m:oMath>
        <m:r>
          <w:rPr>
            <w:rFonts w:ascii="Cambria Math" w:hAnsi="Cambria Math"/>
            <w:szCs w:val="24"/>
          </w:rPr>
          <m:t>m</m:t>
        </m:r>
      </m:oMath>
      <w:r w:rsidRPr="00C76DA6">
        <w:rPr>
          <w:rFonts w:ascii="宋体" w:hAnsi="宋体"/>
          <w:szCs w:val="24"/>
        </w:rPr>
        <w:t>内所有国家及市场的有效报价进行算术平均，构建该品种的全球月度基准价格</w:t>
      </w:r>
      <m:oMath>
        <m:sSub>
          <m:sSubPr>
            <m:ctrlPr>
              <w:rPr>
                <w:rFonts w:ascii="Cambria Math" w:hAnsi="Cambria Math"/>
                <w:szCs w:val="24"/>
              </w:rPr>
            </m:ctrlPr>
          </m:sSubPr>
          <m:e>
            <m:r>
              <w:rPr>
                <w:rFonts w:ascii="Cambria Math" w:hAnsi="Cambria Math"/>
                <w:szCs w:val="24"/>
              </w:rPr>
              <m:t>P</m:t>
            </m:r>
          </m:e>
          <m:sub>
            <m:r>
              <w:rPr>
                <w:rFonts w:ascii="Cambria Math" w:hAnsi="Cambria Math"/>
                <w:szCs w:val="24"/>
              </w:rPr>
              <m:t>c,m</m:t>
            </m:r>
          </m:sub>
        </m:sSub>
      </m:oMath>
      <w:r>
        <w:rPr>
          <w:rFonts w:ascii="宋体" w:hAnsi="宋体" w:hint="eastAsia"/>
          <w:szCs w:val="24"/>
        </w:rPr>
        <w:t>。</w:t>
      </w:r>
    </w:p>
    <w:p w14:paraId="5F100760" w14:textId="25E0D989" w:rsidR="00C76DA6" w:rsidRDefault="00000000" w:rsidP="00C76DA6">
      <w:pPr>
        <w:pStyle w:val="2"/>
        <w:spacing w:after="0" w:line="300" w:lineRule="auto"/>
        <w:ind w:leftChars="0" w:left="0" w:firstLineChars="200" w:firstLine="480"/>
        <w:rPr>
          <w:rFonts w:ascii="宋体" w:hAnsi="宋体" w:hint="eastAsia"/>
          <w:szCs w:val="24"/>
        </w:rPr>
      </w:pPr>
      <m:oMathPara>
        <m:oMath>
          <m:sSub>
            <m:sSubPr>
              <m:ctrlPr>
                <w:rPr>
                  <w:rFonts w:ascii="Cambria Math" w:hAnsi="Cambria Math"/>
                  <w:szCs w:val="24"/>
                </w:rPr>
              </m:ctrlPr>
            </m:sSubPr>
            <m:e>
              <m:r>
                <w:rPr>
                  <w:rFonts w:ascii="Cambria Math" w:hAnsi="Cambria Math"/>
                  <w:szCs w:val="24"/>
                </w:rPr>
                <m:t>P</m:t>
              </m:r>
            </m:e>
            <m:sub>
              <m:r>
                <w:rPr>
                  <w:rFonts w:ascii="Cambria Math" w:hAnsi="Cambria Math"/>
                  <w:szCs w:val="24"/>
                </w:rPr>
                <m:t>c,m</m:t>
              </m:r>
            </m:sub>
          </m:sSub>
          <m:r>
            <w:rPr>
              <w:rFonts w:ascii="Cambria Math" w:hAnsi="Cambria Math"/>
              <w:szCs w:val="24"/>
            </w:rPr>
            <m:t>=</m:t>
          </m:r>
          <m:f>
            <m:fPr>
              <m:ctrlPr>
                <w:rPr>
                  <w:rFonts w:ascii="Cambria Math" w:hAnsi="Cambria Math"/>
                  <w:i/>
                  <w:iCs/>
                  <w:szCs w:val="24"/>
                </w:rPr>
              </m:ctrlPr>
            </m:fPr>
            <m:num>
              <m:r>
                <w:rPr>
                  <w:rFonts w:ascii="Cambria Math" w:hAnsi="Cambria Math"/>
                  <w:szCs w:val="24"/>
                </w:rPr>
                <m:t>1</m:t>
              </m:r>
            </m:num>
            <m:den>
              <m:sSub>
                <m:sSubPr>
                  <m:ctrlPr>
                    <w:rPr>
                      <w:rFonts w:ascii="Cambria Math" w:hAnsi="Cambria Math"/>
                      <w:i/>
                      <w:iCs/>
                      <w:szCs w:val="24"/>
                    </w:rPr>
                  </m:ctrlPr>
                </m:sSubPr>
                <m:e>
                  <m:r>
                    <w:rPr>
                      <w:rFonts w:ascii="Cambria Math" w:hAnsi="Cambria Math" w:hint="eastAsia"/>
                      <w:szCs w:val="24"/>
                    </w:rPr>
                    <m:t>N</m:t>
                  </m:r>
                </m:e>
                <m:sub>
                  <m:r>
                    <w:rPr>
                      <w:rFonts w:ascii="Cambria Math" w:hAnsi="Cambria Math"/>
                      <w:szCs w:val="24"/>
                    </w:rPr>
                    <m:t>c,m</m:t>
                  </m:r>
                </m:sub>
              </m:sSub>
            </m:den>
          </m:f>
          <m:nary>
            <m:naryPr>
              <m:chr m:val="∑"/>
              <m:limLoc m:val="undOvr"/>
              <m:ctrlPr>
                <w:rPr>
                  <w:rFonts w:ascii="Cambria Math" w:hAnsi="Cambria Math"/>
                  <w:i/>
                  <w:iCs/>
                  <w:szCs w:val="24"/>
                </w:rPr>
              </m:ctrlPr>
            </m:naryPr>
            <m:sub>
              <m:r>
                <w:rPr>
                  <w:rFonts w:ascii="Cambria Math" w:hAnsi="Cambria Math"/>
                  <w:szCs w:val="24"/>
                </w:rPr>
                <m:t>i=1</m:t>
              </m:r>
            </m:sub>
            <m:sup>
              <m:sSub>
                <m:sSubPr>
                  <m:ctrlPr>
                    <w:rPr>
                      <w:rFonts w:ascii="Cambria Math" w:hAnsi="Cambria Math"/>
                      <w:i/>
                      <w:iCs/>
                      <w:szCs w:val="24"/>
                    </w:rPr>
                  </m:ctrlPr>
                </m:sSubPr>
                <m:e>
                  <m:r>
                    <w:rPr>
                      <w:rFonts w:ascii="Cambria Math" w:hAnsi="Cambria Math" w:hint="eastAsia"/>
                      <w:szCs w:val="24"/>
                    </w:rPr>
                    <m:t>N</m:t>
                  </m:r>
                </m:e>
                <m:sub>
                  <m:r>
                    <w:rPr>
                      <w:rFonts w:ascii="Cambria Math" w:hAnsi="Cambria Math"/>
                      <w:szCs w:val="24"/>
                    </w:rPr>
                    <m:t>c,m</m:t>
                  </m:r>
                </m:sub>
              </m:sSub>
            </m:sup>
            <m:e>
              <m:sSub>
                <m:sSubPr>
                  <m:ctrlPr>
                    <w:rPr>
                      <w:rFonts w:ascii="Cambria Math" w:hAnsi="Cambria Math"/>
                      <w:i/>
                      <w:iCs/>
                      <w:szCs w:val="24"/>
                    </w:rPr>
                  </m:ctrlPr>
                </m:sSubPr>
                <m:e>
                  <m:r>
                    <w:rPr>
                      <w:rFonts w:ascii="Cambria Math" w:hAnsi="Cambria Math"/>
                      <w:szCs w:val="24"/>
                    </w:rPr>
                    <m:t>price_usd</m:t>
                  </m:r>
                </m:e>
                <m:sub>
                  <m:r>
                    <w:rPr>
                      <w:rFonts w:ascii="Cambria Math" w:hAnsi="Cambria Math"/>
                      <w:szCs w:val="24"/>
                    </w:rPr>
                    <m:t>c,i.m</m:t>
                  </m:r>
                </m:sub>
              </m:sSub>
            </m:e>
          </m:nary>
        </m:oMath>
      </m:oMathPara>
    </w:p>
    <w:p w14:paraId="579848D1" w14:textId="48F76DF4" w:rsidR="00C76DA6" w:rsidRDefault="00C76DA6" w:rsidP="00C76DA6">
      <w:pPr>
        <w:pStyle w:val="2"/>
        <w:spacing w:after="0" w:line="300" w:lineRule="auto"/>
        <w:ind w:leftChars="0" w:left="0" w:firstLineChars="200" w:firstLine="480"/>
        <w:rPr>
          <w:rFonts w:ascii="宋体" w:hAnsi="宋体" w:hint="eastAsia"/>
          <w:szCs w:val="24"/>
        </w:rPr>
      </w:pPr>
      <w:r w:rsidRPr="00C76DA6">
        <w:rPr>
          <w:rFonts w:ascii="宋体" w:hAnsi="宋体"/>
          <w:szCs w:val="24"/>
        </w:rPr>
        <w:t>其中，</w:t>
      </w:r>
      <m:oMath>
        <m:sSub>
          <m:sSubPr>
            <m:ctrlPr>
              <w:rPr>
                <w:rFonts w:ascii="Cambria Math" w:hAnsi="Cambria Math"/>
                <w:szCs w:val="24"/>
              </w:rPr>
            </m:ctrlPr>
          </m:sSubPr>
          <m:e>
            <m:r>
              <w:rPr>
                <w:rFonts w:ascii="Cambria Math" w:hAnsi="Cambria Math"/>
                <w:szCs w:val="24"/>
              </w:rPr>
              <m:t>N</m:t>
            </m:r>
          </m:e>
          <m:sub>
            <m:r>
              <w:rPr>
                <w:rFonts w:ascii="Cambria Math" w:hAnsi="Cambria Math"/>
                <w:szCs w:val="24"/>
              </w:rPr>
              <m:t>c,m</m:t>
            </m:r>
          </m:sub>
        </m:sSub>
      </m:oMath>
      <w:r w:rsidRPr="00C76DA6">
        <w:rPr>
          <w:rFonts w:ascii="宋体" w:hAnsi="宋体"/>
          <w:szCs w:val="24"/>
        </w:rPr>
        <w:t>表示第</w:t>
      </w:r>
      <m:oMath>
        <m:r>
          <w:rPr>
            <w:rFonts w:ascii="Cambria Math" w:hAnsi="Cambria Math"/>
            <w:szCs w:val="24"/>
          </w:rPr>
          <m:t>m</m:t>
        </m:r>
      </m:oMath>
      <w:r w:rsidRPr="00C76DA6">
        <w:rPr>
          <w:rFonts w:ascii="宋体" w:hAnsi="宋体"/>
          <w:szCs w:val="24"/>
        </w:rPr>
        <w:t>月记录到的该农产品有效报价样本数量。此步骤有效消除了单一市场异常值的影响，反映了全球层面的平均成本水平。</w:t>
      </w:r>
    </w:p>
    <w:p w14:paraId="5D3A7884" w14:textId="524E3935" w:rsidR="00C76DA6" w:rsidRDefault="00C76DA6" w:rsidP="00C76DA6">
      <w:pPr>
        <w:pStyle w:val="2"/>
        <w:spacing w:after="0" w:line="300" w:lineRule="auto"/>
        <w:ind w:leftChars="0" w:left="0"/>
        <w:rPr>
          <w:rFonts w:ascii="宋体" w:hAnsi="宋体" w:hint="eastAsia"/>
          <w:szCs w:val="24"/>
        </w:rPr>
      </w:pPr>
      <w:r>
        <w:rPr>
          <w:rFonts w:ascii="宋体" w:hAnsi="宋体" w:hint="eastAsia"/>
          <w:szCs w:val="24"/>
        </w:rPr>
        <w:t>二.</w:t>
      </w:r>
      <w:r w:rsidRPr="00C76DA6">
        <w:rPr>
          <w:rFonts w:ascii="宋体" w:hAnsi="宋体" w:hint="eastAsia"/>
          <w:szCs w:val="24"/>
        </w:rPr>
        <w:t>计算月度对数收益率</w:t>
      </w:r>
    </w:p>
    <w:p w14:paraId="6FEC371E" w14:textId="205C6B98" w:rsidR="00C76DA6" w:rsidRDefault="00C76DA6" w:rsidP="00C85B17">
      <w:pPr>
        <w:pStyle w:val="2"/>
        <w:spacing w:after="0" w:line="300" w:lineRule="auto"/>
        <w:ind w:leftChars="0" w:left="0" w:firstLine="480"/>
        <w:rPr>
          <w:rFonts w:ascii="宋体" w:hAnsi="宋体" w:hint="eastAsia"/>
          <w:szCs w:val="24"/>
        </w:rPr>
      </w:pPr>
      <w:r>
        <w:rPr>
          <w:rFonts w:ascii="宋体" w:hAnsi="宋体" w:hint="eastAsia"/>
          <w:szCs w:val="24"/>
        </w:rPr>
        <w:t>为</w:t>
      </w:r>
      <w:r w:rsidRPr="00C76DA6">
        <w:rPr>
          <w:rFonts w:ascii="宋体" w:hAnsi="宋体"/>
          <w:szCs w:val="24"/>
        </w:rPr>
        <w:t>消除价格序列的量纲影响并使其满足平稳性假设，我们对全球月度基准价格序列进行一阶对数差分，得到月度对数收益率</w:t>
      </w:r>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c,m</m:t>
            </m:r>
          </m:sub>
        </m:sSub>
      </m:oMath>
      <w:r>
        <w:rPr>
          <w:rFonts w:ascii="宋体" w:hAnsi="宋体" w:hint="eastAsia"/>
          <w:szCs w:val="24"/>
        </w:rPr>
        <w:t>。</w:t>
      </w:r>
    </w:p>
    <w:p w14:paraId="4BC2296E" w14:textId="008EFD5F" w:rsidR="00C85B17" w:rsidRDefault="00000000" w:rsidP="00C76DA6">
      <w:pPr>
        <w:pStyle w:val="2"/>
        <w:spacing w:after="0" w:line="300" w:lineRule="auto"/>
        <w:ind w:leftChars="0" w:left="0" w:firstLineChars="200" w:firstLine="480"/>
        <w:rPr>
          <w:rFonts w:ascii="宋体" w:hAnsi="宋体" w:hint="eastAsia"/>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c,m</m:t>
              </m:r>
            </m:sub>
          </m:sSub>
          <m:r>
            <w:rPr>
              <w:rFonts w:ascii="Cambria Math" w:hAnsi="Cambria Math"/>
              <w:szCs w:val="24"/>
            </w:rPr>
            <m:t>=</m:t>
          </m:r>
          <m:func>
            <m:funcPr>
              <m:ctrlPr>
                <w:rPr>
                  <w:rFonts w:ascii="Cambria Math" w:hAnsi="Cambria Math"/>
                  <w:szCs w:val="24"/>
                </w:rPr>
              </m:ctrlPr>
            </m:funcPr>
            <m:fName>
              <m:r>
                <m:rPr>
                  <m:sty m:val="p"/>
                </m:rPr>
                <w:rPr>
                  <w:rFonts w:ascii="Cambria Math" w:hAnsi="Cambria Math"/>
                  <w:szCs w:val="24"/>
                </w:rPr>
                <m:t>ln</m:t>
              </m:r>
            </m:fName>
            <m:e>
              <m:d>
                <m:dPr>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P</m:t>
                          </m:r>
                        </m:e>
                        <m:sub>
                          <m:r>
                            <w:rPr>
                              <w:rFonts w:ascii="Cambria Math" w:hAnsi="Cambria Math"/>
                              <w:szCs w:val="24"/>
                            </w:rPr>
                            <m:t>c,m</m:t>
                          </m:r>
                        </m:sub>
                      </m:sSub>
                    </m:num>
                    <m:den>
                      <m:sSub>
                        <m:sSubPr>
                          <m:ctrlPr>
                            <w:rPr>
                              <w:rFonts w:ascii="Cambria Math" w:hAnsi="Cambria Math"/>
                              <w:i/>
                              <w:szCs w:val="24"/>
                            </w:rPr>
                          </m:ctrlPr>
                        </m:sSubPr>
                        <m:e>
                          <m:r>
                            <w:rPr>
                              <w:rFonts w:ascii="Cambria Math" w:hAnsi="Cambria Math"/>
                              <w:szCs w:val="24"/>
                            </w:rPr>
                            <m:t>P</m:t>
                          </m:r>
                        </m:e>
                        <m:sub>
                          <m:r>
                            <w:rPr>
                              <w:rFonts w:ascii="Cambria Math" w:hAnsi="Cambria Math"/>
                              <w:szCs w:val="24"/>
                            </w:rPr>
                            <m:t>c,m</m:t>
                          </m:r>
                        </m:sub>
                      </m:sSub>
                      <m:r>
                        <w:rPr>
                          <w:rFonts w:ascii="Cambria Math" w:hAnsi="Cambria Math"/>
                          <w:szCs w:val="24"/>
                        </w:rPr>
                        <m:t>-1</m:t>
                      </m:r>
                    </m:den>
                  </m:f>
                </m:e>
              </m:d>
            </m:e>
          </m:func>
          <m:r>
            <w:rPr>
              <w:rFonts w:ascii="Cambria Math" w:hAnsi="Cambria Math"/>
              <w:szCs w:val="24"/>
            </w:rPr>
            <m:t>=</m:t>
          </m:r>
          <m:func>
            <m:funcPr>
              <m:ctrlPr>
                <w:rPr>
                  <w:rFonts w:ascii="Cambria Math" w:hAnsi="Cambria Math"/>
                  <w:szCs w:val="24"/>
                </w:rPr>
              </m:ctrlPr>
            </m:funcPr>
            <m:fName>
              <m:r>
                <m:rPr>
                  <m:sty m:val="p"/>
                </m:rPr>
                <w:rPr>
                  <w:rFonts w:ascii="Cambria Math" w:hAnsi="Cambria Math"/>
                  <w:szCs w:val="24"/>
                </w:rPr>
                <m:t>ln</m:t>
              </m:r>
            </m:fName>
            <m:e>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P</m:t>
                      </m:r>
                    </m:e>
                    <m:sub>
                      <m:r>
                        <w:rPr>
                          <w:rFonts w:ascii="Cambria Math" w:hAnsi="Cambria Math"/>
                          <w:szCs w:val="24"/>
                        </w:rPr>
                        <m:t>c,m</m:t>
                      </m:r>
                    </m:sub>
                  </m:sSub>
                </m:e>
              </m:d>
            </m:e>
          </m:func>
          <m:r>
            <w:rPr>
              <w:rFonts w:ascii="Cambria Math" w:hAnsi="Cambria Math"/>
              <w:szCs w:val="24"/>
            </w:rPr>
            <m:t>-</m:t>
          </m:r>
          <m:r>
            <m:rPr>
              <m:sty m:val="p"/>
            </m:rPr>
            <w:rPr>
              <w:rFonts w:ascii="Cambria Math" w:hAnsi="Cambria Math"/>
              <w:szCs w:val="24"/>
            </w:rPr>
            <m:t>ln⁡</m:t>
          </m:r>
          <m:r>
            <w:rPr>
              <w:rFonts w:ascii="Cambria Math" w:hAnsi="Cambria Math"/>
              <w:szCs w:val="24"/>
            </w:rPr>
            <m:t>(</m:t>
          </m:r>
          <m:sSub>
            <m:sSubPr>
              <m:ctrlPr>
                <w:rPr>
                  <w:rFonts w:ascii="Cambria Math" w:hAnsi="Cambria Math"/>
                  <w:i/>
                  <w:szCs w:val="24"/>
                </w:rPr>
              </m:ctrlPr>
            </m:sSubPr>
            <m:e>
              <m:r>
                <w:rPr>
                  <w:rFonts w:ascii="Cambria Math" w:hAnsi="Cambria Math"/>
                  <w:szCs w:val="24"/>
                </w:rPr>
                <m:t>P</m:t>
              </m:r>
            </m:e>
            <m:sub>
              <m:r>
                <w:rPr>
                  <w:rFonts w:ascii="Cambria Math" w:hAnsi="Cambria Math"/>
                  <w:szCs w:val="24"/>
                </w:rPr>
                <m:t>c,m-1</m:t>
              </m:r>
            </m:sub>
          </m:sSub>
          <m:r>
            <w:rPr>
              <w:rFonts w:ascii="Cambria Math" w:hAnsi="Cambria Math"/>
              <w:szCs w:val="24"/>
            </w:rPr>
            <m:t>)</m:t>
          </m:r>
        </m:oMath>
      </m:oMathPara>
    </w:p>
    <w:p w14:paraId="486D30AF" w14:textId="615D1A2D" w:rsidR="00C76DA6" w:rsidRDefault="00C76DA6" w:rsidP="00C76DA6">
      <w:pPr>
        <w:pStyle w:val="2"/>
        <w:spacing w:after="0" w:line="300" w:lineRule="auto"/>
        <w:ind w:leftChars="0" w:left="0" w:firstLineChars="200" w:firstLine="480"/>
        <w:rPr>
          <w:rFonts w:ascii="宋体" w:hAnsi="宋体" w:hint="eastAsia"/>
          <w:szCs w:val="24"/>
        </w:rPr>
      </w:pPr>
      <w:r w:rsidRPr="00C76DA6">
        <w:rPr>
          <w:rFonts w:ascii="宋体" w:hAnsi="宋体"/>
          <w:szCs w:val="24"/>
        </w:rPr>
        <w:lastRenderedPageBreak/>
        <w:t>该指标近似代表了价格的月度百分比变化，是金融经济学中衡量资产回报的标准形式。</w:t>
      </w:r>
    </w:p>
    <w:p w14:paraId="0D9302E6" w14:textId="3DCE3701" w:rsidR="00C85B17" w:rsidRDefault="00C85B17" w:rsidP="00C85B17">
      <w:pPr>
        <w:pStyle w:val="2"/>
        <w:spacing w:after="0" w:line="300" w:lineRule="auto"/>
        <w:ind w:leftChars="0" w:left="0"/>
        <w:rPr>
          <w:rFonts w:ascii="宋体" w:hAnsi="宋体" w:hint="eastAsia"/>
          <w:szCs w:val="24"/>
        </w:rPr>
      </w:pPr>
      <w:r w:rsidRPr="00C85B17">
        <w:rPr>
          <w:rFonts w:ascii="宋体" w:hAnsi="宋体" w:hint="eastAsia"/>
          <w:szCs w:val="24"/>
        </w:rPr>
        <w:t>三</w:t>
      </w:r>
      <w:r>
        <w:rPr>
          <w:rFonts w:ascii="宋体" w:hAnsi="宋体" w:hint="eastAsia"/>
          <w:szCs w:val="24"/>
        </w:rPr>
        <w:t>.</w:t>
      </w:r>
      <w:r w:rsidRPr="00C85B17">
        <w:rPr>
          <w:rFonts w:ascii="宋体" w:hAnsi="宋体" w:hint="eastAsia"/>
          <w:szCs w:val="24"/>
        </w:rPr>
        <w:t>测算季度波动率</w:t>
      </w:r>
    </w:p>
    <w:p w14:paraId="0CCC68E8" w14:textId="03F6D80F" w:rsidR="00C85B17" w:rsidRDefault="00C85B17" w:rsidP="00C85B17">
      <w:pPr>
        <w:pStyle w:val="2"/>
        <w:spacing w:after="0" w:line="300" w:lineRule="auto"/>
        <w:ind w:leftChars="0" w:left="0" w:firstLine="480"/>
        <w:rPr>
          <w:rFonts w:ascii="宋体" w:hAnsi="宋体" w:hint="eastAsia"/>
          <w:szCs w:val="24"/>
        </w:rPr>
      </w:pPr>
      <w:r w:rsidRPr="00C85B17">
        <w:rPr>
          <w:rFonts w:ascii="宋体" w:hAnsi="宋体"/>
          <w:szCs w:val="24"/>
        </w:rPr>
        <w:t>考虑到宏观经济数据（如GDP）多以季度频率发布，为保持解释变量与被解释变量的频率一致，并捕捉短期内的价格震荡程度，我们将月度收益率进一步聚合为季度波动率。</w:t>
      </w:r>
      <w:r w:rsidRPr="00C85B17">
        <w:rPr>
          <w:rFonts w:ascii="宋体" w:hAnsi="宋体"/>
          <w:szCs w:val="24"/>
        </w:rPr>
        <w:br/>
      </w:r>
      <w:r w:rsidRPr="00C85B17">
        <w:rPr>
          <w:rFonts w:ascii="宋体" w:hAnsi="宋体" w:hint="eastAsia"/>
          <w:szCs w:val="24"/>
        </w:rPr>
        <w:t xml:space="preserve">    </w:t>
      </w:r>
      <w:r w:rsidRPr="00C85B17">
        <w:rPr>
          <w:rFonts w:ascii="宋体" w:hAnsi="宋体"/>
          <w:szCs w:val="24"/>
        </w:rPr>
        <w:t>对于每个季度</w:t>
      </w:r>
      <m:oMath>
        <m:r>
          <w:rPr>
            <w:rFonts w:ascii="Cambria Math" w:hAnsi="Cambria Math"/>
            <w:szCs w:val="24"/>
          </w:rPr>
          <m:t>q</m:t>
        </m:r>
      </m:oMath>
      <w:r w:rsidRPr="00C85B17">
        <w:rPr>
          <w:rFonts w:ascii="宋体" w:hAnsi="宋体"/>
          <w:szCs w:val="24"/>
        </w:rPr>
        <w:t>（包含该季度内的3个月份</w:t>
      </w:r>
      <m:oMath>
        <m:r>
          <w:rPr>
            <w:rFonts w:ascii="Cambria Math" w:hAnsi="Cambria Math"/>
            <w:szCs w:val="24"/>
          </w:rPr>
          <m:t>m∈q</m:t>
        </m:r>
      </m:oMath>
      <w:r w:rsidRPr="00C85B17">
        <w:rPr>
          <w:rFonts w:ascii="宋体" w:hAnsi="宋体"/>
          <w:szCs w:val="24"/>
        </w:rPr>
        <w:t>），计算该季度内月度对数收益率的样本标准差，定义为该品种在第</w:t>
      </w:r>
      <m:oMath>
        <m:r>
          <w:rPr>
            <w:rFonts w:ascii="Cambria Math" w:hAnsi="Cambria Math"/>
            <w:szCs w:val="24"/>
          </w:rPr>
          <m:t>q</m:t>
        </m:r>
      </m:oMath>
      <w:r w:rsidRPr="00C85B17">
        <w:rPr>
          <w:rFonts w:ascii="宋体" w:hAnsi="宋体"/>
          <w:szCs w:val="24"/>
        </w:rPr>
        <w:t>季度的价格波动率</w:t>
      </w:r>
      <m:oMath>
        <m:sSub>
          <m:sSubPr>
            <m:ctrlPr>
              <w:rPr>
                <w:rFonts w:ascii="Cambria Math" w:hAnsi="Cambria Math"/>
                <w:szCs w:val="24"/>
              </w:rPr>
            </m:ctrlPr>
          </m:sSubPr>
          <m:e>
            <m:r>
              <m:rPr>
                <m:nor/>
              </m:rPr>
              <w:rPr>
                <w:rFonts w:ascii="宋体" w:hAnsi="宋体"/>
                <w:szCs w:val="24"/>
              </w:rPr>
              <m:t>Vol</m:t>
            </m:r>
          </m:e>
          <m:sub>
            <m:r>
              <w:rPr>
                <w:rFonts w:ascii="Cambria Math" w:hAnsi="Cambria Math"/>
                <w:szCs w:val="24"/>
              </w:rPr>
              <m:t>c,q</m:t>
            </m:r>
          </m:sub>
        </m:sSub>
      </m:oMath>
      <w:r w:rsidRPr="00C85B17">
        <w:rPr>
          <w:rFonts w:ascii="宋体" w:hAnsi="宋体"/>
          <w:szCs w:val="24"/>
        </w:rPr>
        <w:t>：</w:t>
      </w:r>
    </w:p>
    <w:p w14:paraId="165D00DD" w14:textId="77777777" w:rsidR="00B06260" w:rsidRDefault="00000000" w:rsidP="00B06260">
      <w:pPr>
        <w:pStyle w:val="2"/>
        <w:spacing w:after="0" w:line="300" w:lineRule="auto"/>
        <w:ind w:leftChars="0" w:left="0" w:firstLine="480"/>
        <w:rPr>
          <w:rFonts w:ascii="宋体" w:hAnsi="宋体"/>
          <w:szCs w:val="24"/>
        </w:rPr>
      </w:pPr>
      <m:oMathPara>
        <m:oMath>
          <m:sSub>
            <m:sSubPr>
              <m:ctrlPr>
                <w:rPr>
                  <w:rFonts w:ascii="Cambria Math" w:hAnsi="Cambria Math"/>
                  <w:szCs w:val="24"/>
                </w:rPr>
              </m:ctrlPr>
            </m:sSubPr>
            <m:e>
              <m:r>
                <m:rPr>
                  <m:nor/>
                </m:rPr>
                <w:rPr>
                  <w:rFonts w:ascii="宋体" w:hAnsi="宋体"/>
                  <w:szCs w:val="24"/>
                </w:rPr>
                <m:t>Vol</m:t>
              </m:r>
            </m:e>
            <m:sub>
              <m:r>
                <w:rPr>
                  <w:rFonts w:ascii="Cambria Math" w:hAnsi="Cambria Math"/>
                  <w:szCs w:val="24"/>
                </w:rPr>
                <m:t>c,q</m:t>
              </m:r>
            </m:sub>
          </m:sSub>
          <m:r>
            <w:rPr>
              <w:rFonts w:ascii="Cambria Math" w:hAnsi="Cambria Math"/>
              <w:szCs w:val="24"/>
            </w:rPr>
            <m:t>=</m:t>
          </m:r>
          <m:rad>
            <m:radPr>
              <m:degHide m:val="1"/>
              <m:ctrlPr>
                <w:rPr>
                  <w:rFonts w:ascii="Cambria Math" w:hAnsi="Cambria Math"/>
                  <w:i/>
                  <w:szCs w:val="24"/>
                </w:rPr>
              </m:ctrlPr>
            </m:radPr>
            <m:deg/>
            <m:e>
              <m:f>
                <m:fPr>
                  <m:ctrlPr>
                    <w:rPr>
                      <w:rFonts w:ascii="Cambria Math" w:hAnsi="Cambria Math"/>
                      <w:i/>
                      <w:szCs w:val="24"/>
                    </w:rPr>
                  </m:ctrlPr>
                </m:fPr>
                <m:num>
                  <m:r>
                    <w:rPr>
                      <w:rFonts w:ascii="Cambria Math" w:hAnsi="Cambria Math"/>
                      <w:szCs w:val="24"/>
                    </w:rPr>
                    <m:t>1</m:t>
                  </m:r>
                </m:num>
                <m:den>
                  <m:r>
                    <w:rPr>
                      <w:rFonts w:ascii="Cambria Math" w:hAnsi="Cambria Math"/>
                      <w:szCs w:val="24"/>
                    </w:rPr>
                    <m:t>M-1</m:t>
                  </m:r>
                </m:den>
              </m:f>
            </m:e>
          </m:rad>
          <m:nary>
            <m:naryPr>
              <m:chr m:val="∑"/>
              <m:limLoc m:val="undOvr"/>
              <m:supHide m:val="1"/>
              <m:ctrlPr>
                <w:rPr>
                  <w:rFonts w:ascii="Cambria Math" w:hAnsi="Cambria Math"/>
                  <w:i/>
                  <w:szCs w:val="24"/>
                </w:rPr>
              </m:ctrlPr>
            </m:naryPr>
            <m:sub>
              <m:r>
                <w:rPr>
                  <w:rFonts w:ascii="Cambria Math" w:hAnsi="Cambria Math"/>
                  <w:szCs w:val="24"/>
                </w:rPr>
                <m:t>m∈q</m:t>
              </m:r>
            </m:sub>
            <m:sup/>
            <m:e>
              <m:r>
                <w:rPr>
                  <w:rFonts w:ascii="Cambria Math" w:hAnsi="Cambria Math"/>
                  <w:szCs w:val="24"/>
                </w:rPr>
                <m:t>(</m:t>
              </m:r>
              <m:sSub>
                <m:sSubPr>
                  <m:ctrlPr>
                    <w:rPr>
                      <w:rFonts w:ascii="Cambria Math" w:hAnsi="Cambria Math"/>
                      <w:i/>
                      <w:szCs w:val="24"/>
                    </w:rPr>
                  </m:ctrlPr>
                </m:sSubPr>
                <m:e>
                  <m:r>
                    <w:rPr>
                      <w:rFonts w:ascii="Cambria Math" w:hAnsi="Cambria Math"/>
                      <w:szCs w:val="24"/>
                    </w:rPr>
                    <m:t>r</m:t>
                  </m:r>
                </m:e>
                <m:sub>
                  <m:r>
                    <w:rPr>
                      <w:rFonts w:ascii="Cambria Math" w:hAnsi="Cambria Math"/>
                      <w:szCs w:val="24"/>
                    </w:rPr>
                    <m:t>c,m</m:t>
                  </m:r>
                </m:sub>
              </m:sSub>
            </m:e>
          </m:nary>
          <m:r>
            <w:rPr>
              <w:rFonts w:ascii="Cambria Math" w:hAnsi="Cambria Math"/>
              <w:szCs w:val="24"/>
            </w:rPr>
            <m:t>-</m:t>
          </m:r>
          <m:sSub>
            <m:sSubPr>
              <m:ctrlPr>
                <w:rPr>
                  <w:rFonts w:ascii="Cambria Math" w:hAnsi="Cambria Math"/>
                  <w:i/>
                  <w:szCs w:val="24"/>
                </w:rPr>
              </m:ctrlPr>
            </m:sSubPr>
            <m:e>
              <m:acc>
                <m:accPr>
                  <m:chr m:val="̅"/>
                  <m:ctrlPr>
                    <w:rPr>
                      <w:rFonts w:ascii="Cambria Math" w:hAnsi="Cambria Math"/>
                      <w:i/>
                      <w:szCs w:val="24"/>
                    </w:rPr>
                  </m:ctrlPr>
                </m:accPr>
                <m:e>
                  <m:r>
                    <w:rPr>
                      <w:rFonts w:ascii="Cambria Math" w:hAnsi="Cambria Math"/>
                      <w:szCs w:val="24"/>
                    </w:rPr>
                    <m:t>r</m:t>
                  </m:r>
                </m:e>
              </m:acc>
            </m:e>
            <m:sub>
              <m:r>
                <w:rPr>
                  <w:rFonts w:ascii="Cambria Math" w:hAnsi="Cambria Math"/>
                  <w:szCs w:val="24"/>
                </w:rPr>
                <m:t>c,q</m:t>
              </m:r>
            </m:sub>
          </m:sSub>
          <m:sSup>
            <m:sSupPr>
              <m:ctrlPr>
                <w:rPr>
                  <w:rFonts w:ascii="Cambria Math" w:hAnsi="Cambria Math"/>
                  <w:i/>
                  <w:szCs w:val="24"/>
                </w:rPr>
              </m:ctrlPr>
            </m:sSupPr>
            <m:e>
              <m:r>
                <w:rPr>
                  <w:rFonts w:ascii="Cambria Math" w:hAnsi="Cambria Math"/>
                  <w:szCs w:val="24"/>
                </w:rPr>
                <m:t>)</m:t>
              </m:r>
            </m:e>
            <m:sup>
              <m:r>
                <w:rPr>
                  <w:rFonts w:ascii="Cambria Math" w:hAnsi="Cambria Math"/>
                  <w:szCs w:val="24"/>
                </w:rPr>
                <m:t>2</m:t>
              </m:r>
            </m:sup>
          </m:sSup>
        </m:oMath>
      </m:oMathPara>
    </w:p>
    <w:p w14:paraId="5675D1E2" w14:textId="31C60FE8" w:rsidR="00D25ED3" w:rsidRPr="00C85B17" w:rsidRDefault="00B06260" w:rsidP="00B06260">
      <w:pPr>
        <w:pStyle w:val="2"/>
        <w:spacing w:after="0" w:line="300" w:lineRule="auto"/>
        <w:ind w:leftChars="0" w:left="0" w:firstLineChars="200" w:firstLine="480"/>
        <w:rPr>
          <w:rFonts w:ascii="宋体" w:hAnsi="宋体" w:hint="eastAsia"/>
          <w:szCs w:val="24"/>
        </w:rPr>
      </w:pPr>
      <w:r>
        <w:rPr>
          <w:rFonts w:ascii="宋体" w:hAnsi="宋体" w:hint="eastAsia"/>
          <w:szCs w:val="24"/>
        </w:rPr>
        <w:t>其中</w:t>
      </w:r>
      <m:oMath>
        <m:sSub>
          <m:sSubPr>
            <m:ctrlPr>
              <w:rPr>
                <w:rFonts w:ascii="Cambria Math" w:hAnsi="Cambria Math"/>
                <w:szCs w:val="24"/>
              </w:rPr>
            </m:ctrlPr>
          </m:sSubPr>
          <m:e>
            <m:acc>
              <m:accPr>
                <m:chr m:val="ˉ"/>
                <m:ctrlPr>
                  <w:rPr>
                    <w:rFonts w:ascii="Cambria Math" w:hAnsi="Cambria Math"/>
                    <w:szCs w:val="24"/>
                  </w:rPr>
                </m:ctrlPr>
              </m:accPr>
              <m:e>
                <m:r>
                  <w:rPr>
                    <w:rFonts w:ascii="Cambria Math" w:hAnsi="Cambria Math"/>
                    <w:szCs w:val="24"/>
                  </w:rPr>
                  <m:t>r</m:t>
                </m:r>
              </m:e>
            </m:acc>
          </m:e>
          <m:sub>
            <m:r>
              <w:rPr>
                <w:rFonts w:ascii="Cambria Math" w:hAnsi="Cambria Math"/>
                <w:szCs w:val="24"/>
              </w:rPr>
              <m:t>c,q</m:t>
            </m:r>
          </m:sub>
        </m:sSub>
      </m:oMath>
      <w:r w:rsidR="00D25ED3" w:rsidRPr="00D25ED3">
        <w:rPr>
          <w:rFonts w:ascii="宋体" w:hAnsi="宋体"/>
          <w:szCs w:val="24"/>
        </w:rPr>
        <w:t>为该季度内月度收益率的均值</w:t>
      </w:r>
    </w:p>
    <w:sectPr w:rsidR="00D25ED3" w:rsidRPr="00C85B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9FA26" w14:textId="77777777" w:rsidR="00AB1BC9" w:rsidRDefault="00AB1BC9" w:rsidP="009B405D">
      <w:pPr>
        <w:spacing w:line="240" w:lineRule="auto"/>
      </w:pPr>
      <w:r>
        <w:separator/>
      </w:r>
    </w:p>
  </w:endnote>
  <w:endnote w:type="continuationSeparator" w:id="0">
    <w:p w14:paraId="005B2F42" w14:textId="77777777" w:rsidR="00AB1BC9" w:rsidRDefault="00AB1BC9" w:rsidP="009B40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3912F" w14:textId="77777777" w:rsidR="00AB1BC9" w:rsidRDefault="00AB1BC9" w:rsidP="009B405D">
      <w:pPr>
        <w:spacing w:line="240" w:lineRule="auto"/>
      </w:pPr>
      <w:r>
        <w:separator/>
      </w:r>
    </w:p>
  </w:footnote>
  <w:footnote w:type="continuationSeparator" w:id="0">
    <w:p w14:paraId="1503FF88" w14:textId="77777777" w:rsidR="00AB1BC9" w:rsidRDefault="00AB1BC9" w:rsidP="009B405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7227"/>
    <w:multiLevelType w:val="multilevel"/>
    <w:tmpl w:val="1BAE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D5997"/>
    <w:multiLevelType w:val="hybridMultilevel"/>
    <w:tmpl w:val="B4D005CA"/>
    <w:lvl w:ilvl="0" w:tplc="B01CBDA4">
      <w:start w:val="1"/>
      <w:numFmt w:val="decimal"/>
      <w:lvlText w:val="（%1）"/>
      <w:lvlJc w:val="left"/>
      <w:pPr>
        <w:ind w:left="840" w:hanging="720"/>
      </w:pPr>
      <w:rPr>
        <w:rFonts w:hint="default"/>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abstractNum w:abstractNumId="2" w15:restartNumberingAfterBreak="0">
    <w:nsid w:val="097F7BD9"/>
    <w:multiLevelType w:val="multilevel"/>
    <w:tmpl w:val="00D2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D31C8"/>
    <w:multiLevelType w:val="hybridMultilevel"/>
    <w:tmpl w:val="F4642A84"/>
    <w:lvl w:ilvl="0" w:tplc="07BAD5F6">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93734C7"/>
    <w:multiLevelType w:val="multilevel"/>
    <w:tmpl w:val="F67C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108BA"/>
    <w:multiLevelType w:val="hybridMultilevel"/>
    <w:tmpl w:val="AAC23EBA"/>
    <w:lvl w:ilvl="0" w:tplc="70945C5C">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0105E84"/>
    <w:multiLevelType w:val="multilevel"/>
    <w:tmpl w:val="613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75772"/>
    <w:multiLevelType w:val="multilevel"/>
    <w:tmpl w:val="F3280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A75076"/>
    <w:multiLevelType w:val="multilevel"/>
    <w:tmpl w:val="FFAC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0246BB"/>
    <w:multiLevelType w:val="multilevel"/>
    <w:tmpl w:val="6C60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F143B"/>
    <w:multiLevelType w:val="multilevel"/>
    <w:tmpl w:val="8E34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E27097"/>
    <w:multiLevelType w:val="multilevel"/>
    <w:tmpl w:val="4D30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E36AE"/>
    <w:multiLevelType w:val="multilevel"/>
    <w:tmpl w:val="E32C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D0E05"/>
    <w:multiLevelType w:val="multilevel"/>
    <w:tmpl w:val="2D64B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FE78FF"/>
    <w:multiLevelType w:val="hybridMultilevel"/>
    <w:tmpl w:val="14B24592"/>
    <w:lvl w:ilvl="0" w:tplc="BD306CFA">
      <w:start w:val="1"/>
      <w:numFmt w:val="decimal"/>
      <w:lvlText w:val="%1."/>
      <w:lvlJc w:val="left"/>
      <w:pPr>
        <w:ind w:left="480" w:hanging="360"/>
      </w:pPr>
      <w:rPr>
        <w:rFonts w:hint="default"/>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num w:numId="1" w16cid:durableId="566577926">
    <w:abstractNumId w:val="1"/>
  </w:num>
  <w:num w:numId="2" w16cid:durableId="1412770583">
    <w:abstractNumId w:val="14"/>
  </w:num>
  <w:num w:numId="3" w16cid:durableId="974138508">
    <w:abstractNumId w:val="12"/>
  </w:num>
  <w:num w:numId="4" w16cid:durableId="817453295">
    <w:abstractNumId w:val="13"/>
  </w:num>
  <w:num w:numId="5" w16cid:durableId="944312131">
    <w:abstractNumId w:val="0"/>
  </w:num>
  <w:num w:numId="6" w16cid:durableId="606037184">
    <w:abstractNumId w:val="10"/>
  </w:num>
  <w:num w:numId="7" w16cid:durableId="951128104">
    <w:abstractNumId w:val="3"/>
  </w:num>
  <w:num w:numId="8" w16cid:durableId="1692217685">
    <w:abstractNumId w:val="5"/>
  </w:num>
  <w:num w:numId="9" w16cid:durableId="239949942">
    <w:abstractNumId w:val="4"/>
  </w:num>
  <w:num w:numId="10" w16cid:durableId="1141076912">
    <w:abstractNumId w:val="7"/>
  </w:num>
  <w:num w:numId="11" w16cid:durableId="749347188">
    <w:abstractNumId w:val="11"/>
  </w:num>
  <w:num w:numId="12" w16cid:durableId="1336297987">
    <w:abstractNumId w:val="8"/>
  </w:num>
  <w:num w:numId="13" w16cid:durableId="1560631697">
    <w:abstractNumId w:val="6"/>
  </w:num>
  <w:num w:numId="14" w16cid:durableId="235288532">
    <w:abstractNumId w:val="9"/>
  </w:num>
  <w:num w:numId="15" w16cid:durableId="109712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858"/>
    <w:rsid w:val="0001539E"/>
    <w:rsid w:val="00067D44"/>
    <w:rsid w:val="00090E9D"/>
    <w:rsid w:val="000B2726"/>
    <w:rsid w:val="00110B4D"/>
    <w:rsid w:val="00196D3F"/>
    <w:rsid w:val="00373A10"/>
    <w:rsid w:val="003C7974"/>
    <w:rsid w:val="003E6376"/>
    <w:rsid w:val="00445FFA"/>
    <w:rsid w:val="004A4BC0"/>
    <w:rsid w:val="004E53E0"/>
    <w:rsid w:val="004E6FB1"/>
    <w:rsid w:val="005335BB"/>
    <w:rsid w:val="00551ECA"/>
    <w:rsid w:val="005B2BFC"/>
    <w:rsid w:val="006450A6"/>
    <w:rsid w:val="006914A4"/>
    <w:rsid w:val="007055B6"/>
    <w:rsid w:val="00785DB0"/>
    <w:rsid w:val="007E60E5"/>
    <w:rsid w:val="0084400E"/>
    <w:rsid w:val="00867A45"/>
    <w:rsid w:val="009267DA"/>
    <w:rsid w:val="009933ED"/>
    <w:rsid w:val="009947BB"/>
    <w:rsid w:val="009B380B"/>
    <w:rsid w:val="009B405D"/>
    <w:rsid w:val="009C2268"/>
    <w:rsid w:val="009E0342"/>
    <w:rsid w:val="00A83B77"/>
    <w:rsid w:val="00AB05B4"/>
    <w:rsid w:val="00AB1BC9"/>
    <w:rsid w:val="00B06260"/>
    <w:rsid w:val="00B226E0"/>
    <w:rsid w:val="00B4009A"/>
    <w:rsid w:val="00B45CD8"/>
    <w:rsid w:val="00BF0F6C"/>
    <w:rsid w:val="00C56C06"/>
    <w:rsid w:val="00C63B9F"/>
    <w:rsid w:val="00C76DA6"/>
    <w:rsid w:val="00C85B17"/>
    <w:rsid w:val="00C85E41"/>
    <w:rsid w:val="00CC1A55"/>
    <w:rsid w:val="00D25ED3"/>
    <w:rsid w:val="00D46F1F"/>
    <w:rsid w:val="00D971D0"/>
    <w:rsid w:val="00DB2CB4"/>
    <w:rsid w:val="00DD2952"/>
    <w:rsid w:val="00DF1140"/>
    <w:rsid w:val="00E00C32"/>
    <w:rsid w:val="00E75FE9"/>
    <w:rsid w:val="00E844A1"/>
    <w:rsid w:val="00EF1062"/>
    <w:rsid w:val="00F221C9"/>
    <w:rsid w:val="00FA5354"/>
    <w:rsid w:val="00FD5858"/>
    <w:rsid w:val="00FD6D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9A1D8D"/>
  <w15:chartTrackingRefBased/>
  <w15:docId w15:val="{77728A5F-8FCB-4B3F-8A51-2474F00A4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2"/>
    <w:qFormat/>
    <w:rsid w:val="00BF0F6C"/>
    <w:pPr>
      <w:widowControl w:val="0"/>
      <w:spacing w:after="0" w:line="300" w:lineRule="auto"/>
      <w:jc w:val="both"/>
    </w:pPr>
    <w:rPr>
      <w:rFonts w:ascii="Times New Roman" w:eastAsia="宋体" w:hAnsi="Times New Roman" w:cs="Times New Roman"/>
      <w:sz w:val="24"/>
      <w:szCs w:val="20"/>
      <w14:ligatures w14:val="none"/>
    </w:rPr>
  </w:style>
  <w:style w:type="paragraph" w:styleId="1">
    <w:name w:val="heading 1"/>
    <w:basedOn w:val="a"/>
    <w:next w:val="a"/>
    <w:link w:val="10"/>
    <w:uiPriority w:val="9"/>
    <w:qFormat/>
    <w:rsid w:val="00FD585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0">
    <w:name w:val="heading 2"/>
    <w:basedOn w:val="a"/>
    <w:next w:val="a"/>
    <w:link w:val="21"/>
    <w:uiPriority w:val="9"/>
    <w:semiHidden/>
    <w:unhideWhenUsed/>
    <w:qFormat/>
    <w:rsid w:val="00FD585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D585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D585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D5858"/>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FD585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D585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585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D585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5858"/>
    <w:rPr>
      <w:rFonts w:asciiTheme="majorHAnsi" w:eastAsiaTheme="majorEastAsia" w:hAnsiTheme="majorHAnsi" w:cstheme="majorBidi"/>
      <w:color w:val="2F5496" w:themeColor="accent1" w:themeShade="BF"/>
      <w:sz w:val="48"/>
      <w:szCs w:val="48"/>
    </w:rPr>
  </w:style>
  <w:style w:type="character" w:customStyle="1" w:styleId="21">
    <w:name w:val="标题 2 字符"/>
    <w:basedOn w:val="a0"/>
    <w:link w:val="20"/>
    <w:uiPriority w:val="9"/>
    <w:semiHidden/>
    <w:rsid w:val="00FD585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D585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D5858"/>
    <w:rPr>
      <w:rFonts w:cstheme="majorBidi"/>
      <w:color w:val="2F5496" w:themeColor="accent1" w:themeShade="BF"/>
      <w:sz w:val="28"/>
      <w:szCs w:val="28"/>
    </w:rPr>
  </w:style>
  <w:style w:type="character" w:customStyle="1" w:styleId="50">
    <w:name w:val="标题 5 字符"/>
    <w:basedOn w:val="a0"/>
    <w:link w:val="5"/>
    <w:uiPriority w:val="9"/>
    <w:semiHidden/>
    <w:rsid w:val="00FD5858"/>
    <w:rPr>
      <w:rFonts w:cstheme="majorBidi"/>
      <w:color w:val="2F5496" w:themeColor="accent1" w:themeShade="BF"/>
      <w:sz w:val="24"/>
    </w:rPr>
  </w:style>
  <w:style w:type="character" w:customStyle="1" w:styleId="60">
    <w:name w:val="标题 6 字符"/>
    <w:basedOn w:val="a0"/>
    <w:link w:val="6"/>
    <w:uiPriority w:val="9"/>
    <w:semiHidden/>
    <w:rsid w:val="00FD5858"/>
    <w:rPr>
      <w:rFonts w:cstheme="majorBidi"/>
      <w:b/>
      <w:bCs/>
      <w:color w:val="2F5496" w:themeColor="accent1" w:themeShade="BF"/>
    </w:rPr>
  </w:style>
  <w:style w:type="character" w:customStyle="1" w:styleId="70">
    <w:name w:val="标题 7 字符"/>
    <w:basedOn w:val="a0"/>
    <w:link w:val="7"/>
    <w:uiPriority w:val="9"/>
    <w:semiHidden/>
    <w:rsid w:val="00FD5858"/>
    <w:rPr>
      <w:rFonts w:cstheme="majorBidi"/>
      <w:b/>
      <w:bCs/>
      <w:color w:val="595959" w:themeColor="text1" w:themeTint="A6"/>
    </w:rPr>
  </w:style>
  <w:style w:type="character" w:customStyle="1" w:styleId="80">
    <w:name w:val="标题 8 字符"/>
    <w:basedOn w:val="a0"/>
    <w:link w:val="8"/>
    <w:uiPriority w:val="9"/>
    <w:semiHidden/>
    <w:rsid w:val="00FD5858"/>
    <w:rPr>
      <w:rFonts w:cstheme="majorBidi"/>
      <w:color w:val="595959" w:themeColor="text1" w:themeTint="A6"/>
    </w:rPr>
  </w:style>
  <w:style w:type="character" w:customStyle="1" w:styleId="90">
    <w:name w:val="标题 9 字符"/>
    <w:basedOn w:val="a0"/>
    <w:link w:val="9"/>
    <w:uiPriority w:val="9"/>
    <w:semiHidden/>
    <w:rsid w:val="00FD5858"/>
    <w:rPr>
      <w:rFonts w:eastAsiaTheme="majorEastAsia" w:cstheme="majorBidi"/>
      <w:color w:val="595959" w:themeColor="text1" w:themeTint="A6"/>
    </w:rPr>
  </w:style>
  <w:style w:type="paragraph" w:styleId="a3">
    <w:name w:val="Title"/>
    <w:basedOn w:val="a"/>
    <w:next w:val="a"/>
    <w:link w:val="a4"/>
    <w:uiPriority w:val="10"/>
    <w:qFormat/>
    <w:rsid w:val="00FD585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58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585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58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5858"/>
    <w:pPr>
      <w:spacing w:before="160"/>
      <w:jc w:val="center"/>
    </w:pPr>
    <w:rPr>
      <w:i/>
      <w:iCs/>
      <w:color w:val="404040" w:themeColor="text1" w:themeTint="BF"/>
    </w:rPr>
  </w:style>
  <w:style w:type="character" w:customStyle="1" w:styleId="a8">
    <w:name w:val="引用 字符"/>
    <w:basedOn w:val="a0"/>
    <w:link w:val="a7"/>
    <w:uiPriority w:val="29"/>
    <w:rsid w:val="00FD5858"/>
    <w:rPr>
      <w:i/>
      <w:iCs/>
      <w:color w:val="404040" w:themeColor="text1" w:themeTint="BF"/>
    </w:rPr>
  </w:style>
  <w:style w:type="paragraph" w:styleId="a9">
    <w:name w:val="List Paragraph"/>
    <w:basedOn w:val="a"/>
    <w:uiPriority w:val="34"/>
    <w:qFormat/>
    <w:rsid w:val="00FD5858"/>
    <w:pPr>
      <w:ind w:left="720"/>
      <w:contextualSpacing/>
    </w:pPr>
  </w:style>
  <w:style w:type="character" w:styleId="aa">
    <w:name w:val="Intense Emphasis"/>
    <w:basedOn w:val="a0"/>
    <w:uiPriority w:val="21"/>
    <w:qFormat/>
    <w:rsid w:val="00FD5858"/>
    <w:rPr>
      <w:i/>
      <w:iCs/>
      <w:color w:val="2F5496" w:themeColor="accent1" w:themeShade="BF"/>
    </w:rPr>
  </w:style>
  <w:style w:type="paragraph" w:styleId="ab">
    <w:name w:val="Intense Quote"/>
    <w:basedOn w:val="a"/>
    <w:next w:val="a"/>
    <w:link w:val="ac"/>
    <w:uiPriority w:val="30"/>
    <w:qFormat/>
    <w:rsid w:val="00FD58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D5858"/>
    <w:rPr>
      <w:i/>
      <w:iCs/>
      <w:color w:val="2F5496" w:themeColor="accent1" w:themeShade="BF"/>
    </w:rPr>
  </w:style>
  <w:style w:type="character" w:styleId="ad">
    <w:name w:val="Intense Reference"/>
    <w:basedOn w:val="a0"/>
    <w:uiPriority w:val="32"/>
    <w:qFormat/>
    <w:rsid w:val="00FD5858"/>
    <w:rPr>
      <w:b/>
      <w:bCs/>
      <w:smallCaps/>
      <w:color w:val="2F5496" w:themeColor="accent1" w:themeShade="BF"/>
      <w:spacing w:val="5"/>
    </w:rPr>
  </w:style>
  <w:style w:type="paragraph" w:styleId="ae">
    <w:name w:val="header"/>
    <w:basedOn w:val="a"/>
    <w:link w:val="af"/>
    <w:uiPriority w:val="99"/>
    <w:unhideWhenUsed/>
    <w:rsid w:val="009B405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B405D"/>
    <w:rPr>
      <w:sz w:val="18"/>
      <w:szCs w:val="18"/>
    </w:rPr>
  </w:style>
  <w:style w:type="paragraph" w:styleId="af0">
    <w:name w:val="footer"/>
    <w:basedOn w:val="a"/>
    <w:link w:val="af1"/>
    <w:uiPriority w:val="99"/>
    <w:unhideWhenUsed/>
    <w:rsid w:val="009B405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B405D"/>
    <w:rPr>
      <w:sz w:val="18"/>
      <w:szCs w:val="18"/>
    </w:rPr>
  </w:style>
  <w:style w:type="paragraph" w:styleId="2">
    <w:name w:val="Body Text Indent 2"/>
    <w:basedOn w:val="a"/>
    <w:link w:val="22"/>
    <w:uiPriority w:val="99"/>
    <w:unhideWhenUsed/>
    <w:rsid w:val="009B405D"/>
    <w:pPr>
      <w:spacing w:after="120" w:line="480" w:lineRule="auto"/>
      <w:ind w:leftChars="200" w:left="420"/>
    </w:pPr>
  </w:style>
  <w:style w:type="character" w:customStyle="1" w:styleId="22">
    <w:name w:val="正文文本缩进 2 字符"/>
    <w:basedOn w:val="a0"/>
    <w:link w:val="2"/>
    <w:uiPriority w:val="99"/>
    <w:rsid w:val="009B405D"/>
    <w:rPr>
      <w:rFonts w:ascii="Times New Roman" w:eastAsia="宋体" w:hAnsi="Times New Roman" w:cs="Times New Roman"/>
      <w:sz w:val="24"/>
      <w:szCs w:val="20"/>
      <w14:ligatures w14:val="none"/>
    </w:rPr>
  </w:style>
  <w:style w:type="character" w:styleId="af2">
    <w:name w:val="Placeholder Text"/>
    <w:basedOn w:val="a0"/>
    <w:uiPriority w:val="99"/>
    <w:semiHidden/>
    <w:rsid w:val="009267D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9AF8F-6DA8-4584-960F-0ADAC8AC6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789</TotalTime>
  <Pages>8</Pages>
  <Words>2957</Words>
  <Characters>3047</Characters>
  <Application>Microsoft Office Word</Application>
  <DocSecurity>0</DocSecurity>
  <Lines>217</Lines>
  <Paragraphs>150</Paragraphs>
  <ScaleCrop>false</ScaleCrop>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24</cp:revision>
  <dcterms:created xsi:type="dcterms:W3CDTF">2026-03-19T00:19:00Z</dcterms:created>
  <dcterms:modified xsi:type="dcterms:W3CDTF">2026-03-20T05:14:00Z</dcterms:modified>
</cp:coreProperties>
</file>