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48"/>
          <w:szCs w:val="48"/>
        </w:rPr>
        <w:t xml:space="preserve">POV Bike Wheel LED Display</w:t>
      </w:r>
    </w:p>
    <w:p>
      <w:pPr>
        <w:spacing w:after="80"/>
        <w:jc w:val="center"/>
      </w:pPr>
      <w:r>
        <w:rPr>
          <w:color w:val="555555"/>
          <w:sz w:val="26"/>
          <w:szCs w:val="26"/>
        </w:rPr>
        <w:t xml:space="preserve">Illustrated Build Guide — Wheel #1 (front wheel)</w:t>
      </w:r>
    </w:p>
    <w:p>
      <w:pPr>
        <w:spacing w:after="600"/>
        <w:jc w:val="center"/>
      </w:pPr>
      <w:r>
        <w:rPr>
          <w:color w:val="888888"/>
          <w:sz w:val="22"/>
          <w:szCs w:val="22"/>
        </w:rPr>
        <w:t xml:space="preserve">Qlife Racer · 26" wheel · Two-arm build · Burning Man</w:t>
      </w:r>
    </w:p>
    <w:p>
      <w:pPr>
        <w:pStyle w:val="Heading1"/>
      </w:pPr>
      <w:r>
        <w:t xml:space="preserve">How this build works</w:t>
      </w:r>
    </w:p>
    <w:p>
      <w:pPr>
        <w:spacing w:after="160"/>
      </w:pPr>
      <w:r>
        <w:t xml:space="preserve">Two LED arms are mounted on opposite spokes, 180° apart. Each arm has an LED strip on both faces of the carbon fiber bar — one facing left, one facing right. This means every rider sees the display regardless of which side of the bike they're on. The two arms also perfectly balance each other's weight on the spinning wheel.</w:t>
      </w:r>
    </w:p>
    <w:p>
      <w:pPr>
        <w:spacing w:after="80" w:before="120"/>
        <w:jc w:val="center"/>
      </w:pPr>
      <w:r>
        <w:drawing>
          <wp:inline distT="0" distB="0" distL="0" distR="0">
            <wp:extent cx="476250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5124450"/>
                    </a:xfrm>
                    <a:prstGeom prst="rect">
                      <a:avLst/>
                    </a:prstGeom>
                  </pic:spPr>
                </pic:pic>
              </a:graphicData>
            </a:graphic>
          </wp:inline>
        </w:drawing>
      </w:r>
    </w:p>
    <w:p>
      <w:pPr>
        <w:spacing w:after="300"/>
        <w:jc w:val="center"/>
      </w:pPr>
      <w:r>
        <w:rPr>
          <w:i/>
          <w:iCs/>
          <w:color w:val="555555"/>
          <w:sz w:val="20"/>
          <w:szCs w:val="20"/>
        </w:rPr>
        <w:t xml:space="preserve">Figure 0 — two arms on opposite spokes, each visible from one side</w:t>
      </w:r>
    </w:p>
    <w:p>
      <w:r>
        <w:br w:type="page"/>
      </w:r>
    </w:p>
    <w:p>
      <w:pPr>
        <w:pStyle w:val="Heading1"/>
      </w:pPr>
      <w:r>
        <w:t xml:space="preserve">Parts you'll be working with</w:t>
      </w:r>
    </w:p>
    <w:p>
      <w:pPr>
        <w:spacing w:after="160"/>
      </w:pPr>
      <w:r>
        <w:t xml:space="preserve">Note: two-arm build requires 2x LED strips (both cut from your 5m roll) and 2x carbon fiber bars.</w:t>
      </w:r>
    </w:p>
    <w:p>
      <w:pPr>
        <w:spacing w:after="80" w:before="120"/>
        <w:jc w:val="center"/>
      </w:pPr>
      <w:r>
        <w:drawing>
          <wp:inline distT="0" distB="0" distL="0" distR="0">
            <wp:extent cx="47625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943350"/>
                    </a:xfrm>
                    <a:prstGeom prst="rect">
                      <a:avLst/>
                    </a:prstGeom>
                  </pic:spPr>
                </pic:pic>
              </a:graphicData>
            </a:graphic>
          </wp:inline>
        </w:drawing>
      </w:r>
    </w:p>
    <w:p>
      <w:pPr>
        <w:spacing w:after="300"/>
        <w:jc w:val="center"/>
      </w:pPr>
      <w:r>
        <w:rPr>
          <w:i/>
          <w:iCs/>
          <w:color w:val="555555"/>
          <w:sz w:val="20"/>
          <w:szCs w:val="20"/>
        </w:rPr>
        <w:t xml:space="preserve">Figure 1 — full parts reference</w:t>
      </w:r>
    </w:p>
    <w:p>
      <w:r>
        <w:br w:type="page"/>
      </w:r>
    </w:p>
    <w:p>
      <w:pPr>
        <w:pStyle w:val="Heading1"/>
      </w:pPr>
      <w:r>
        <w:t xml:space="preserve">Step 1 — Build both LED arms</w:t>
      </w:r>
    </w:p>
    <w:p>
      <w:pPr>
        <w:spacing w:after="160"/>
      </w:pPr>
      <w:r>
        <w:t xml:space="preserve">Cut two carbon fiber bars and two LED strips to your spoke length (~270mm). Each arm gets one strip on each face of the bar — one facing left, one facing right.</w:t>
      </w:r>
    </w:p>
    <w:p>
      <w:pPr>
        <w:spacing w:after="80" w:before="120"/>
        <w:jc w:val="center"/>
      </w:pPr>
      <w:r>
        <w:drawing>
          <wp:inline distT="0" distB="0" distL="0" distR="0">
            <wp:extent cx="47625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400300"/>
                    </a:xfrm>
                    <a:prstGeom prst="rect">
                      <a:avLst/>
                    </a:prstGeom>
                  </pic:spPr>
                </pic:pic>
              </a:graphicData>
            </a:graphic>
          </wp:inline>
        </w:drawing>
      </w:r>
    </w:p>
    <w:p>
      <w:pPr>
        <w:spacing w:after="300"/>
        <w:jc w:val="center"/>
      </w:pPr>
      <w:r>
        <w:rPr>
          <w:i/>
          <w:iCs/>
          <w:color w:val="555555"/>
          <w:sz w:val="20"/>
          <w:szCs w:val="20"/>
        </w:rPr>
        <w:t xml:space="preserve">Figure 2 — arm cross-section: strip on each face of the carbon fiber bar</w:t>
      </w:r>
    </w:p>
    <w:p>
      <w:pPr>
        <w:pStyle w:val="ListParagraph"/>
        <w:numPr>
          <w:ilvl w:val="0"/>
          <w:numId w:val="2"/>
        </w:numPr>
        <w:spacing w:after="80"/>
      </w:pPr>
      <w:r>
        <w:t xml:space="preserve">Cut two bars and two strips — all the same length (~270mm)</w:t>
      </w:r>
    </w:p>
    <w:p>
      <w:pPr>
        <w:pStyle w:val="ListParagraph"/>
        <w:numPr>
          <w:ilvl w:val="0"/>
          <w:numId w:val="2"/>
        </w:numPr>
        <w:spacing w:after="80"/>
      </w:pPr>
      <w:r>
        <w:t xml:space="preserve">Clean both faces of each bar with isopropyl alcohol</w:t>
      </w:r>
    </w:p>
    <w:p>
      <w:pPr>
        <w:pStyle w:val="ListParagraph"/>
        <w:numPr>
          <w:ilvl w:val="0"/>
          <w:numId w:val="2"/>
        </w:numPr>
        <w:spacing w:after="80"/>
      </w:pPr>
      <w:r>
        <w:t xml:space="preserve">Mount strip 1 on the RIGHT face of bar 1 (LEDs facing right)</w:t>
      </w:r>
    </w:p>
    <w:p>
      <w:pPr>
        <w:pStyle w:val="ListParagraph"/>
        <w:numPr>
          <w:ilvl w:val="0"/>
          <w:numId w:val="2"/>
        </w:numPr>
        <w:spacing w:after="80"/>
      </w:pPr>
      <w:r>
        <w:t xml:space="preserve">Mount strip 2 on the LEFT face of bar 1 (LEDs facing left)</w:t>
      </w:r>
    </w:p>
    <w:p>
      <w:pPr>
        <w:pStyle w:val="ListParagraph"/>
        <w:numPr>
          <w:ilvl w:val="0"/>
          <w:numId w:val="2"/>
        </w:numPr>
        <w:spacing w:after="80"/>
      </w:pPr>
      <w:r>
        <w:t xml:space="preserve">Repeat for bar 2 — strip 3 on right face, strip 4 on left face</w:t>
      </w:r>
    </w:p>
    <w:p>
      <w:pPr>
        <w:pStyle w:val="ListParagraph"/>
        <w:numPr>
          <w:ilvl w:val="0"/>
          <w:numId w:val="2"/>
        </w:numPr>
        <w:spacing w:after="80"/>
      </w:pPr>
      <w:r>
        <w:t xml:space="preserve">Leave all data-in pads exposed at the hub end of each arm</w:t>
      </w:r>
    </w:p>
    <w:p>
      <w:pPr>
        <w:spacing w:after="160"/>
        <w:ind w:left="360"/>
      </w:pPr>
      <w:r>
        <w:rPr>
          <w:color w:val="1a5276"/>
          <w:sz w:val="20"/>
          <w:szCs w:val="20"/>
        </w:rPr>
        <w:t xml:space="preserve">💡 Both strips on the same arm share the same SPI data line — they show the same image. You do not need two separate SPI connections per arm.</w:t>
      </w:r>
    </w:p>
    <w:p>
      <w:pPr>
        <w:pStyle w:val="Heading1"/>
      </w:pPr>
      <w:r>
        <w:t xml:space="preserve">Step 2 — Wire the hub assembly</w:t>
      </w:r>
    </w:p>
    <w:p>
      <w:pPr>
        <w:spacing w:after="160"/>
      </w:pPr>
      <w:r>
        <w:t xml:space="preserve">The key change from a single-arm build: both strips on each arm are daisy-chained on the same SPI bus. One SPI output from the XIAO drives all four strips.</w:t>
      </w:r>
    </w:p>
    <w:p>
      <w:pPr>
        <w:spacing w:after="80" w:before="120"/>
        <w:jc w:val="center"/>
      </w:pPr>
      <w:r>
        <w:drawing>
          <wp:inline distT="0" distB="0" distL="0" distR="0">
            <wp:extent cx="4762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333625"/>
                    </a:xfrm>
                    <a:prstGeom prst="rect">
                      <a:avLst/>
                    </a:prstGeom>
                  </pic:spPr>
                </pic:pic>
              </a:graphicData>
            </a:graphic>
          </wp:inline>
        </w:drawing>
      </w:r>
    </w:p>
    <w:p>
      <w:pPr>
        <w:spacing w:after="300"/>
        <w:jc w:val="center"/>
      </w:pPr>
      <w:r>
        <w:rPr>
          <w:i/>
          <w:iCs/>
          <w:color w:val="555555"/>
          <w:sz w:val="20"/>
          <w:szCs w:val="20"/>
        </w:rPr>
        <w:t xml:space="preserve">Figure 3 — two strips, one SPI bus, daisy-chained</w:t>
      </w:r>
    </w:p>
    <w:p>
      <w:pPr>
        <w:pStyle w:val="ListParagraph"/>
        <w:numPr>
          <w:ilvl w:val="0"/>
          <w:numId w:val="2"/>
        </w:numPr>
        <w:spacing w:after="80"/>
      </w:pPr>
      <w:r>
        <w:t xml:space="preserve">Set the MT3608 output to exactly 5.0V before connecting anything</w:t>
      </w:r>
    </w:p>
    <w:p>
      <w:pPr>
        <w:pStyle w:val="ListParagraph"/>
        <w:numPr>
          <w:ilvl w:val="0"/>
          <w:numId w:val="2"/>
        </w:numPr>
        <w:spacing w:after="80"/>
      </w:pPr>
      <w:r>
        <w:t xml:space="preserve">Wire SPI Data and Clock from XIAO → strip 1 data-in → strip 1 data-out → strip 2 data-in</w:t>
      </w:r>
    </w:p>
    <w:p>
      <w:pPr>
        <w:pStyle w:val="ListParagraph"/>
        <w:numPr>
          <w:ilvl w:val="0"/>
          <w:numId w:val="2"/>
        </w:numPr>
        <w:spacing w:after="80"/>
      </w:pPr>
      <w:r>
        <w:t xml:space="preserve">Wire 5V and GND from MT3608 output to both strips in parallel</w:t>
      </w:r>
    </w:p>
    <w:p>
      <w:pPr>
        <w:pStyle w:val="ListParagraph"/>
        <w:numPr>
          <w:ilvl w:val="0"/>
          <w:numId w:val="2"/>
        </w:numPr>
        <w:spacing w:after="80"/>
      </w:pPr>
      <w:r>
        <w:t xml:space="preserve">Hall sensor OUT → GPIO interrupt pin on XIAO</w:t>
      </w:r>
    </w:p>
    <w:p>
      <w:pPr>
        <w:spacing w:after="160"/>
        <w:ind w:left="360"/>
      </w:pPr>
      <w:r>
        <w:rPr>
          <w:color w:val="1a5276"/>
          <w:sz w:val="20"/>
          <w:szCs w:val="20"/>
        </w:rPr>
        <w:t xml:space="preserve">💡 Daisy-chaining means strip 2 sees the same data as strip 1 automatically — no code changes needed vs a single-strip build.</w:t>
      </w:r>
    </w:p>
    <w:p>
      <w:r>
        <w:br w:type="page"/>
      </w:r>
    </w:p>
    <w:p>
      <w:pPr>
        <w:pStyle w:val="Heading1"/>
      </w:pPr>
      <w:r>
        <w:t xml:space="preserve">Step 3 — Hub enclosure layout</w:t>
      </w:r>
    </w:p>
    <w:p>
      <w:pPr>
        <w:spacing w:after="160"/>
      </w:pPr>
      <w:r>
        <w:t xml:space="preserve">Same layout as single-arm build. The two extra strips add minimal current draw — your LiPo and MT3608 handle it without any changes.</w:t>
      </w:r>
    </w:p>
    <w:p>
      <w:pPr>
        <w:spacing w:after="80" w:before="120"/>
        <w:jc w:val="center"/>
      </w:pPr>
      <w:r>
        <w:drawing>
          <wp:inline distT="0" distB="0" distL="0" distR="0">
            <wp:extent cx="4762500" cy="406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067175"/>
                    </a:xfrm>
                    <a:prstGeom prst="rect">
                      <a:avLst/>
                    </a:prstGeom>
                  </pic:spPr>
                </pic:pic>
              </a:graphicData>
            </a:graphic>
          </wp:inline>
        </w:drawing>
      </w:r>
    </w:p>
    <w:p>
      <w:pPr>
        <w:spacing w:after="300"/>
        <w:jc w:val="center"/>
      </w:pPr>
      <w:r>
        <w:rPr>
          <w:i/>
          <w:iCs/>
          <w:color w:val="555555"/>
          <w:sz w:val="20"/>
          <w:szCs w:val="20"/>
        </w:rPr>
        <w:t xml:space="preserve">Figure 4 — hub enclosure component positions</w:t>
      </w:r>
    </w:p>
    <w:p>
      <w:pPr>
        <w:pStyle w:val="ListParagraph"/>
        <w:numPr>
          <w:ilvl w:val="0"/>
          <w:numId w:val="2"/>
        </w:numPr>
        <w:spacing w:after="80"/>
      </w:pPr>
      <w:r>
        <w:t xml:space="preserve">Rocker switch on TOP wall — accessible while riding</w:t>
      </w:r>
    </w:p>
    <w:p>
      <w:pPr>
        <w:pStyle w:val="ListParagraph"/>
        <w:numPr>
          <w:ilvl w:val="0"/>
          <w:numId w:val="2"/>
        </w:numPr>
        <w:spacing w:after="80"/>
      </w:pPr>
      <w:r>
        <w:t xml:space="preserve">JST socket on SIDE wall — battery unplugs for nightly charging</w:t>
      </w:r>
    </w:p>
    <w:p>
      <w:pPr>
        <w:pStyle w:val="ListParagraph"/>
        <w:numPr>
          <w:ilvl w:val="0"/>
          <w:numId w:val="2"/>
        </w:numPr>
        <w:spacing w:after="80"/>
      </w:pPr>
      <w:r>
        <w:t xml:space="preserve">TP4056 USB-C port faces outward — charge without opening enclosure</w:t>
      </w:r>
    </w:p>
    <w:p>
      <w:pPr>
        <w:pStyle w:val="Heading1"/>
      </w:pPr>
      <w:r>
        <w:t xml:space="preserve">Step 4 — Mount the battery with velcro</w:t>
      </w:r>
    </w:p>
    <w:p>
      <w:pPr>
        <w:spacing w:after="160"/>
      </w:pPr>
      <w:r>
        <w:t xml:space="preserve">Same as single-arm. Velcro the LiPo to the enclosure floor with the JST lead running to the side wall socket.</w:t>
      </w:r>
    </w:p>
    <w:p>
      <w:pPr>
        <w:spacing w:after="80" w:before="120"/>
        <w:jc w:val="center"/>
      </w:pPr>
      <w:r>
        <w:drawing>
          <wp:inline distT="0" distB="0" distL="0" distR="0">
            <wp:extent cx="4762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067050"/>
                    </a:xfrm>
                    <a:prstGeom prst="rect">
                      <a:avLst/>
                    </a:prstGeom>
                  </pic:spPr>
                </pic:pic>
              </a:graphicData>
            </a:graphic>
          </wp:inline>
        </w:drawing>
      </w:r>
    </w:p>
    <w:p>
      <w:pPr>
        <w:spacing w:after="300"/>
        <w:jc w:val="center"/>
      </w:pPr>
      <w:r>
        <w:rPr>
          <w:i/>
          <w:iCs/>
          <w:color w:val="555555"/>
          <w:sz w:val="20"/>
          <w:szCs w:val="20"/>
        </w:rPr>
        <w:t xml:space="preserve">Figure 5 — velcro mounting detail</w:t>
      </w:r>
    </w:p>
    <w:p>
      <w:pPr>
        <w:pStyle w:val="ListParagraph"/>
        <w:numPr>
          <w:ilvl w:val="0"/>
          <w:numId w:val="2"/>
        </w:numPr>
        <w:spacing w:after="80"/>
      </w:pPr>
      <w:r>
        <w:t xml:space="preserve">Hook side velcro to enclosure floor</w:t>
      </w:r>
    </w:p>
    <w:p>
      <w:pPr>
        <w:pStyle w:val="ListParagraph"/>
        <w:numPr>
          <w:ilvl w:val="0"/>
          <w:numId w:val="2"/>
        </w:numPr>
        <w:spacing w:after="80"/>
      </w:pPr>
      <w:r>
        <w:t xml:space="preserve">Loop side velcro to battery base</w:t>
      </w:r>
    </w:p>
    <w:p>
      <w:pPr>
        <w:pStyle w:val="ListParagraph"/>
        <w:numPr>
          <w:ilvl w:val="0"/>
          <w:numId w:val="2"/>
        </w:numPr>
        <w:spacing w:after="80"/>
      </w:pPr>
      <w:r>
        <w:t xml:space="preserve">Leave enough JST lead slack to lift battery without straining wire</w:t>
      </w:r>
    </w:p>
    <w:p>
      <w:r>
        <w:br w:type="page"/>
      </w:r>
    </w:p>
    <w:p>
      <w:pPr>
        <w:pStyle w:val="Heading1"/>
      </w:pPr>
      <w:r>
        <w:t xml:space="preserve">Step 5 — Remove battery for charging</w:t>
      </w:r>
    </w:p>
    <w:p>
      <w:pPr>
        <w:spacing w:after="160"/>
      </w:pPr>
      <w:r>
        <w:t xml:space="preserve">Each night: flip switch off, unplug JST, peel battery off velcro, charge via USB-C power bank overnight.</w:t>
      </w:r>
    </w:p>
    <w:p>
      <w:pPr>
        <w:spacing w:after="80" w:before="120"/>
        <w:jc w:val="center"/>
      </w:pPr>
      <w:r>
        <w:drawing>
          <wp:inline distT="0" distB="0" distL="0" distR="0">
            <wp:extent cx="4762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657475"/>
                    </a:xfrm>
                    <a:prstGeom prst="rect">
                      <a:avLst/>
                    </a:prstGeom>
                  </pic:spPr>
                </pic:pic>
              </a:graphicData>
            </a:graphic>
          </wp:inline>
        </w:drawing>
      </w:r>
    </w:p>
    <w:p>
      <w:pPr>
        <w:spacing w:after="300"/>
        <w:jc w:val="center"/>
      </w:pPr>
      <w:r>
        <w:rPr>
          <w:i/>
          <w:iCs/>
          <w:color w:val="555555"/>
          <w:sz w:val="20"/>
          <w:szCs w:val="20"/>
        </w:rPr>
        <w:t xml:space="preserve">Figure 6 — four steps to remove and charge</w:t>
      </w:r>
    </w:p>
    <w:p>
      <w:pPr>
        <w:pStyle w:val="Heading1"/>
      </w:pPr>
      <w:r>
        <w:t xml:space="preserve">Step 6 — Mount both arms to the wheel</w:t>
      </w:r>
    </w:p>
    <w:p>
      <w:pPr>
        <w:spacing w:after="160"/>
      </w:pPr>
      <w:r>
        <w:t xml:space="preserve">Mount the two arms on opposite spokes — exactly 180° apart. This is what gives you balanced weight and visibility from both sides.</w:t>
      </w:r>
    </w:p>
    <w:p>
      <w:pPr>
        <w:spacing w:after="80" w:before="120"/>
        <w:jc w:val="center"/>
      </w:pPr>
      <w:r>
        <w:drawing>
          <wp:inline distT="0" distB="0" distL="0" distR="0">
            <wp:extent cx="47625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4943475"/>
                    </a:xfrm>
                    <a:prstGeom prst="rect">
                      <a:avLst/>
                    </a:prstGeom>
                  </pic:spPr>
                </pic:pic>
              </a:graphicData>
            </a:graphic>
          </wp:inline>
        </w:drawing>
      </w:r>
    </w:p>
    <w:p>
      <w:pPr>
        <w:spacing w:after="300"/>
        <w:jc w:val="center"/>
      </w:pPr>
      <w:r>
        <w:rPr>
          <w:i/>
          <w:iCs/>
          <w:color w:val="555555"/>
          <w:sz w:val="20"/>
          <w:szCs w:val="20"/>
        </w:rPr>
        <w:t xml:space="preserve">Figure 7 — single arm mounting, repeat for opposite side</w:t>
      </w:r>
    </w:p>
    <w:p>
      <w:pPr>
        <w:pStyle w:val="ListParagraph"/>
        <w:numPr>
          <w:ilvl w:val="0"/>
          <w:numId w:val="2"/>
        </w:numPr>
        <w:spacing w:after="80"/>
      </w:pPr>
      <w:r>
        <w:t xml:space="preserve">Arm 1: zip-tie across two adjacent spokes on one side, LEDs facing outward</w:t>
      </w:r>
    </w:p>
    <w:p>
      <w:pPr>
        <w:pStyle w:val="ListParagraph"/>
        <w:numPr>
          <w:ilvl w:val="0"/>
          <w:numId w:val="2"/>
        </w:numPr>
        <w:spacing w:after="80"/>
      </w:pPr>
      <w:r>
        <w:t xml:space="preserve">Arm 2: zip-tie across two adjacent spokes directly opposite (180°), LEDs facing outward</w:t>
      </w:r>
    </w:p>
    <w:p>
      <w:pPr>
        <w:pStyle w:val="ListParagraph"/>
        <w:numPr>
          <w:ilvl w:val="0"/>
          <w:numId w:val="2"/>
        </w:numPr>
        <w:spacing w:after="80"/>
      </w:pPr>
      <w:r>
        <w:t xml:space="preserve">Both arms connect back to the hub enclosure via wires routed along the spokes</w:t>
      </w:r>
    </w:p>
    <w:p>
      <w:pPr>
        <w:pStyle w:val="ListParagraph"/>
        <w:numPr>
          <w:ilvl w:val="0"/>
          <w:numId w:val="2"/>
        </w:numPr>
        <w:spacing w:after="80"/>
      </w:pPr>
      <w:r>
        <w:t xml:space="preserve">Keep wiring tight to the spoke — loose wire at speed causes vibration and tangling</w:t>
      </w:r>
    </w:p>
    <w:p>
      <w:pPr>
        <w:spacing w:after="160"/>
        <w:ind w:left="360"/>
      </w:pPr>
      <w:r>
        <w:rPr>
          <w:color w:val="1a5276"/>
          <w:sz w:val="20"/>
          <w:szCs w:val="20"/>
        </w:rPr>
        <w:t xml:space="preserve">💡 With arms 180° apart the wheel is perfectly balanced. Any extra weight (longer wires, heavier connectors) should be added symmetrically to both arms.</w:t>
      </w:r>
    </w:p>
    <w:p>
      <w:r>
        <w:br w:type="page"/>
      </w:r>
    </w:p>
    <w:p>
      <w:pPr>
        <w:pStyle w:val="Heading1"/>
      </w:pPr>
      <w:r>
        <w:t xml:space="preserve">Step 7 — Align the hall sensor and magnet</w:t>
      </w:r>
    </w:p>
    <w:p>
      <w:pPr>
        <w:spacing w:after="160"/>
      </w:pPr>
      <w:r>
        <w:t xml:space="preserve">Same as single-arm. One magnet on the fork, one sensor on either arm — it only needs to trigger once per rotation regardless of how many arms you have.</w:t>
      </w:r>
    </w:p>
    <w:p>
      <w:pPr>
        <w:spacing w:after="80" w:before="120"/>
        <w:jc w:val="center"/>
      </w:pPr>
      <w:r>
        <w:drawing>
          <wp:inline distT="0" distB="0" distL="0" distR="0">
            <wp:extent cx="4762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3381375"/>
                    </a:xfrm>
                    <a:prstGeom prst="rect">
                      <a:avLst/>
                    </a:prstGeom>
                  </pic:spPr>
                </pic:pic>
              </a:graphicData>
            </a:graphic>
          </wp:inline>
        </w:drawing>
      </w:r>
    </w:p>
    <w:p>
      <w:pPr>
        <w:spacing w:after="300"/>
        <w:jc w:val="center"/>
      </w:pPr>
      <w:r>
        <w:rPr>
          <w:i/>
          <w:iCs/>
          <w:color w:val="555555"/>
          <w:sz w:val="20"/>
          <w:szCs w:val="20"/>
        </w:rPr>
        <w:t xml:space="preserve">Figure 8 — sensor and magnet alignment</w:t>
      </w:r>
    </w:p>
    <w:p>
      <w:pPr>
        <w:pStyle w:val="ListParagraph"/>
        <w:numPr>
          <w:ilvl w:val="0"/>
          <w:numId w:val="2"/>
        </w:numPr>
        <w:spacing w:after="80"/>
      </w:pPr>
      <w:r>
        <w:t xml:space="preserve">Mount sensor on ARM 1 near the hub</w:t>
      </w:r>
    </w:p>
    <w:p>
      <w:pPr>
        <w:pStyle w:val="ListParagraph"/>
        <w:numPr>
          <w:ilvl w:val="0"/>
          <w:numId w:val="2"/>
        </w:numPr>
        <w:spacing w:after="80"/>
      </w:pPr>
      <w:r>
        <w:t xml:space="preserve">Mount magnet on the fork at the same radius</w:t>
      </w:r>
    </w:p>
    <w:p>
      <w:pPr>
        <w:pStyle w:val="ListParagraph"/>
        <w:numPr>
          <w:ilvl w:val="0"/>
          <w:numId w:val="2"/>
        </w:numPr>
        <w:spacing w:after="80"/>
      </w:pPr>
      <w:r>
        <w:t xml:space="preserve">Spin by hand and confirm one trigger per full rotation</w:t>
      </w:r>
    </w:p>
    <w:p>
      <w:pPr>
        <w:pStyle w:val="Heading1"/>
      </w:pPr>
      <w:r>
        <w:t xml:space="preserve">Step 8 — First spin test</w:t>
      </w:r>
    </w:p>
    <w:p>
      <w:pPr>
        <w:spacing w:after="160"/>
      </w:pPr>
      <w:r>
        <w:t xml:space="preserve">With two arms the image appears twice per rotation instead of once, which looks significantly brighter and more defined. Start with the test pattern before loading real artwork.</w:t>
      </w:r>
    </w:p>
    <w:p>
      <w:pPr>
        <w:spacing w:after="80" w:before="120"/>
        <w:jc w:val="center"/>
      </w:pPr>
      <w:r>
        <w:drawing>
          <wp:inline distT="0" distB="0" distL="0" distR="0">
            <wp:extent cx="47625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5143500"/>
                    </a:xfrm>
                    <a:prstGeom prst="rect">
                      <a:avLst/>
                    </a:prstGeom>
                  </pic:spPr>
                </pic:pic>
              </a:graphicData>
            </a:graphic>
          </wp:inline>
        </w:drawing>
      </w:r>
    </w:p>
    <w:p>
      <w:pPr>
        <w:spacing w:after="300"/>
        <w:jc w:val="center"/>
      </w:pPr>
      <w:r>
        <w:rPr>
          <w:i/>
          <w:iCs/>
          <w:color w:val="555555"/>
          <w:sz w:val="20"/>
          <w:szCs w:val="20"/>
        </w:rPr>
        <w:t xml:space="preserve">Figure 9 — goal: bright stable image visible from both sides</w:t>
      </w:r>
    </w:p>
    <w:p>
      <w:pPr>
        <w:pStyle w:val="ListParagraph"/>
        <w:numPr>
          <w:ilvl w:val="0"/>
          <w:numId w:val="2"/>
        </w:numPr>
        <w:spacing w:after="80"/>
      </w:pPr>
      <w:r>
        <w:t xml:space="preserve">Test pattern first: alternating red/blue columns confirms timing</w:t>
      </w:r>
    </w:p>
    <w:p>
      <w:pPr>
        <w:pStyle w:val="ListParagraph"/>
        <w:numPr>
          <w:ilvl w:val="0"/>
          <w:numId w:val="2"/>
        </w:numPr>
        <w:spacing w:after="80"/>
      </w:pPr>
      <w:r>
        <w:t xml:space="preserve">If one arm looks offset from the other, the hall sensor position needs a small adjustment</w:t>
      </w:r>
    </w:p>
    <w:p>
      <w:pPr>
        <w:pStyle w:val="ListParagraph"/>
        <w:numPr>
          <w:ilvl w:val="0"/>
          <w:numId w:val="2"/>
        </w:numPr>
        <w:spacing w:after="80"/>
      </w:pPr>
      <w:r>
        <w:t xml:space="preserve">Stationary spin test before any road test — wheel off the ground</w:t>
      </w:r>
    </w:p>
    <w:p>
      <w:pPr>
        <w:pStyle w:val="Heading1"/>
      </w:pPr>
      <w:r>
        <w:t xml:space="preserve">Next steps</w:t>
      </w:r>
    </w:p>
    <w:p>
      <w:pPr>
        <w:spacing w:after="160"/>
      </w:pPr>
      <w:r>
        <w:t xml:space="preserve">Once wheel #1 is fully tested with both arms working, apply MG Chemicals 419D conformal coat as the final weatherproofing step. Then repeat the full build for wheel #2 — rear wheel. You'll have a proven design and the process will be much faster second time around.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Arial" w:cs="Arial" w:eastAsia="Arial" w:hAnsi="Arial"/>
      <w:b/>
      <w:bCs/>
      <w:sz w:val="34"/>
      <w:szCs w:val="34"/>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a4ad2d1b00eae36bfeecbdc23ca1f69e551fc0f.png"/><Relationship Id="rId8" Type="http://schemas.openxmlformats.org/officeDocument/2006/relationships/image" Target="media/a488f7fe65e86e6923df741e6e83275ddd7962a5.png"/><Relationship Id="rId9" Type="http://schemas.openxmlformats.org/officeDocument/2006/relationships/image" Target="media/ff7836163e59ce5ca52a3f92031a0a3fe96e5eb1.png"/><Relationship Id="rId10" Type="http://schemas.openxmlformats.org/officeDocument/2006/relationships/image" Target="media/837795fb4034d5d56ce6e20752e5ef79923fe843.png"/><Relationship Id="rId11" Type="http://schemas.openxmlformats.org/officeDocument/2006/relationships/image" Target="media/a8648380e6516205dd2f04ff94f35a87dc1264cd.png"/><Relationship Id="rId12" Type="http://schemas.openxmlformats.org/officeDocument/2006/relationships/image" Target="media/ca695a8726b4c0120983de2285c8d55e72e1dbf7.png"/><Relationship Id="rId13" Type="http://schemas.openxmlformats.org/officeDocument/2006/relationships/image" Target="media/287cd035d42dd2fe93d96992facc44fb815e2008.png"/><Relationship Id="rId14" Type="http://schemas.openxmlformats.org/officeDocument/2006/relationships/image" Target="media/3bb52e1f48c5063020faa1e92242bb2ba7218372.png"/><Relationship Id="rId15" Type="http://schemas.openxmlformats.org/officeDocument/2006/relationships/image" Target="media/9e717407f15453cd2d196acb955d0ad38d7d6af2.png"/><Relationship Id="rId16" Type="http://schemas.openxmlformats.org/officeDocument/2006/relationships/image" Target="media/bef473d97e63be01a30ff3a5e0f38907240255b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2026-07-01T07:26:50.389Z</dcterms:created>
  <dcterms:modified xsi:type="dcterms:W3CDTF">2026-07-01T07:26:50.399Z</dcterms:modified>
</cp:coreProperties>
</file>

<file path=docProps/custom.xml><?xml version="1.0" encoding="utf-8"?>
<Properties xmlns="http://schemas.openxmlformats.org/officeDocument/2006/custom-properties" xmlns:vt="http://schemas.openxmlformats.org/officeDocument/2006/docPropsVTypes"/>
</file>