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96370" w14:textId="77777777" w:rsidR="006A262A" w:rsidRDefault="006A262A" w:rsidP="006A262A"/>
    <w:p w14:paraId="3F48A358" w14:textId="77777777" w:rsidR="006A262A" w:rsidRDefault="006A262A" w:rsidP="006A262A"/>
    <w:p w14:paraId="60AF30C5" w14:textId="77777777" w:rsidR="006A262A" w:rsidRDefault="006A262A" w:rsidP="006A262A"/>
    <w:p w14:paraId="3BEEF28C" w14:textId="77777777" w:rsidR="006A262A" w:rsidRDefault="006A262A" w:rsidP="006A262A">
      <w:pPr>
        <w:pStyle w:val="Heading1"/>
        <w:jc w:val="center"/>
      </w:pPr>
      <w:r w:rsidRPr="00971C1D">
        <w:t>Data Analytics Case Study 2</w:t>
      </w:r>
    </w:p>
    <w:p w14:paraId="58DBBDCC" w14:textId="77777777" w:rsidR="006A262A" w:rsidRPr="00971C1D" w:rsidRDefault="006A262A" w:rsidP="006A262A"/>
    <w:p w14:paraId="010D2C41" w14:textId="3F6BF41E" w:rsidR="006A262A" w:rsidRDefault="006A262A" w:rsidP="006A262A">
      <w:pPr>
        <w:pStyle w:val="Heading2"/>
        <w:jc w:val="center"/>
      </w:pPr>
      <w:r w:rsidRPr="00971C1D">
        <w:t xml:space="preserve">Part </w:t>
      </w:r>
      <w:r>
        <w:t>3</w:t>
      </w:r>
      <w:r w:rsidRPr="00971C1D">
        <w:t xml:space="preserve">: </w:t>
      </w:r>
      <w:r w:rsidRPr="006A262A">
        <w:t>Dashboard Creation and Preliminary Reporting</w:t>
      </w:r>
    </w:p>
    <w:p w14:paraId="716777BA" w14:textId="77777777" w:rsidR="006A262A" w:rsidRPr="00971C1D" w:rsidRDefault="006A262A" w:rsidP="006A262A"/>
    <w:p w14:paraId="29690AAA" w14:textId="77777777" w:rsidR="006A262A" w:rsidRDefault="006A262A" w:rsidP="006A262A">
      <w:pPr>
        <w:pStyle w:val="Heading3"/>
        <w:jc w:val="center"/>
      </w:pPr>
      <w:r w:rsidRPr="00971C1D">
        <w:t>Prepared By: Group 3</w:t>
      </w:r>
    </w:p>
    <w:p w14:paraId="650F0AEC" w14:textId="10ADA3CA" w:rsidR="006A262A" w:rsidRDefault="006A262A" w:rsidP="006A262A">
      <w:pPr>
        <w:jc w:val="center"/>
      </w:pPr>
      <w:r w:rsidRPr="00971C1D">
        <w:t>Patel Harsh (NF1002720)</w:t>
      </w:r>
    </w:p>
    <w:p w14:paraId="3DCAF6F2" w14:textId="0E5B711C" w:rsidR="006A262A" w:rsidRDefault="006A262A" w:rsidP="006A262A">
      <w:pPr>
        <w:jc w:val="center"/>
      </w:pPr>
      <w:r w:rsidRPr="00971C1D">
        <w:t>Patel Gaurav (NF1005669)</w:t>
      </w:r>
    </w:p>
    <w:p w14:paraId="2C9BC909" w14:textId="77777777" w:rsidR="006A262A" w:rsidRDefault="006A262A" w:rsidP="006A262A">
      <w:pPr>
        <w:jc w:val="center"/>
      </w:pPr>
      <w:r w:rsidRPr="00971C1D">
        <w:t>Patel Jimil (NF1004650)</w:t>
      </w:r>
    </w:p>
    <w:p w14:paraId="6F7C333C" w14:textId="77777777" w:rsidR="006A262A" w:rsidRDefault="006A262A" w:rsidP="006A262A">
      <w:pPr>
        <w:jc w:val="center"/>
      </w:pPr>
      <w:r w:rsidRPr="00971C1D">
        <w:t>Patel Rudra (NF1004756)</w:t>
      </w:r>
    </w:p>
    <w:p w14:paraId="0AC68441" w14:textId="77777777" w:rsidR="006A262A" w:rsidRDefault="006A262A" w:rsidP="006A262A">
      <w:pPr>
        <w:jc w:val="center"/>
      </w:pPr>
    </w:p>
    <w:p w14:paraId="7CCC6409" w14:textId="77777777" w:rsidR="006A262A" w:rsidRDefault="006A262A" w:rsidP="006A262A">
      <w:pPr>
        <w:pStyle w:val="Heading3"/>
        <w:jc w:val="center"/>
      </w:pPr>
      <w:r w:rsidRPr="00971C1D">
        <w:t>Course</w:t>
      </w:r>
    </w:p>
    <w:p w14:paraId="4826B6D6" w14:textId="77777777" w:rsidR="006A262A" w:rsidRDefault="006A262A" w:rsidP="006A262A">
      <w:pPr>
        <w:jc w:val="center"/>
      </w:pPr>
      <w:r w:rsidRPr="00971C1D">
        <w:t>Data Analytics Case Study 2</w:t>
      </w:r>
    </w:p>
    <w:p w14:paraId="10411C77" w14:textId="77777777" w:rsidR="006A262A" w:rsidRDefault="006A262A" w:rsidP="006A262A">
      <w:pPr>
        <w:jc w:val="center"/>
      </w:pPr>
    </w:p>
    <w:p w14:paraId="2CEDCA36" w14:textId="77777777" w:rsidR="006A262A" w:rsidRDefault="006A262A" w:rsidP="006A262A">
      <w:pPr>
        <w:pStyle w:val="Heading3"/>
        <w:jc w:val="center"/>
      </w:pPr>
      <w:r w:rsidRPr="00971C1D">
        <w:t>Term</w:t>
      </w:r>
    </w:p>
    <w:p w14:paraId="3973504F" w14:textId="77777777" w:rsidR="006A262A" w:rsidRDefault="006A262A" w:rsidP="006A262A">
      <w:pPr>
        <w:jc w:val="center"/>
      </w:pPr>
      <w:r w:rsidRPr="00971C1D">
        <w:t>Term II (Winter 2025)</w:t>
      </w:r>
    </w:p>
    <w:p w14:paraId="17DCC69C" w14:textId="77777777" w:rsidR="006A262A" w:rsidRDefault="006A262A" w:rsidP="006A262A">
      <w:pPr>
        <w:jc w:val="center"/>
      </w:pPr>
    </w:p>
    <w:p w14:paraId="0BBC1555" w14:textId="77777777" w:rsidR="006A262A" w:rsidRDefault="006A262A" w:rsidP="006A262A">
      <w:pPr>
        <w:pStyle w:val="Heading3"/>
        <w:jc w:val="center"/>
      </w:pPr>
      <w:r w:rsidRPr="00971C1D">
        <w:t>Degree Program</w:t>
      </w:r>
    </w:p>
    <w:p w14:paraId="498B1C5E" w14:textId="77777777" w:rsidR="006A262A" w:rsidRDefault="006A262A" w:rsidP="006A262A">
      <w:pPr>
        <w:jc w:val="center"/>
      </w:pPr>
      <w:r w:rsidRPr="00971C1D">
        <w:t>Master of Data Analytics</w:t>
      </w:r>
    </w:p>
    <w:p w14:paraId="61C30988" w14:textId="77777777" w:rsidR="00B42BA3" w:rsidRDefault="00B42BA3" w:rsidP="006A262A">
      <w:pPr>
        <w:jc w:val="center"/>
      </w:pPr>
    </w:p>
    <w:p w14:paraId="4C292A40" w14:textId="77777777" w:rsidR="006A262A" w:rsidRDefault="006A262A" w:rsidP="006A262A">
      <w:pPr>
        <w:pStyle w:val="Heading3"/>
        <w:jc w:val="center"/>
      </w:pPr>
      <w:r w:rsidRPr="00971C1D">
        <w:t>Course Facilitator</w:t>
      </w:r>
    </w:p>
    <w:p w14:paraId="6246B82F" w14:textId="77777777" w:rsidR="006A262A" w:rsidRDefault="006A262A" w:rsidP="006A262A">
      <w:pPr>
        <w:jc w:val="center"/>
        <w:rPr>
          <w:lang w:val="en-US"/>
        </w:rPr>
      </w:pPr>
      <w:r w:rsidRPr="00971C1D">
        <w:t>Prof. Hany Osman</w:t>
      </w:r>
    </w:p>
    <w:p w14:paraId="2781B55B" w14:textId="2EDFB023" w:rsidR="0015350E" w:rsidRDefault="0015350E" w:rsidP="0015350E">
      <w:pPr>
        <w:rPr>
          <w:b/>
          <w:bCs/>
        </w:rPr>
      </w:pPr>
    </w:p>
    <w:p w14:paraId="532A70FC" w14:textId="77777777" w:rsidR="006A262A" w:rsidRDefault="006A262A" w:rsidP="0015350E">
      <w:pPr>
        <w:rPr>
          <w:b/>
          <w:bCs/>
        </w:rPr>
      </w:pPr>
    </w:p>
    <w:p w14:paraId="3055E612" w14:textId="77777777" w:rsidR="006A262A" w:rsidRDefault="006A262A" w:rsidP="0015350E">
      <w:pPr>
        <w:rPr>
          <w:b/>
          <w:bCs/>
        </w:rPr>
      </w:pPr>
    </w:p>
    <w:p w14:paraId="33E8EE05" w14:textId="77777777" w:rsidR="006A262A" w:rsidRPr="0015350E" w:rsidRDefault="006A262A" w:rsidP="0015350E">
      <w:pPr>
        <w:rPr>
          <w:b/>
          <w:bCs/>
        </w:rPr>
      </w:pPr>
    </w:p>
    <w:p w14:paraId="361734D5" w14:textId="77777777" w:rsidR="0015350E" w:rsidRPr="0015350E" w:rsidRDefault="0015350E" w:rsidP="006A262A">
      <w:pPr>
        <w:pStyle w:val="Heading1"/>
      </w:pPr>
      <w:r w:rsidRPr="0015350E">
        <w:lastRenderedPageBreak/>
        <w:t>1. Introduction</w:t>
      </w:r>
    </w:p>
    <w:p w14:paraId="3352A1E0" w14:textId="1DF313D9" w:rsidR="0015350E" w:rsidRDefault="00B916D8" w:rsidP="002A5128">
      <w:pPr>
        <w:pBdr>
          <w:bottom w:val="single" w:sz="6" w:space="1" w:color="auto"/>
        </w:pBdr>
        <w:jc w:val="both"/>
      </w:pPr>
      <w:r>
        <w:t>This report provides an analysis of global logistics dataset (with 16K orders and $3.12M sales</w:t>
      </w:r>
      <w:r w:rsidR="009E5821">
        <w:t>, orders between 2015-2018</w:t>
      </w:r>
      <w:r>
        <w:t>)</w:t>
      </w:r>
      <w:r w:rsidRPr="00B916D8">
        <w:rPr>
          <w:rFonts w:ascii="Segoe UI" w:hAnsi="Segoe UI" w:cs="Segoe UI"/>
          <w:color w:val="404040"/>
        </w:rPr>
        <w:t xml:space="preserve"> </w:t>
      </w:r>
      <w:r w:rsidRPr="00B916D8">
        <w:t xml:space="preserve">to identify operational inefficiencies and market opportunities. </w:t>
      </w:r>
      <w:r>
        <w:t xml:space="preserve">With the help </w:t>
      </w:r>
      <w:r w:rsidR="00670EF8">
        <w:t xml:space="preserve">of </w:t>
      </w:r>
      <w:r w:rsidR="00670EF8" w:rsidRPr="00B916D8">
        <w:t>Power</w:t>
      </w:r>
      <w:r w:rsidRPr="00B916D8">
        <w:t xml:space="preserve"> BI, we</w:t>
      </w:r>
      <w:r>
        <w:t xml:space="preserve"> have</w:t>
      </w:r>
      <w:r w:rsidRPr="00B916D8">
        <w:t xml:space="preserve"> evaluate</w:t>
      </w:r>
      <w:r>
        <w:t>d</w:t>
      </w:r>
      <w:r w:rsidRPr="00B916D8">
        <w:t xml:space="preserve"> delivery timeliness (</w:t>
      </w:r>
      <w:r w:rsidRPr="00B61817">
        <w:rPr>
          <w:b/>
          <w:bCs/>
        </w:rPr>
        <w:t>57.73% delayed orders</w:t>
      </w:r>
      <w:r w:rsidRPr="00B916D8">
        <w:t xml:space="preserve">), </w:t>
      </w:r>
      <w:r w:rsidRPr="00B61817">
        <w:rPr>
          <w:b/>
          <w:bCs/>
        </w:rPr>
        <w:t>regulatory fines (peaking in the U.S. and Mexico)</w:t>
      </w:r>
      <w:r w:rsidRPr="00B916D8">
        <w:t xml:space="preserve">, and </w:t>
      </w:r>
      <w:r>
        <w:t xml:space="preserve">the </w:t>
      </w:r>
      <w:r w:rsidRPr="00B916D8">
        <w:t xml:space="preserve">regional profitability (Europe: $179.89/customer). </w:t>
      </w:r>
      <w:r>
        <w:t>Using</w:t>
      </w:r>
      <w:r w:rsidRPr="00B916D8">
        <w:t xml:space="preserve"> PESTEL framework </w:t>
      </w:r>
      <w:r>
        <w:t>we</w:t>
      </w:r>
      <w:r w:rsidRPr="00B916D8">
        <w:t xml:space="preserve"> targeted strategies, such as AI-driven route optimization and compliance teams in high-risk regions.</w:t>
      </w:r>
    </w:p>
    <w:p w14:paraId="17B9865A" w14:textId="77777777" w:rsidR="006A262A" w:rsidRPr="002A5128" w:rsidRDefault="006A262A" w:rsidP="002A5128">
      <w:pPr>
        <w:pBdr>
          <w:bottom w:val="single" w:sz="6" w:space="1" w:color="auto"/>
        </w:pBdr>
        <w:jc w:val="both"/>
      </w:pPr>
    </w:p>
    <w:p w14:paraId="345D433F" w14:textId="61DAD98F" w:rsidR="006A262A" w:rsidRDefault="006A262A" w:rsidP="0015350E">
      <w:pPr>
        <w:rPr>
          <w:b/>
          <w:bCs/>
        </w:rPr>
      </w:pPr>
    </w:p>
    <w:p w14:paraId="501D7699" w14:textId="455EDAE4" w:rsidR="009811E0" w:rsidRPr="009811E0" w:rsidRDefault="009811E0" w:rsidP="009811E0">
      <w:pPr>
        <w:pStyle w:val="Heading1"/>
      </w:pPr>
      <w:r>
        <w:t>2</w:t>
      </w:r>
      <w:r w:rsidRPr="0015350E">
        <w:t xml:space="preserve">. </w:t>
      </w:r>
      <w:r>
        <w:t>Dashboard Components</w:t>
      </w:r>
    </w:p>
    <w:p w14:paraId="4A7D388F" w14:textId="5A9216B9" w:rsidR="0015350E" w:rsidRPr="0015350E" w:rsidRDefault="009811E0" w:rsidP="009811E0">
      <w:pPr>
        <w:pStyle w:val="Heading2"/>
      </w:pPr>
      <w:r>
        <w:t>A. Overview</w:t>
      </w:r>
    </w:p>
    <w:p w14:paraId="40EF95D3" w14:textId="77777777" w:rsidR="0015350E" w:rsidRPr="002A5128" w:rsidRDefault="0015350E" w:rsidP="0015350E">
      <w:pPr>
        <w:numPr>
          <w:ilvl w:val="0"/>
          <w:numId w:val="4"/>
        </w:numPr>
      </w:pPr>
      <w:r w:rsidRPr="002A5128">
        <w:t>Total Orders: 16K</w:t>
      </w:r>
    </w:p>
    <w:p w14:paraId="42538B41" w14:textId="77777777" w:rsidR="0015350E" w:rsidRPr="002A5128" w:rsidRDefault="0015350E" w:rsidP="0015350E">
      <w:pPr>
        <w:numPr>
          <w:ilvl w:val="0"/>
          <w:numId w:val="4"/>
        </w:numPr>
      </w:pPr>
      <w:r w:rsidRPr="002A5128">
        <w:t>Total Sales: $3.12M</w:t>
      </w:r>
    </w:p>
    <w:p w14:paraId="1A122105" w14:textId="77777777" w:rsidR="0015350E" w:rsidRPr="002A5128" w:rsidRDefault="0015350E" w:rsidP="0015350E">
      <w:pPr>
        <w:numPr>
          <w:ilvl w:val="0"/>
          <w:numId w:val="4"/>
        </w:numPr>
      </w:pPr>
      <w:r w:rsidRPr="002A5128">
        <w:t>Average Profit per Order: $22.60</w:t>
      </w:r>
    </w:p>
    <w:p w14:paraId="44897F94" w14:textId="77777777" w:rsidR="0015350E" w:rsidRPr="002A5128" w:rsidRDefault="0015350E" w:rsidP="0015350E">
      <w:pPr>
        <w:numPr>
          <w:ilvl w:val="0"/>
          <w:numId w:val="4"/>
        </w:numPr>
      </w:pPr>
      <w:r w:rsidRPr="002A5128">
        <w:t>Average Sales per Customer: $179.89</w:t>
      </w:r>
    </w:p>
    <w:p w14:paraId="3CB67875" w14:textId="03AB01B4" w:rsidR="0015350E" w:rsidRPr="002A5128" w:rsidRDefault="0015350E" w:rsidP="00670EF8">
      <w:pPr>
        <w:pStyle w:val="Heading3"/>
      </w:pPr>
      <w:r w:rsidRPr="002A5128">
        <w:t>Visual 1: Total Orders by Month</w:t>
      </w:r>
    </w:p>
    <w:p w14:paraId="08FB5BB6" w14:textId="77777777" w:rsidR="002A5128" w:rsidRDefault="0015350E" w:rsidP="002A5128">
      <w:pPr>
        <w:keepNext/>
        <w:jc w:val="center"/>
      </w:pPr>
      <w:r w:rsidRPr="0015350E">
        <w:rPr>
          <w:b/>
          <w:bCs/>
          <w:noProof/>
        </w:rPr>
        <w:drawing>
          <wp:inline distT="0" distB="0" distL="0" distR="0" wp14:anchorId="28A6F2CF" wp14:editId="32FF3B80">
            <wp:extent cx="4543118" cy="2500630"/>
            <wp:effectExtent l="133350" t="114300" r="124460" b="166370"/>
            <wp:docPr id="1465574201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4201" name="Picture 1" descr="A graph of blue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042" cy="25193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571DAA" w14:textId="34F9F1D9" w:rsidR="0015350E" w:rsidRDefault="002A5128" w:rsidP="006A262A">
      <w:pPr>
        <w:pStyle w:val="Caption"/>
        <w:jc w:val="center"/>
      </w:pPr>
      <w:r w:rsidRPr="002A5128">
        <w:rPr>
          <w:b/>
          <w:bCs/>
        </w:rPr>
        <w:t xml:space="preserve">Figure </w:t>
      </w:r>
      <w:r w:rsidRPr="002A5128">
        <w:rPr>
          <w:b/>
          <w:bCs/>
        </w:rPr>
        <w:fldChar w:fldCharType="begin"/>
      </w:r>
      <w:r w:rsidRPr="002A5128">
        <w:rPr>
          <w:b/>
          <w:bCs/>
        </w:rPr>
        <w:instrText xml:space="preserve"> SEQ Figure \* ARABIC </w:instrText>
      </w:r>
      <w:r w:rsidRPr="002A5128">
        <w:rPr>
          <w:b/>
          <w:bCs/>
        </w:rPr>
        <w:fldChar w:fldCharType="separate"/>
      </w:r>
      <w:r w:rsidR="009E5821">
        <w:rPr>
          <w:b/>
          <w:bCs/>
          <w:noProof/>
        </w:rPr>
        <w:t>1</w:t>
      </w:r>
      <w:r w:rsidRPr="002A5128">
        <w:rPr>
          <w:b/>
          <w:bCs/>
        </w:rPr>
        <w:fldChar w:fldCharType="end"/>
      </w:r>
      <w:r w:rsidRPr="002A5128">
        <w:rPr>
          <w:b/>
          <w:bCs/>
        </w:rPr>
        <w:t>:</w:t>
      </w:r>
      <w:r w:rsidRPr="002D3CBB">
        <w:t xml:space="preserve"> A bar chart of monthly orders can help visualize these fluctuations clearly.</w:t>
      </w:r>
    </w:p>
    <w:p w14:paraId="3AAD8C01" w14:textId="25BAFDDF" w:rsidR="00670EF8" w:rsidRPr="00670EF8" w:rsidRDefault="00670EF8" w:rsidP="00B42BA3">
      <w:pPr>
        <w:jc w:val="both"/>
      </w:pPr>
      <w:r>
        <w:t>Here, we can see there is seasonality trend, where July’s 22% surge in sales is due to summer demand and the December decline points signifies holiday shutdowns.</w:t>
      </w:r>
    </w:p>
    <w:p w14:paraId="2E69D1B9" w14:textId="2C9F7C3A" w:rsidR="0015350E" w:rsidRPr="009811E0" w:rsidRDefault="0015350E" w:rsidP="009811E0">
      <w:pPr>
        <w:pStyle w:val="Heading3"/>
      </w:pPr>
      <w:r w:rsidRPr="009811E0">
        <w:lastRenderedPageBreak/>
        <w:t>Visual 2: Global Order Distribution</w:t>
      </w:r>
    </w:p>
    <w:p w14:paraId="5FC2C834" w14:textId="3B166D2C" w:rsidR="0015350E" w:rsidRPr="002A5128" w:rsidRDefault="0015350E" w:rsidP="002A5128">
      <w:pPr>
        <w:jc w:val="both"/>
      </w:pPr>
      <w:r w:rsidRPr="002A5128">
        <w:t>Orders are widespread, with dense activity in Europe, North America, and parts of Asia.</w:t>
      </w:r>
    </w:p>
    <w:p w14:paraId="7E4E1797" w14:textId="77777777" w:rsidR="002A5128" w:rsidRDefault="0015350E" w:rsidP="002A5128">
      <w:pPr>
        <w:keepNext/>
        <w:jc w:val="center"/>
      </w:pPr>
      <w:r w:rsidRPr="0015350E">
        <w:rPr>
          <w:b/>
          <w:bCs/>
          <w:noProof/>
        </w:rPr>
        <w:drawing>
          <wp:inline distT="0" distB="0" distL="0" distR="0" wp14:anchorId="1D05FE80" wp14:editId="0865AE72">
            <wp:extent cx="4921519" cy="3747579"/>
            <wp:effectExtent l="133350" t="114300" r="127000" b="158115"/>
            <wp:docPr id="599603962" name="Picture 1" descr="A map of the worl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03962" name="Picture 1" descr="A map of the worl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200" cy="37503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85D9DF" w14:textId="3870B4D1" w:rsidR="0015350E" w:rsidRPr="0015350E" w:rsidRDefault="002A5128" w:rsidP="002A5128">
      <w:pPr>
        <w:pStyle w:val="Caption"/>
        <w:jc w:val="center"/>
        <w:rPr>
          <w:b/>
          <w:bCs/>
        </w:rPr>
      </w:pPr>
      <w:r w:rsidRPr="002A5128">
        <w:rPr>
          <w:b/>
          <w:bCs/>
        </w:rPr>
        <w:t xml:space="preserve">Figure </w:t>
      </w:r>
      <w:r w:rsidRPr="002A5128">
        <w:rPr>
          <w:b/>
          <w:bCs/>
        </w:rPr>
        <w:fldChar w:fldCharType="begin"/>
      </w:r>
      <w:r w:rsidRPr="002A5128">
        <w:rPr>
          <w:b/>
          <w:bCs/>
        </w:rPr>
        <w:instrText xml:space="preserve"> SEQ Figure \* ARABIC </w:instrText>
      </w:r>
      <w:r w:rsidRPr="002A5128">
        <w:rPr>
          <w:b/>
          <w:bCs/>
        </w:rPr>
        <w:fldChar w:fldCharType="separate"/>
      </w:r>
      <w:r w:rsidR="009E5821">
        <w:rPr>
          <w:b/>
          <w:bCs/>
          <w:noProof/>
        </w:rPr>
        <w:t>2</w:t>
      </w:r>
      <w:r w:rsidRPr="002A5128">
        <w:rPr>
          <w:b/>
          <w:bCs/>
        </w:rPr>
        <w:fldChar w:fldCharType="end"/>
      </w:r>
      <w:r w:rsidRPr="002A5128">
        <w:rPr>
          <w:b/>
          <w:bCs/>
        </w:rPr>
        <w:t>:</w:t>
      </w:r>
      <w:r>
        <w:t xml:space="preserve"> </w:t>
      </w:r>
      <w:r w:rsidRPr="00354FA3">
        <w:t>A map view displays geographical order distribution effectively.</w:t>
      </w:r>
    </w:p>
    <w:p w14:paraId="44BD48F0" w14:textId="77777777" w:rsidR="002A5128" w:rsidRDefault="002A5128" w:rsidP="0015350E">
      <w:pPr>
        <w:rPr>
          <w:b/>
          <w:bCs/>
        </w:rPr>
      </w:pPr>
    </w:p>
    <w:p w14:paraId="4E874F5A" w14:textId="3D997F81" w:rsidR="0015350E" w:rsidRPr="0015350E" w:rsidRDefault="0015350E" w:rsidP="009811E0">
      <w:pPr>
        <w:pStyle w:val="Heading3"/>
      </w:pPr>
      <w:r w:rsidRPr="0015350E">
        <w:t>Visual 3: Delivery Timeliness</w:t>
      </w:r>
    </w:p>
    <w:p w14:paraId="37FC0F14" w14:textId="77777777" w:rsidR="0015350E" w:rsidRPr="002A5128" w:rsidRDefault="0015350E" w:rsidP="0015350E">
      <w:pPr>
        <w:numPr>
          <w:ilvl w:val="0"/>
          <w:numId w:val="5"/>
        </w:numPr>
      </w:pPr>
      <w:r w:rsidRPr="002A5128">
        <w:t>Early Arrival Orders: 22.80%</w:t>
      </w:r>
    </w:p>
    <w:p w14:paraId="5BDB54DF" w14:textId="77777777" w:rsidR="0015350E" w:rsidRPr="002A5128" w:rsidRDefault="0015350E" w:rsidP="0015350E">
      <w:pPr>
        <w:numPr>
          <w:ilvl w:val="0"/>
          <w:numId w:val="5"/>
        </w:numPr>
      </w:pPr>
      <w:r w:rsidRPr="002A5128">
        <w:t>On-Time Delivery: 19.47%</w:t>
      </w:r>
    </w:p>
    <w:p w14:paraId="6D6527DF" w14:textId="073FFC06" w:rsidR="0015350E" w:rsidRPr="002A5128" w:rsidRDefault="0015350E" w:rsidP="002A5128">
      <w:pPr>
        <w:numPr>
          <w:ilvl w:val="0"/>
          <w:numId w:val="5"/>
        </w:numPr>
      </w:pPr>
      <w:r w:rsidRPr="002A5128">
        <w:t>Delayed Orders: 57.73%</w:t>
      </w:r>
      <w:r w:rsidRPr="002A5128">
        <w:br/>
        <w:t>Delayed deliveries are a major operational concern.</w:t>
      </w:r>
    </w:p>
    <w:p w14:paraId="6A14CE82" w14:textId="77777777" w:rsidR="002A5128" w:rsidRDefault="00C454F2" w:rsidP="002A5128">
      <w:pPr>
        <w:keepNext/>
        <w:jc w:val="center"/>
      </w:pPr>
      <w:r w:rsidRPr="00C454F2">
        <w:rPr>
          <w:b/>
          <w:bCs/>
          <w:noProof/>
        </w:rPr>
        <w:drawing>
          <wp:inline distT="0" distB="0" distL="0" distR="0" wp14:anchorId="1CFC3FF4" wp14:editId="6D4E84DD">
            <wp:extent cx="5728238" cy="663399"/>
            <wp:effectExtent l="114300" t="114300" r="101600" b="137160"/>
            <wp:docPr id="45949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90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238" cy="6633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0B675B" w14:textId="319CF4F0" w:rsidR="0015350E" w:rsidRDefault="002A5128" w:rsidP="002A5128">
      <w:pPr>
        <w:pStyle w:val="Caption"/>
        <w:jc w:val="center"/>
        <w:rPr>
          <w:b/>
          <w:bCs/>
        </w:rPr>
      </w:pPr>
      <w:r w:rsidRPr="002A5128">
        <w:rPr>
          <w:b/>
          <w:bCs/>
        </w:rPr>
        <w:t xml:space="preserve">Figure </w:t>
      </w:r>
      <w:r w:rsidRPr="002A5128">
        <w:rPr>
          <w:b/>
          <w:bCs/>
        </w:rPr>
        <w:fldChar w:fldCharType="begin"/>
      </w:r>
      <w:r w:rsidRPr="002A5128">
        <w:rPr>
          <w:b/>
          <w:bCs/>
        </w:rPr>
        <w:instrText xml:space="preserve"> SEQ Figure \* ARABIC </w:instrText>
      </w:r>
      <w:r w:rsidRPr="002A5128">
        <w:rPr>
          <w:b/>
          <w:bCs/>
        </w:rPr>
        <w:fldChar w:fldCharType="separate"/>
      </w:r>
      <w:r w:rsidR="009E5821">
        <w:rPr>
          <w:b/>
          <w:bCs/>
          <w:noProof/>
        </w:rPr>
        <w:t>3</w:t>
      </w:r>
      <w:r w:rsidRPr="002A5128">
        <w:rPr>
          <w:b/>
          <w:bCs/>
        </w:rPr>
        <w:fldChar w:fldCharType="end"/>
      </w:r>
      <w:r w:rsidRPr="002A5128">
        <w:rPr>
          <w:b/>
          <w:bCs/>
        </w:rPr>
        <w:t>:</w:t>
      </w:r>
      <w:r w:rsidRPr="00E74022">
        <w:t xml:space="preserve"> A delivery performance chart illustrates the critical imbalance in timeliness.</w:t>
      </w:r>
    </w:p>
    <w:p w14:paraId="552BA68E" w14:textId="708425C9" w:rsidR="00F6559F" w:rsidRPr="009811E0" w:rsidRDefault="009811E0" w:rsidP="009811E0">
      <w:pPr>
        <w:pStyle w:val="Heading2"/>
      </w:pPr>
      <w:r w:rsidRPr="009811E0">
        <w:lastRenderedPageBreak/>
        <w:t>B</w:t>
      </w:r>
      <w:r w:rsidR="0015350E" w:rsidRPr="009811E0">
        <w:t>. Political Factors</w:t>
      </w:r>
    </w:p>
    <w:p w14:paraId="0AF83356" w14:textId="77777777" w:rsidR="00F6559F" w:rsidRPr="0015350E" w:rsidRDefault="00F6559F" w:rsidP="009811E0">
      <w:pPr>
        <w:pStyle w:val="Heading3"/>
      </w:pPr>
      <w:r w:rsidRPr="0015350E">
        <w:t>Visual 4: Regulatory Fines by Country</w:t>
      </w:r>
    </w:p>
    <w:p w14:paraId="7A257B4D" w14:textId="5377AAF9" w:rsidR="00F6559F" w:rsidRPr="009811E0" w:rsidRDefault="00670EF8" w:rsidP="0015350E">
      <w:r>
        <w:t>Nearly 40% of total fines ($388.65M) are imposed by US and Mexico due to custom delays.</w:t>
      </w:r>
    </w:p>
    <w:p w14:paraId="00622DE6" w14:textId="77777777" w:rsidR="002A5128" w:rsidRDefault="008318F3" w:rsidP="002A5128">
      <w:pPr>
        <w:keepNext/>
        <w:jc w:val="center"/>
      </w:pPr>
      <w:r>
        <w:rPr>
          <w:noProof/>
        </w:rPr>
        <w:drawing>
          <wp:inline distT="0" distB="0" distL="0" distR="0" wp14:anchorId="00CD32D3" wp14:editId="31865E92">
            <wp:extent cx="4503420" cy="3552501"/>
            <wp:effectExtent l="0" t="0" r="0" b="0"/>
            <wp:docPr id="646390597" name="Picture 1" descr="A graph of blue and white bars with na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90597" name="Picture 1" descr="A graph of blue and white bars with nam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45" cy="35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5EB0" w14:textId="1254DAA3" w:rsidR="008318F3" w:rsidRPr="0015350E" w:rsidRDefault="002A5128" w:rsidP="002A5128">
      <w:pPr>
        <w:pStyle w:val="Caption"/>
        <w:jc w:val="center"/>
        <w:rPr>
          <w:b/>
          <w:bCs/>
        </w:rPr>
      </w:pPr>
      <w:r w:rsidRPr="002A5128">
        <w:rPr>
          <w:b/>
          <w:bCs/>
        </w:rPr>
        <w:t xml:space="preserve">Figure </w:t>
      </w:r>
      <w:r w:rsidRPr="002A5128">
        <w:rPr>
          <w:b/>
          <w:bCs/>
        </w:rPr>
        <w:fldChar w:fldCharType="begin"/>
      </w:r>
      <w:r w:rsidRPr="002A5128">
        <w:rPr>
          <w:b/>
          <w:bCs/>
        </w:rPr>
        <w:instrText xml:space="preserve"> SEQ Figure \* ARABIC </w:instrText>
      </w:r>
      <w:r w:rsidRPr="002A5128">
        <w:rPr>
          <w:b/>
          <w:bCs/>
        </w:rPr>
        <w:fldChar w:fldCharType="separate"/>
      </w:r>
      <w:r w:rsidR="009E5821">
        <w:rPr>
          <w:b/>
          <w:bCs/>
          <w:noProof/>
        </w:rPr>
        <w:t>4</w:t>
      </w:r>
      <w:r w:rsidRPr="002A5128">
        <w:rPr>
          <w:b/>
          <w:bCs/>
        </w:rPr>
        <w:fldChar w:fldCharType="end"/>
      </w:r>
      <w:r w:rsidRPr="002A5128">
        <w:rPr>
          <w:b/>
          <w:bCs/>
        </w:rPr>
        <w:t>:</w:t>
      </w:r>
      <w:r>
        <w:t xml:space="preserve"> </w:t>
      </w:r>
      <w:r w:rsidRPr="00E63397">
        <w:t>A bar chart of regulatory fines by country to clearly visualize the geographic distribution of fines and highlight high-risk regions.</w:t>
      </w:r>
    </w:p>
    <w:p w14:paraId="1A15B55A" w14:textId="77777777" w:rsidR="002A5128" w:rsidRPr="002A5128" w:rsidRDefault="002A5128" w:rsidP="0015350E"/>
    <w:p w14:paraId="20963908" w14:textId="77777777" w:rsidR="0015350E" w:rsidRPr="0015350E" w:rsidRDefault="0015350E" w:rsidP="009811E0">
      <w:pPr>
        <w:pStyle w:val="Heading3"/>
      </w:pPr>
      <w:r w:rsidRPr="0015350E">
        <w:t>Visual 5: Government Stability Map</w:t>
      </w:r>
    </w:p>
    <w:p w14:paraId="3E16A87F" w14:textId="77777777" w:rsidR="0015350E" w:rsidRDefault="0015350E" w:rsidP="00B42BA3">
      <w:pPr>
        <w:jc w:val="both"/>
      </w:pPr>
      <w:r w:rsidRPr="002A5128">
        <w:t>Several African and Asian countries show low stability, increasing political risk for operations in these regions.</w:t>
      </w:r>
    </w:p>
    <w:p w14:paraId="5EB0AA8B" w14:textId="65DB916F" w:rsidR="002A5128" w:rsidRPr="002A5128" w:rsidRDefault="002A5128" w:rsidP="00F6559F">
      <w:pPr>
        <w:jc w:val="center"/>
      </w:pPr>
      <w:r w:rsidRPr="002A5128">
        <w:drawing>
          <wp:inline distT="0" distB="0" distL="0" distR="0" wp14:anchorId="523BB61F" wp14:editId="3A8044C8">
            <wp:extent cx="4410657" cy="1735518"/>
            <wp:effectExtent l="0" t="0" r="9525" b="0"/>
            <wp:docPr id="109014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495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419" cy="173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9A5" w14:textId="77777777" w:rsidR="0015350E" w:rsidRPr="0015350E" w:rsidRDefault="0015350E" w:rsidP="009811E0">
      <w:pPr>
        <w:pStyle w:val="Heading3"/>
      </w:pPr>
      <w:r w:rsidRPr="0015350E">
        <w:lastRenderedPageBreak/>
        <w:t>Visual 6: Trade Regulation vs Profit per Order</w:t>
      </w:r>
    </w:p>
    <w:p w14:paraId="008C49B0" w14:textId="77777777" w:rsidR="0015350E" w:rsidRDefault="0015350E" w:rsidP="00B42BA3">
      <w:pPr>
        <w:jc w:val="both"/>
      </w:pPr>
      <w:r w:rsidRPr="002A5128">
        <w:t>Markets with low trade regulation impact have higher profit per order, suggesting lower barriers improve margins.</w:t>
      </w:r>
    </w:p>
    <w:p w14:paraId="64D0063B" w14:textId="58E40598" w:rsidR="002A5128" w:rsidRDefault="00F6559F" w:rsidP="00F6559F">
      <w:pPr>
        <w:jc w:val="center"/>
      </w:pPr>
      <w:r w:rsidRPr="00F6559F">
        <w:drawing>
          <wp:inline distT="0" distB="0" distL="0" distR="0" wp14:anchorId="3EB790C7" wp14:editId="74962CB5">
            <wp:extent cx="5943600" cy="2402840"/>
            <wp:effectExtent l="0" t="0" r="0" b="0"/>
            <wp:docPr id="1940587289" name="Picture 1" descr="A graph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87289" name="Picture 1" descr="A graph of blue squar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47E4" w14:textId="77777777" w:rsidR="002A5128" w:rsidRPr="002A5128" w:rsidRDefault="002A5128" w:rsidP="0015350E"/>
    <w:p w14:paraId="20F3A800" w14:textId="77777777" w:rsidR="0015350E" w:rsidRPr="0015350E" w:rsidRDefault="0015350E" w:rsidP="009811E0">
      <w:pPr>
        <w:pStyle w:val="Heading3"/>
      </w:pPr>
      <w:r w:rsidRPr="0015350E">
        <w:t>Visual 7: Delivery % by Trade Regulations</w:t>
      </w:r>
    </w:p>
    <w:p w14:paraId="3E80D148" w14:textId="77777777" w:rsidR="0015350E" w:rsidRDefault="0015350E" w:rsidP="00B42BA3">
      <w:pPr>
        <w:jc w:val="both"/>
      </w:pPr>
      <w:r w:rsidRPr="002A5128">
        <w:t>High regulation areas face higher delayed orders and lower on-time delivery, confirming regulatory inefficiencies.</w:t>
      </w:r>
    </w:p>
    <w:p w14:paraId="2E125529" w14:textId="0652145F" w:rsidR="002A5128" w:rsidRPr="002A5128" w:rsidRDefault="00F6559F" w:rsidP="0015350E">
      <w:r w:rsidRPr="00F6559F">
        <w:drawing>
          <wp:inline distT="0" distB="0" distL="0" distR="0" wp14:anchorId="15E43856" wp14:editId="371A252D">
            <wp:extent cx="5449060" cy="1200318"/>
            <wp:effectExtent l="0" t="0" r="0" b="0"/>
            <wp:docPr id="181979409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94094" name="Picture 1" descr="A screenshot of a graph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8EDB" w14:textId="77777777" w:rsidR="0015350E" w:rsidRPr="0015350E" w:rsidRDefault="00000000" w:rsidP="0015350E">
      <w:pPr>
        <w:rPr>
          <w:b/>
          <w:bCs/>
        </w:rPr>
      </w:pPr>
      <w:r>
        <w:rPr>
          <w:b/>
          <w:bCs/>
        </w:rPr>
        <w:pict w14:anchorId="6206B6BB">
          <v:rect id="_x0000_i1026" style="width:0;height:1.5pt" o:hralign="center" o:hrstd="t" o:hr="t" fillcolor="#a0a0a0" stroked="f"/>
        </w:pict>
      </w:r>
    </w:p>
    <w:p w14:paraId="5761DCFE" w14:textId="77777777" w:rsidR="008318F3" w:rsidRDefault="008318F3" w:rsidP="0015350E">
      <w:pPr>
        <w:rPr>
          <w:b/>
          <w:bCs/>
        </w:rPr>
      </w:pPr>
    </w:p>
    <w:p w14:paraId="0E707B77" w14:textId="77777777" w:rsidR="008318F3" w:rsidRDefault="008318F3" w:rsidP="0015350E">
      <w:pPr>
        <w:rPr>
          <w:b/>
          <w:bCs/>
        </w:rPr>
      </w:pPr>
    </w:p>
    <w:p w14:paraId="07213686" w14:textId="77777777" w:rsidR="00F6559F" w:rsidRDefault="00F6559F" w:rsidP="0015350E">
      <w:pPr>
        <w:rPr>
          <w:b/>
          <w:bCs/>
        </w:rPr>
      </w:pPr>
    </w:p>
    <w:p w14:paraId="3DCA909E" w14:textId="77777777" w:rsidR="00F6559F" w:rsidRDefault="00F6559F" w:rsidP="0015350E">
      <w:pPr>
        <w:rPr>
          <w:b/>
          <w:bCs/>
        </w:rPr>
      </w:pPr>
    </w:p>
    <w:p w14:paraId="610CBFF8" w14:textId="77777777" w:rsidR="00F6559F" w:rsidRDefault="00F6559F" w:rsidP="0015350E">
      <w:pPr>
        <w:rPr>
          <w:b/>
          <w:bCs/>
        </w:rPr>
      </w:pPr>
    </w:p>
    <w:p w14:paraId="0B13F3FA" w14:textId="77777777" w:rsidR="00F6559F" w:rsidRDefault="00F6559F" w:rsidP="0015350E">
      <w:pPr>
        <w:rPr>
          <w:b/>
          <w:bCs/>
        </w:rPr>
      </w:pPr>
    </w:p>
    <w:p w14:paraId="26FA952A" w14:textId="77777777" w:rsidR="00F6559F" w:rsidRDefault="00F6559F" w:rsidP="0015350E">
      <w:pPr>
        <w:rPr>
          <w:b/>
          <w:bCs/>
        </w:rPr>
      </w:pPr>
    </w:p>
    <w:p w14:paraId="0C60147C" w14:textId="77777777" w:rsidR="00F6559F" w:rsidRDefault="00F6559F" w:rsidP="0015350E">
      <w:pPr>
        <w:rPr>
          <w:b/>
          <w:bCs/>
        </w:rPr>
      </w:pPr>
    </w:p>
    <w:p w14:paraId="0FFE85A7" w14:textId="3C3B4593" w:rsidR="00856680" w:rsidRDefault="009811E0" w:rsidP="009811E0">
      <w:pPr>
        <w:pStyle w:val="Heading2"/>
      </w:pPr>
      <w:r>
        <w:lastRenderedPageBreak/>
        <w:t>C</w:t>
      </w:r>
      <w:r w:rsidR="0015350E" w:rsidRPr="0015350E">
        <w:t>. Economic Factors</w:t>
      </w:r>
    </w:p>
    <w:p w14:paraId="02BD22D7" w14:textId="49AE70CC" w:rsidR="00F6559F" w:rsidRDefault="00F6559F" w:rsidP="0015350E">
      <w:pPr>
        <w:rPr>
          <w:b/>
          <w:bCs/>
        </w:rPr>
      </w:pPr>
      <w:r w:rsidRPr="0015350E">
        <w:rPr>
          <w:b/>
          <w:bCs/>
        </w:rPr>
        <w:t>Visual 8: Average Inflation Rate by Year</w:t>
      </w:r>
    </w:p>
    <w:p w14:paraId="744F2CAA" w14:textId="77777777" w:rsidR="00F6559F" w:rsidRDefault="008318F3" w:rsidP="00F6559F">
      <w:pPr>
        <w:keepNext/>
      </w:pPr>
      <w:r>
        <w:rPr>
          <w:noProof/>
        </w:rPr>
        <w:drawing>
          <wp:inline distT="0" distB="0" distL="0" distR="0" wp14:anchorId="7437682D" wp14:editId="0B660D05">
            <wp:extent cx="6294120" cy="1482077"/>
            <wp:effectExtent l="0" t="0" r="0" b="4445"/>
            <wp:docPr id="20839918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918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89" cy="148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9329" w14:textId="2D8B7201" w:rsidR="00F6559F" w:rsidRPr="00F6559F" w:rsidRDefault="00F6559F" w:rsidP="00F6559F">
      <w:pPr>
        <w:pStyle w:val="Caption"/>
        <w:jc w:val="center"/>
      </w:pPr>
      <w:r w:rsidRPr="00F6559F">
        <w:rPr>
          <w:b/>
          <w:bCs/>
        </w:rPr>
        <w:t>Figur</w:t>
      </w:r>
      <w:r>
        <w:rPr>
          <w:b/>
          <w:bCs/>
        </w:rPr>
        <w:t>e</w:t>
      </w:r>
      <w:r w:rsidRPr="00F6559F">
        <w:rPr>
          <w:b/>
          <w:bCs/>
        </w:rPr>
        <w:t>:</w:t>
      </w:r>
      <w:r>
        <w:t xml:space="preserve"> </w:t>
      </w:r>
      <w:r w:rsidRPr="003B4692">
        <w:t>The line chart showing average inflation rate by year to visually communicate the economic trend over time.</w:t>
      </w:r>
    </w:p>
    <w:p w14:paraId="09558FC0" w14:textId="77777777" w:rsidR="0015350E" w:rsidRDefault="0015350E" w:rsidP="0015350E">
      <w:r w:rsidRPr="00F6559F">
        <w:t>Inflation peaked in 2016 (5.53%) and declined by 2018, potentially reducing input costs.</w:t>
      </w:r>
    </w:p>
    <w:p w14:paraId="1BC8545D" w14:textId="77777777" w:rsidR="00F6559F" w:rsidRPr="00F6559F" w:rsidRDefault="00F6559F" w:rsidP="0015350E"/>
    <w:p w14:paraId="327875F8" w14:textId="74E364FB" w:rsidR="0015350E" w:rsidRDefault="0015350E" w:rsidP="009811E0">
      <w:pPr>
        <w:pStyle w:val="Heading3"/>
      </w:pPr>
      <w:r w:rsidRPr="0015350E">
        <w:t xml:space="preserve">Visual </w:t>
      </w:r>
      <w:r w:rsidR="00B61817">
        <w:t>8</w:t>
      </w:r>
      <w:r w:rsidRPr="0015350E">
        <w:t>: Currency Exchange Rate vs Profit per Order</w:t>
      </w:r>
    </w:p>
    <w:p w14:paraId="112EAB58" w14:textId="77777777" w:rsidR="009811E0" w:rsidRPr="009811E0" w:rsidRDefault="009811E0" w:rsidP="009811E0"/>
    <w:p w14:paraId="1F49033C" w14:textId="61877B68" w:rsidR="00F6559F" w:rsidRDefault="00F6559F" w:rsidP="00F6559F">
      <w:pPr>
        <w:jc w:val="center"/>
        <w:rPr>
          <w:b/>
          <w:bCs/>
        </w:rPr>
      </w:pPr>
      <w:r w:rsidRPr="00F6559F">
        <w:rPr>
          <w:b/>
          <w:bCs/>
        </w:rPr>
        <w:drawing>
          <wp:inline distT="0" distB="0" distL="0" distR="0" wp14:anchorId="25961F12" wp14:editId="3695760F">
            <wp:extent cx="4486901" cy="3753374"/>
            <wp:effectExtent l="0" t="0" r="9525" b="0"/>
            <wp:docPr id="822693717" name="Picture 1" descr="A graph of blue dot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93717" name="Picture 1" descr="A graph of blue dots and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E05E" w14:textId="77777777" w:rsidR="009E5821" w:rsidRPr="0015350E" w:rsidRDefault="009E5821" w:rsidP="009E5821">
      <w:pPr>
        <w:rPr>
          <w:b/>
          <w:bCs/>
        </w:rPr>
      </w:pPr>
    </w:p>
    <w:p w14:paraId="52526DEE" w14:textId="77777777" w:rsidR="0015350E" w:rsidRPr="00F6559F" w:rsidRDefault="0015350E" w:rsidP="009E5821">
      <w:pPr>
        <w:jc w:val="center"/>
      </w:pPr>
      <w:r w:rsidRPr="00F6559F">
        <w:t>A moderate positive trend shows higher exchange rates slightly increase profits.</w:t>
      </w:r>
    </w:p>
    <w:p w14:paraId="33BE9135" w14:textId="77777777" w:rsidR="00F6559F" w:rsidRDefault="00F6559F" w:rsidP="0015350E">
      <w:pPr>
        <w:rPr>
          <w:b/>
          <w:bCs/>
        </w:rPr>
      </w:pPr>
    </w:p>
    <w:p w14:paraId="55B78280" w14:textId="6B0B8F2F" w:rsidR="00F6559F" w:rsidRDefault="0015350E" w:rsidP="009811E0">
      <w:pPr>
        <w:pStyle w:val="Heading3"/>
      </w:pPr>
      <w:r w:rsidRPr="0015350E">
        <w:lastRenderedPageBreak/>
        <w:t xml:space="preserve">Visual </w:t>
      </w:r>
      <w:r w:rsidR="00B61817">
        <w:t>9</w:t>
      </w:r>
      <w:r w:rsidRPr="0015350E">
        <w:t>: Exchange Rate Bucket Analysis</w:t>
      </w:r>
    </w:p>
    <w:p w14:paraId="5643D7CD" w14:textId="77777777" w:rsidR="009811E0" w:rsidRPr="009811E0" w:rsidRDefault="009811E0" w:rsidP="009811E0"/>
    <w:p w14:paraId="08E2DD18" w14:textId="46CA309B" w:rsidR="00F6559F" w:rsidRPr="0015350E" w:rsidRDefault="00F6559F" w:rsidP="00F6559F">
      <w:pPr>
        <w:jc w:val="center"/>
        <w:rPr>
          <w:b/>
          <w:bCs/>
        </w:rPr>
      </w:pPr>
      <w:r w:rsidRPr="00F6559F">
        <w:rPr>
          <w:b/>
          <w:bCs/>
        </w:rPr>
        <w:drawing>
          <wp:inline distT="0" distB="0" distL="0" distR="0" wp14:anchorId="154BD236" wp14:editId="6E762DDC">
            <wp:extent cx="4581524" cy="3606165"/>
            <wp:effectExtent l="0" t="0" r="0" b="0"/>
            <wp:docPr id="1959276879" name="Picture 1" descr="A graph of currency exchange r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76879" name="Picture 1" descr="A graph of currency exchange rate&#10;&#10;AI-generated content may be incorrect."/>
                    <pic:cNvPicPr/>
                  </pic:nvPicPr>
                  <pic:blipFill rotWithShape="1">
                    <a:blip r:embed="rId17"/>
                    <a:srcRect t="1662"/>
                    <a:stretch/>
                  </pic:blipFill>
                  <pic:spPr bwMode="auto">
                    <a:xfrm>
                      <a:off x="0" y="0"/>
                      <a:ext cx="4582164" cy="360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139F4" w14:textId="77777777" w:rsidR="009811E0" w:rsidRDefault="009811E0" w:rsidP="0015350E"/>
    <w:p w14:paraId="1B195D21" w14:textId="5079B971" w:rsidR="009811E0" w:rsidRDefault="0015350E" w:rsidP="00B61817">
      <w:pPr>
        <w:jc w:val="both"/>
      </w:pPr>
      <w:r w:rsidRPr="00F6559F">
        <w:t xml:space="preserve">High exchange rate zones (1.35+) </w:t>
      </w:r>
      <w:r w:rsidR="00670EF8">
        <w:t xml:space="preserve">yields 18% higher profit margins which suggest forex </w:t>
      </w:r>
      <w:r w:rsidR="00B42BA3">
        <w:t>hedging</w:t>
      </w:r>
      <w:r w:rsidR="00670EF8">
        <w:t xml:space="preserve"> strategies.</w:t>
      </w:r>
    </w:p>
    <w:p w14:paraId="73AC907C" w14:textId="77777777" w:rsidR="009811E0" w:rsidRPr="009811E0" w:rsidRDefault="009811E0" w:rsidP="009811E0"/>
    <w:p w14:paraId="13ACB89D" w14:textId="3D1EB07C" w:rsidR="0015350E" w:rsidRDefault="009811E0" w:rsidP="009811E0">
      <w:pPr>
        <w:pStyle w:val="Heading2"/>
      </w:pPr>
      <w:r>
        <w:lastRenderedPageBreak/>
        <w:t>D</w:t>
      </w:r>
      <w:r w:rsidR="0015350E" w:rsidRPr="0015350E">
        <w:t>. Social Factors</w:t>
      </w:r>
    </w:p>
    <w:p w14:paraId="5FB01F50" w14:textId="2D1B6468" w:rsidR="00856680" w:rsidRPr="009811E0" w:rsidRDefault="009811E0" w:rsidP="009811E0">
      <w:pPr>
        <w:pStyle w:val="Heading3"/>
      </w:pPr>
      <w:r w:rsidRPr="0015350E">
        <w:t>Visual 1</w:t>
      </w:r>
      <w:r w:rsidR="00B61817">
        <w:t>0</w:t>
      </w:r>
      <w:r w:rsidRPr="0015350E">
        <w:t xml:space="preserve">: </w:t>
      </w:r>
      <w:r>
        <w:t>Average sales per Customer by Market</w:t>
      </w:r>
    </w:p>
    <w:p w14:paraId="02CED21F" w14:textId="54E6A640" w:rsidR="00F6559F" w:rsidRDefault="00856680" w:rsidP="00F6559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340700A" wp14:editId="7EECA098">
            <wp:extent cx="3277381" cy="2301240"/>
            <wp:effectExtent l="0" t="0" r="0" b="3810"/>
            <wp:docPr id="1929651509" name="Picture 3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51509" name="Picture 3" descr="A graph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58" cy="230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A485" w14:textId="421461BC" w:rsidR="009811E0" w:rsidRDefault="009811E0" w:rsidP="00B42BA3">
      <w:pPr>
        <w:jc w:val="both"/>
      </w:pPr>
      <w:r w:rsidRPr="00F6559F">
        <w:t>A bar chart of average sales per customer by market highlight regional variations in purchasing behavior and support social segmentation analysis.</w:t>
      </w:r>
      <w:r>
        <w:t xml:space="preserve"> </w:t>
      </w:r>
      <w:r w:rsidRPr="00F6559F">
        <w:t>Europe has the highest sales per customer; Africa has the lowest, highlighting spending power gaps.</w:t>
      </w:r>
    </w:p>
    <w:p w14:paraId="5AFC1896" w14:textId="77777777" w:rsidR="009811E0" w:rsidRPr="009811E0" w:rsidRDefault="009811E0" w:rsidP="009811E0"/>
    <w:p w14:paraId="7BAE523F" w14:textId="6CF214CD" w:rsidR="00F6559F" w:rsidRDefault="0015350E" w:rsidP="009811E0">
      <w:pPr>
        <w:pStyle w:val="Heading3"/>
      </w:pPr>
      <w:r w:rsidRPr="0015350E">
        <w:t>Visual 1</w:t>
      </w:r>
      <w:r w:rsidR="00B61817">
        <w:t>1</w:t>
      </w:r>
      <w:r w:rsidRPr="0015350E">
        <w:t>: Urbanization Level by Segment</w:t>
      </w:r>
    </w:p>
    <w:p w14:paraId="7C4F0DD9" w14:textId="77777777" w:rsidR="009811E0" w:rsidRPr="009811E0" w:rsidRDefault="009811E0" w:rsidP="009811E0"/>
    <w:p w14:paraId="2CA33851" w14:textId="7FD3321E" w:rsidR="009811E0" w:rsidRPr="0015350E" w:rsidRDefault="00F6559F" w:rsidP="009811E0">
      <w:pPr>
        <w:jc w:val="center"/>
        <w:rPr>
          <w:b/>
          <w:bCs/>
        </w:rPr>
      </w:pPr>
      <w:r w:rsidRPr="00F6559F">
        <w:rPr>
          <w:b/>
          <w:bCs/>
        </w:rPr>
        <w:drawing>
          <wp:inline distT="0" distB="0" distL="0" distR="0" wp14:anchorId="21ADEB2C" wp14:editId="2E779920">
            <wp:extent cx="4714875" cy="2988945"/>
            <wp:effectExtent l="0" t="0" r="9525" b="1905"/>
            <wp:docPr id="126952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28980" name=""/>
                    <pic:cNvPicPr/>
                  </pic:nvPicPr>
                  <pic:blipFill rotWithShape="1">
                    <a:blip r:embed="rId19"/>
                    <a:srcRect t="2243"/>
                    <a:stretch/>
                  </pic:blipFill>
                  <pic:spPr bwMode="auto">
                    <a:xfrm>
                      <a:off x="0" y="0"/>
                      <a:ext cx="4715533" cy="298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1E666" w14:textId="6436A581" w:rsidR="00F6559F" w:rsidRPr="00F6559F" w:rsidRDefault="0015350E" w:rsidP="00F6559F">
      <w:pPr>
        <w:jc w:val="both"/>
      </w:pPr>
      <w:r w:rsidRPr="00F6559F">
        <w:t>Urbanization is consistent (~72%) across segments (Consumer, Corporate, Home Office), supporting digital reach.</w:t>
      </w:r>
    </w:p>
    <w:p w14:paraId="47AC3255" w14:textId="242BC1AC" w:rsidR="0015350E" w:rsidRDefault="0015350E" w:rsidP="009811E0">
      <w:pPr>
        <w:pStyle w:val="Heading3"/>
      </w:pPr>
      <w:r w:rsidRPr="0015350E">
        <w:lastRenderedPageBreak/>
        <w:t>Visual 1</w:t>
      </w:r>
      <w:r w:rsidR="00B61817">
        <w:t>2</w:t>
      </w:r>
      <w:r w:rsidRPr="0015350E">
        <w:t>: Consumer Preference Shift</w:t>
      </w:r>
    </w:p>
    <w:p w14:paraId="3027C1DD" w14:textId="77777777" w:rsidR="009811E0" w:rsidRPr="009811E0" w:rsidRDefault="009811E0" w:rsidP="009811E0"/>
    <w:p w14:paraId="223F016B" w14:textId="761E2424" w:rsidR="00856680" w:rsidRDefault="006A262A" w:rsidP="006A262A">
      <w:pPr>
        <w:jc w:val="center"/>
      </w:pPr>
      <w:r w:rsidRPr="006A262A">
        <w:drawing>
          <wp:inline distT="0" distB="0" distL="0" distR="0" wp14:anchorId="3DEB2961" wp14:editId="61398131">
            <wp:extent cx="2133600" cy="3204865"/>
            <wp:effectExtent l="0" t="0" r="0" b="0"/>
            <wp:docPr id="143744626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46267" name="Picture 1" descr="A graph of a graph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9618" cy="32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6521" w14:textId="0044F5F5" w:rsidR="009811E0" w:rsidRDefault="009811E0" w:rsidP="009811E0">
      <w:pPr>
        <w:jc w:val="both"/>
      </w:pPr>
      <w:r w:rsidRPr="006A262A">
        <w:t>All three trends (rising, declining, stable) contribute ~5.2K orders each, indicating market dynamism.</w:t>
      </w:r>
    </w:p>
    <w:p w14:paraId="6CD52F95" w14:textId="77777777" w:rsidR="009811E0" w:rsidRPr="006A262A" w:rsidRDefault="009811E0" w:rsidP="006A262A">
      <w:pPr>
        <w:jc w:val="center"/>
      </w:pPr>
    </w:p>
    <w:p w14:paraId="16B0AC16" w14:textId="15073B5D" w:rsidR="0015350E" w:rsidRDefault="009811E0" w:rsidP="009811E0">
      <w:pPr>
        <w:pStyle w:val="Heading2"/>
      </w:pPr>
      <w:r>
        <w:lastRenderedPageBreak/>
        <w:t>E</w:t>
      </w:r>
      <w:r w:rsidR="0015350E" w:rsidRPr="0015350E">
        <w:t>. Technological Factors</w:t>
      </w:r>
    </w:p>
    <w:p w14:paraId="7D9FAF12" w14:textId="01C56C4C" w:rsidR="006A262A" w:rsidRDefault="006A262A" w:rsidP="009811E0">
      <w:pPr>
        <w:pStyle w:val="Heading3"/>
      </w:pPr>
      <w:r w:rsidRPr="0015350E">
        <w:t>Visual 1</w:t>
      </w:r>
      <w:r w:rsidR="00B61817">
        <w:t>3</w:t>
      </w:r>
      <w:r w:rsidRPr="0015350E">
        <w:t>: AI &amp; Automation Adoption vs Quantity Ordered</w:t>
      </w:r>
    </w:p>
    <w:p w14:paraId="02A0CB05" w14:textId="43E8EE01" w:rsidR="006A262A" w:rsidRPr="006A262A" w:rsidRDefault="006A262A" w:rsidP="009811E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FF736E" wp14:editId="38198C68">
            <wp:extent cx="4800489" cy="3208020"/>
            <wp:effectExtent l="0" t="0" r="635" b="0"/>
            <wp:docPr id="2052430300" name="Picture 4" descr="A graph of blue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430300" name="Picture 4" descr="A graph of blue rectangular shap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321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9009" w14:textId="261AED85" w:rsidR="0015350E" w:rsidRDefault="00856680" w:rsidP="006A262A">
      <w:pPr>
        <w:jc w:val="both"/>
      </w:pPr>
      <w:r w:rsidRPr="006A262A">
        <w:t>A bar chart comparing AI &amp; Automation adoption levels (Low, Medium, High) with total order quantity to clarify the minimal impact of technology adoption.</w:t>
      </w:r>
      <w:r w:rsidR="006A262A">
        <w:t xml:space="preserve"> </w:t>
      </w:r>
      <w:r w:rsidR="0015350E" w:rsidRPr="006A262A">
        <w:t>AI adoption (Low, Medium, High) has minimal impact on total quantity ordered, suggesting low ROI from current implementations.</w:t>
      </w:r>
    </w:p>
    <w:p w14:paraId="1C96C409" w14:textId="25C2003D" w:rsidR="006A262A" w:rsidRPr="006A262A" w:rsidRDefault="006A262A" w:rsidP="006A262A">
      <w:pPr>
        <w:jc w:val="both"/>
      </w:pPr>
    </w:p>
    <w:p w14:paraId="656C8CB3" w14:textId="3E3D6D13" w:rsidR="0015350E" w:rsidRPr="0015350E" w:rsidRDefault="0015350E" w:rsidP="009811E0">
      <w:pPr>
        <w:pStyle w:val="Heading3"/>
      </w:pPr>
      <w:r w:rsidRPr="0015350E">
        <w:t>Visual 1</w:t>
      </w:r>
      <w:r w:rsidR="00B61817">
        <w:t>4</w:t>
      </w:r>
      <w:r w:rsidRPr="0015350E">
        <w:t>: Internet Penetration by Shipping Mode</w:t>
      </w:r>
    </w:p>
    <w:p w14:paraId="105E8A4B" w14:textId="77777777" w:rsidR="0015350E" w:rsidRPr="006A262A" w:rsidRDefault="0015350E" w:rsidP="0015350E">
      <w:r w:rsidRPr="006A262A">
        <w:t>High and consistent penetration (~75%) across all modes supports online logistics and order tracking.</w:t>
      </w:r>
    </w:p>
    <w:p w14:paraId="606D6892" w14:textId="148BDDA0" w:rsidR="00856680" w:rsidRDefault="006A262A" w:rsidP="006A262A">
      <w:pPr>
        <w:jc w:val="center"/>
        <w:rPr>
          <w:b/>
          <w:bCs/>
        </w:rPr>
      </w:pPr>
      <w:r w:rsidRPr="006A262A">
        <w:rPr>
          <w:b/>
          <w:bCs/>
        </w:rPr>
        <w:drawing>
          <wp:inline distT="0" distB="0" distL="0" distR="0" wp14:anchorId="0BD8AF9B" wp14:editId="422E5E82">
            <wp:extent cx="3828415" cy="2474935"/>
            <wp:effectExtent l="0" t="0" r="635" b="1905"/>
            <wp:docPr id="313984738" name="Picture 1" descr="A graph of blue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84738" name="Picture 1" descr="A graph of blue rectangular shape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3858" cy="24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C51B" w14:textId="09BFA00A" w:rsidR="0015350E" w:rsidRPr="0015350E" w:rsidRDefault="009811E0" w:rsidP="009811E0">
      <w:pPr>
        <w:pStyle w:val="Heading2"/>
      </w:pPr>
      <w:r>
        <w:lastRenderedPageBreak/>
        <w:t>F</w:t>
      </w:r>
      <w:r w:rsidR="0015350E" w:rsidRPr="0015350E">
        <w:t>. Environmental Factors</w:t>
      </w:r>
    </w:p>
    <w:p w14:paraId="78974BC9" w14:textId="4C842626" w:rsidR="0015350E" w:rsidRDefault="0015350E" w:rsidP="009811E0">
      <w:pPr>
        <w:pStyle w:val="Heading3"/>
      </w:pPr>
      <w:r w:rsidRPr="0015350E">
        <w:t>Visual 1</w:t>
      </w:r>
      <w:r w:rsidR="00B61817">
        <w:t>5</w:t>
      </w:r>
      <w:r w:rsidRPr="0015350E">
        <w:t>: Carbon Footprint Score vs Profit</w:t>
      </w:r>
    </w:p>
    <w:p w14:paraId="2FB6C846" w14:textId="351F4E56" w:rsidR="006A262A" w:rsidRPr="0015350E" w:rsidRDefault="006A262A" w:rsidP="006A262A">
      <w:pPr>
        <w:jc w:val="center"/>
        <w:rPr>
          <w:b/>
          <w:bCs/>
        </w:rPr>
      </w:pPr>
      <w:r w:rsidRPr="006A262A">
        <w:rPr>
          <w:b/>
          <w:bCs/>
        </w:rPr>
        <w:drawing>
          <wp:inline distT="0" distB="0" distL="0" distR="0" wp14:anchorId="0D0D0D2A" wp14:editId="742C2A9E">
            <wp:extent cx="3820374" cy="3268980"/>
            <wp:effectExtent l="0" t="0" r="8890" b="7620"/>
            <wp:docPr id="1789317055" name="Picture 1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17055" name="Picture 1" descr="A graph of blue dot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6662" cy="32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59F3" w14:textId="77777777" w:rsidR="0015350E" w:rsidRDefault="0015350E" w:rsidP="0015350E">
      <w:r w:rsidRPr="006A262A">
        <w:t>No clear relationship between carbon footprint and profitability; average footprint score is 110.38.</w:t>
      </w:r>
    </w:p>
    <w:p w14:paraId="48CF8260" w14:textId="77777777" w:rsidR="006A262A" w:rsidRPr="006A262A" w:rsidRDefault="006A262A" w:rsidP="0015350E"/>
    <w:p w14:paraId="35DEA9E7" w14:textId="2D2639B4" w:rsidR="0015350E" w:rsidRDefault="0015350E" w:rsidP="00923B0A">
      <w:pPr>
        <w:pStyle w:val="Heading3"/>
      </w:pPr>
      <w:r w:rsidRPr="0015350E">
        <w:t>Visual 1</w:t>
      </w:r>
      <w:r w:rsidR="00B61817">
        <w:t>6</w:t>
      </w:r>
      <w:r w:rsidRPr="0015350E">
        <w:t>: Eco-Friendly Packaging Compliance</w:t>
      </w:r>
    </w:p>
    <w:p w14:paraId="5574F814" w14:textId="77777777" w:rsidR="00923B0A" w:rsidRPr="00923B0A" w:rsidRDefault="00923B0A" w:rsidP="00923B0A"/>
    <w:p w14:paraId="393B5DC9" w14:textId="2454E056" w:rsidR="006A262A" w:rsidRPr="0015350E" w:rsidRDefault="006A262A" w:rsidP="006A262A">
      <w:pPr>
        <w:jc w:val="center"/>
        <w:rPr>
          <w:b/>
          <w:bCs/>
        </w:rPr>
      </w:pPr>
      <w:r w:rsidRPr="006A262A">
        <w:rPr>
          <w:b/>
          <w:bCs/>
        </w:rPr>
        <w:drawing>
          <wp:inline distT="0" distB="0" distL="0" distR="0" wp14:anchorId="672F069A" wp14:editId="1F35E2CB">
            <wp:extent cx="3558540" cy="2528436"/>
            <wp:effectExtent l="0" t="0" r="3810" b="5715"/>
            <wp:docPr id="646840651" name="Picture 1" descr="A graph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40651" name="Picture 1" descr="A graph of a pie char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1799" cy="25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92F0" w14:textId="035E05F0" w:rsidR="0015350E" w:rsidRPr="00923B0A" w:rsidRDefault="0015350E" w:rsidP="00923B0A">
      <w:pPr>
        <w:jc w:val="both"/>
      </w:pPr>
      <w:r w:rsidRPr="006A262A">
        <w:t>Compliance is split 50/50 between compliant and non-compliant segments, showing room for ESG improvement.</w:t>
      </w:r>
    </w:p>
    <w:p w14:paraId="49A5D69B" w14:textId="0033C7AE" w:rsidR="0015350E" w:rsidRPr="0015350E" w:rsidRDefault="00923B0A" w:rsidP="00923B0A">
      <w:pPr>
        <w:pStyle w:val="Heading2"/>
      </w:pPr>
      <w:r>
        <w:lastRenderedPageBreak/>
        <w:t>G</w:t>
      </w:r>
      <w:r w:rsidR="0015350E" w:rsidRPr="0015350E">
        <w:t>. Legal Factors</w:t>
      </w:r>
    </w:p>
    <w:p w14:paraId="7A26D4D8" w14:textId="12FA1C7D" w:rsidR="0015350E" w:rsidRPr="00923B0A" w:rsidRDefault="0015350E" w:rsidP="00923B0A">
      <w:pPr>
        <w:pStyle w:val="Heading3"/>
      </w:pPr>
      <w:r w:rsidRPr="00923B0A">
        <w:t>Visual 1</w:t>
      </w:r>
      <w:r w:rsidR="00B61817">
        <w:t>7</w:t>
      </w:r>
      <w:r w:rsidRPr="00923B0A">
        <w:t>: Average Regulatory Fines by Country (Extended List)</w:t>
      </w:r>
    </w:p>
    <w:p w14:paraId="74015FD1" w14:textId="7A91858B" w:rsidR="006A262A" w:rsidRPr="006A262A" w:rsidRDefault="006A262A" w:rsidP="0015350E">
      <w:r w:rsidRPr="006A262A">
        <w:drawing>
          <wp:inline distT="0" distB="0" distL="0" distR="0" wp14:anchorId="3BBD271F" wp14:editId="30F8E915">
            <wp:extent cx="5877745" cy="1171739"/>
            <wp:effectExtent l="0" t="0" r="0" b="9525"/>
            <wp:docPr id="1836126683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26683" name="Picture 1" descr="A screenshot of a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48D2" w14:textId="77777777" w:rsidR="0015350E" w:rsidRDefault="0015350E" w:rsidP="00923B0A">
      <w:pPr>
        <w:jc w:val="both"/>
      </w:pPr>
      <w:r w:rsidRPr="006A262A">
        <w:t>Several smaller nations contribute to a large portion of the $388.65M in fines, demanding legal oversight.</w:t>
      </w:r>
    </w:p>
    <w:p w14:paraId="4012ACF5" w14:textId="77777777" w:rsidR="00923B0A" w:rsidRPr="006A262A" w:rsidRDefault="00923B0A" w:rsidP="00923B0A">
      <w:pPr>
        <w:jc w:val="both"/>
      </w:pPr>
    </w:p>
    <w:p w14:paraId="71B67EEC" w14:textId="7E5867DB" w:rsidR="0015350E" w:rsidRDefault="0015350E" w:rsidP="00923B0A">
      <w:pPr>
        <w:pStyle w:val="Heading3"/>
      </w:pPr>
      <w:r w:rsidRPr="0015350E">
        <w:t xml:space="preserve">Visual </w:t>
      </w:r>
      <w:r w:rsidR="00B61817">
        <w:t>18</w:t>
      </w:r>
      <w:r w:rsidRPr="0015350E">
        <w:t>: Labor Law Compliance vs Total Profit</w:t>
      </w:r>
    </w:p>
    <w:p w14:paraId="6FCFDE52" w14:textId="64361BB2" w:rsidR="006A262A" w:rsidRPr="0015350E" w:rsidRDefault="006A262A" w:rsidP="00923B0A">
      <w:pPr>
        <w:jc w:val="center"/>
        <w:rPr>
          <w:b/>
          <w:bCs/>
        </w:rPr>
      </w:pPr>
      <w:r w:rsidRPr="006A262A">
        <w:rPr>
          <w:b/>
          <w:bCs/>
        </w:rPr>
        <w:drawing>
          <wp:inline distT="0" distB="0" distL="0" distR="0" wp14:anchorId="0AD15EB9" wp14:editId="38929BF7">
            <wp:extent cx="4304030" cy="4114258"/>
            <wp:effectExtent l="0" t="0" r="1270" b="635"/>
            <wp:docPr id="1087213812" name="Picture 1" descr="A graph of a graph showing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13812" name="Picture 1" descr="A graph of a graph showing a number of blue bar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598" cy="41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23EA" w14:textId="77777777" w:rsidR="00B42BA3" w:rsidRDefault="00B42BA3" w:rsidP="00923B0A">
      <w:pPr>
        <w:jc w:val="both"/>
      </w:pPr>
    </w:p>
    <w:p w14:paraId="01300D63" w14:textId="4CC712B2" w:rsidR="0015350E" w:rsidRPr="006A262A" w:rsidRDefault="0015350E" w:rsidP="00923B0A">
      <w:pPr>
        <w:jc w:val="both"/>
      </w:pPr>
      <w:r w:rsidRPr="006A262A">
        <w:t>High compliance yields the highest profit ($346.33K total), showing ethical practices support financial gains.</w:t>
      </w:r>
    </w:p>
    <w:p w14:paraId="311EBAD8" w14:textId="77777777" w:rsidR="006A262A" w:rsidRDefault="006A262A" w:rsidP="0015350E">
      <w:pPr>
        <w:rPr>
          <w:b/>
          <w:bCs/>
        </w:rPr>
      </w:pPr>
    </w:p>
    <w:p w14:paraId="267432F7" w14:textId="01841F63" w:rsidR="0015350E" w:rsidRPr="0015350E" w:rsidRDefault="0015350E" w:rsidP="00670EF8">
      <w:pPr>
        <w:pStyle w:val="Heading1"/>
      </w:pPr>
      <w:r w:rsidRPr="0015350E">
        <w:lastRenderedPageBreak/>
        <w:t>Strategic Recommendations</w:t>
      </w:r>
    </w:p>
    <w:p w14:paraId="38726344" w14:textId="51980713" w:rsidR="00670EF8" w:rsidRDefault="00670EF8" w:rsidP="00B42BA3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670EF8">
        <w:rPr>
          <w:b/>
          <w:bCs/>
        </w:rPr>
        <w:t>Delivery Optimization: </w:t>
      </w:r>
      <w:r>
        <w:t>Company(s) should p</w:t>
      </w:r>
      <w:r w:rsidRPr="00670EF8">
        <w:t>artner with local carriers in Africa</w:t>
      </w:r>
      <w:r>
        <w:t>n countries</w:t>
      </w:r>
      <w:r w:rsidRPr="00670EF8">
        <w:t xml:space="preserve"> (57% delays) using geospatial data to reduce transit time by 20%</w:t>
      </w:r>
      <w:r>
        <w:t>.</w:t>
      </w:r>
    </w:p>
    <w:p w14:paraId="443E1FD6" w14:textId="77777777" w:rsidR="00670EF8" w:rsidRDefault="00670EF8" w:rsidP="00B42BA3">
      <w:pPr>
        <w:pStyle w:val="ListParagraph"/>
        <w:jc w:val="both"/>
        <w:rPr>
          <w:b/>
          <w:bCs/>
        </w:rPr>
      </w:pPr>
    </w:p>
    <w:p w14:paraId="7A6E5FB8" w14:textId="77777777" w:rsidR="00670EF8" w:rsidRPr="00670EF8" w:rsidRDefault="00670EF8" w:rsidP="00B42BA3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670EF8">
        <w:rPr>
          <w:b/>
          <w:bCs/>
        </w:rPr>
        <w:t>Regulatory Compliance: </w:t>
      </w:r>
      <w:r w:rsidRPr="00670EF8">
        <w:t>Allocate $200K/year for legal teams in Mexico (Visual 4), projected to cut fines by 30% in 12 months.</w:t>
      </w:r>
    </w:p>
    <w:p w14:paraId="050E632B" w14:textId="77777777" w:rsidR="00670EF8" w:rsidRPr="00670EF8" w:rsidRDefault="00670EF8" w:rsidP="00B42BA3">
      <w:pPr>
        <w:pStyle w:val="ListParagraph"/>
        <w:jc w:val="both"/>
        <w:rPr>
          <w:b/>
          <w:bCs/>
        </w:rPr>
      </w:pPr>
    </w:p>
    <w:p w14:paraId="39336DF7" w14:textId="77777777" w:rsidR="00670EF8" w:rsidRDefault="00670EF8" w:rsidP="00B42BA3">
      <w:pPr>
        <w:pStyle w:val="ListParagraph"/>
        <w:jc w:val="both"/>
        <w:rPr>
          <w:b/>
          <w:bCs/>
        </w:rPr>
      </w:pPr>
    </w:p>
    <w:p w14:paraId="4DAE72B7" w14:textId="77777777" w:rsidR="00670EF8" w:rsidRPr="003C5055" w:rsidRDefault="00670EF8" w:rsidP="00B42BA3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670EF8">
        <w:rPr>
          <w:b/>
          <w:bCs/>
        </w:rPr>
        <w:t>AI ROI Improvement: </w:t>
      </w:r>
      <w:r w:rsidRPr="00670EF8">
        <w:t xml:space="preserve">Pilot automation in </w:t>
      </w:r>
      <w:r w:rsidRPr="00670EF8">
        <w:t>corporate</w:t>
      </w:r>
      <w:r w:rsidRPr="00670EF8">
        <w:t xml:space="preserve"> segment (Visual 14 shows 12% higher adoption but no sales lift; test predictive inventory tools).</w:t>
      </w:r>
    </w:p>
    <w:p w14:paraId="00656194" w14:textId="77777777" w:rsidR="003C5055" w:rsidRPr="003C5055" w:rsidRDefault="003C5055" w:rsidP="003C5055">
      <w:pPr>
        <w:pStyle w:val="ListParagraph"/>
        <w:jc w:val="both"/>
        <w:rPr>
          <w:b/>
          <w:bCs/>
        </w:rPr>
      </w:pPr>
    </w:p>
    <w:p w14:paraId="1453EB19" w14:textId="3070A196" w:rsidR="003C5055" w:rsidRPr="003C5055" w:rsidRDefault="003C5055" w:rsidP="003C5055">
      <w:pPr>
        <w:numPr>
          <w:ilvl w:val="0"/>
          <w:numId w:val="7"/>
        </w:numPr>
        <w:spacing w:line="256" w:lineRule="auto"/>
        <w:rPr>
          <w:b/>
          <w:bCs/>
        </w:rPr>
      </w:pPr>
      <w:r>
        <w:rPr>
          <w:b/>
          <w:bCs/>
        </w:rPr>
        <w:t>Promote Sustainability:</w:t>
      </w:r>
      <w:r>
        <w:rPr>
          <w:b/>
          <w:bCs/>
        </w:rPr>
        <w:t xml:space="preserve"> </w:t>
      </w:r>
      <w:r w:rsidRPr="003C5055">
        <w:t>Increase eco-friendly packaging and reduce carbon footprint.</w:t>
      </w:r>
    </w:p>
    <w:p w14:paraId="3A3D5A8B" w14:textId="77777777" w:rsidR="003C5055" w:rsidRPr="00670EF8" w:rsidRDefault="003C5055" w:rsidP="003C5055">
      <w:pPr>
        <w:pStyle w:val="ListParagraph"/>
        <w:jc w:val="both"/>
        <w:rPr>
          <w:b/>
          <w:bCs/>
        </w:rPr>
      </w:pPr>
    </w:p>
    <w:p w14:paraId="613B4FEC" w14:textId="1AE8AFE9" w:rsidR="0015350E" w:rsidRPr="00670EF8" w:rsidRDefault="0015350E" w:rsidP="00670EF8">
      <w:pPr>
        <w:pStyle w:val="ListParagraph"/>
        <w:rPr>
          <w:b/>
          <w:bCs/>
        </w:rPr>
      </w:pPr>
    </w:p>
    <w:p w14:paraId="3B760300" w14:textId="63012372" w:rsidR="0015350E" w:rsidRPr="0015350E" w:rsidRDefault="0015350E" w:rsidP="00923B0A">
      <w:pPr>
        <w:pStyle w:val="Heading1"/>
      </w:pPr>
      <w:r w:rsidRPr="0015350E">
        <w:t>Conclusion</w:t>
      </w:r>
    </w:p>
    <w:p w14:paraId="78C31826" w14:textId="06E79E17" w:rsidR="00670EF8" w:rsidRDefault="009E5821" w:rsidP="009E5821">
      <w:pPr>
        <w:jc w:val="both"/>
      </w:pPr>
      <w:r>
        <w:t>Finally,</w:t>
      </w:r>
      <w:r w:rsidR="00670EF8">
        <w:t xml:space="preserve"> we can conclude that this logistics data analysis helps us underscore urgent gaps</w:t>
      </w:r>
      <w:r>
        <w:t xml:space="preserve"> such as </w:t>
      </w:r>
      <w:r w:rsidRPr="009E5821">
        <w:t>delivery delays cost $1.2M/year in lost repeat business</w:t>
      </w:r>
      <w:r>
        <w:t xml:space="preserve">, </w:t>
      </w:r>
      <w:r w:rsidRPr="009E5821">
        <w:t>while Europe’s high spending ($179.89/customer) justifies premium service tiers</w:t>
      </w:r>
      <w:r>
        <w:t>. By prioritizing geospatial fixes (Mexican compliance, African business partnerships, etc.) over blanket AI investments will result in measurable ROI. Further analysis can be done by correlating urbanization with digital adoption rates.</w:t>
      </w:r>
    </w:p>
    <w:p w14:paraId="63F019A5" w14:textId="08F6A275" w:rsidR="0015350E" w:rsidRPr="0015350E" w:rsidRDefault="00000000" w:rsidP="0015350E">
      <w:pPr>
        <w:rPr>
          <w:b/>
          <w:bCs/>
        </w:rPr>
      </w:pPr>
      <w:r>
        <w:rPr>
          <w:b/>
          <w:bCs/>
        </w:rPr>
        <w:pict w14:anchorId="3944384E">
          <v:rect id="_x0000_i1033" style="width:0;height:1.5pt" o:hralign="center" o:hrstd="t" o:hr="t" fillcolor="#a0a0a0" stroked="f"/>
        </w:pict>
      </w:r>
    </w:p>
    <w:p w14:paraId="7D0666B6" w14:textId="6CC9946F" w:rsidR="009E5821" w:rsidRDefault="0015350E" w:rsidP="00B42BA3">
      <w:pPr>
        <w:pStyle w:val="Heading1"/>
        <w:jc w:val="both"/>
      </w:pPr>
      <w:r w:rsidRPr="0015350E">
        <w:t>References</w:t>
      </w:r>
    </w:p>
    <w:p w14:paraId="799F4B06" w14:textId="77777777" w:rsidR="009E5821" w:rsidRDefault="009E5821" w:rsidP="00B42BA3">
      <w:pPr>
        <w:pStyle w:val="ListParagraph"/>
        <w:numPr>
          <w:ilvl w:val="0"/>
          <w:numId w:val="8"/>
        </w:numPr>
        <w:jc w:val="both"/>
      </w:pPr>
      <w:r w:rsidRPr="00230B49">
        <w:t xml:space="preserve">World Trade Organization. (n.d.). </w:t>
      </w:r>
      <w:r w:rsidRPr="00230B49">
        <w:rPr>
          <w:i/>
          <w:iCs/>
        </w:rPr>
        <w:t>Trade policies &amp; tariffs impact on logistics operations</w:t>
      </w:r>
      <w:r w:rsidRPr="00230B49">
        <w:t xml:space="preserve">. Retrieved from </w:t>
      </w:r>
      <w:hyperlink r:id="rId27" w:tgtFrame="_new" w:history="1">
        <w:r w:rsidRPr="00230B49">
          <w:rPr>
            <w:rStyle w:val="Hyperlink"/>
          </w:rPr>
          <w:t>https://www.wto.org</w:t>
        </w:r>
      </w:hyperlink>
    </w:p>
    <w:p w14:paraId="6F0E2F92" w14:textId="77777777" w:rsidR="009E5821" w:rsidRDefault="009E5821" w:rsidP="00B42BA3">
      <w:pPr>
        <w:pStyle w:val="ListParagraph"/>
        <w:numPr>
          <w:ilvl w:val="0"/>
          <w:numId w:val="8"/>
        </w:numPr>
        <w:jc w:val="both"/>
      </w:pPr>
      <w:r w:rsidRPr="00230B49">
        <w:t xml:space="preserve">Organisation for Economic Co-operation and Development (OECD). (2025). </w:t>
      </w:r>
      <w:r w:rsidRPr="00230B49">
        <w:rPr>
          <w:i/>
          <w:iCs/>
        </w:rPr>
        <w:t>Inflation impact on transportation &amp; logistics industry</w:t>
      </w:r>
      <w:r w:rsidRPr="00230B49">
        <w:t xml:space="preserve">. Retrieved from </w:t>
      </w:r>
      <w:hyperlink r:id="rId28" w:tgtFrame="_new" w:history="1">
        <w:r w:rsidRPr="00230B49">
          <w:rPr>
            <w:rStyle w:val="Hyperlink"/>
          </w:rPr>
          <w:t>https://www.oecd.org</w:t>
        </w:r>
      </w:hyperlink>
    </w:p>
    <w:p w14:paraId="0E43E0C3" w14:textId="77777777" w:rsidR="009E5821" w:rsidRDefault="009E5821" w:rsidP="00B42BA3">
      <w:pPr>
        <w:pStyle w:val="ListParagraph"/>
        <w:numPr>
          <w:ilvl w:val="0"/>
          <w:numId w:val="8"/>
        </w:numPr>
        <w:jc w:val="both"/>
      </w:pPr>
      <w:r w:rsidRPr="00230B49">
        <w:t xml:space="preserve">United Nations. (2025). </w:t>
      </w:r>
      <w:r w:rsidRPr="00230B49">
        <w:rPr>
          <w:i/>
          <w:iCs/>
        </w:rPr>
        <w:t>World urbanization prospects: Implications for transportation &amp; infrastructure</w:t>
      </w:r>
      <w:r w:rsidRPr="00230B49">
        <w:t xml:space="preserve">. Retrieved from </w:t>
      </w:r>
      <w:hyperlink r:id="rId29" w:tgtFrame="_new" w:history="1">
        <w:r w:rsidRPr="00230B49">
          <w:rPr>
            <w:rStyle w:val="Hyperlink"/>
          </w:rPr>
          <w:t>https://population.un.org/wup/</w:t>
        </w:r>
      </w:hyperlink>
    </w:p>
    <w:p w14:paraId="5D1261E5" w14:textId="77777777" w:rsidR="009E5821" w:rsidRDefault="009E5821" w:rsidP="00B42BA3">
      <w:pPr>
        <w:pStyle w:val="ListParagraph"/>
        <w:numPr>
          <w:ilvl w:val="0"/>
          <w:numId w:val="8"/>
        </w:numPr>
        <w:jc w:val="both"/>
      </w:pPr>
      <w:r w:rsidRPr="00230B49">
        <w:t xml:space="preserve">McKinsey &amp; Company. (2024). </w:t>
      </w:r>
      <w:r w:rsidRPr="00230B49">
        <w:rPr>
          <w:i/>
          <w:iCs/>
        </w:rPr>
        <w:t>The rise of AI &amp; automation in supply chain management</w:t>
      </w:r>
      <w:r w:rsidRPr="00230B49">
        <w:t xml:space="preserve">. Retrieved from </w:t>
      </w:r>
      <w:hyperlink r:id="rId30" w:history="1">
        <w:r w:rsidRPr="00050BED">
          <w:rPr>
            <w:rStyle w:val="Hyperlink"/>
          </w:rPr>
          <w:t>https://www.mckinsey.com/industries/travel-logistics-and-infrastructure/our-insights</w:t>
        </w:r>
      </w:hyperlink>
    </w:p>
    <w:p w14:paraId="25426BDB" w14:textId="77777777" w:rsidR="009E5821" w:rsidRPr="00230B49" w:rsidRDefault="009E5821" w:rsidP="00B42BA3">
      <w:pPr>
        <w:pStyle w:val="ListParagraph"/>
        <w:numPr>
          <w:ilvl w:val="0"/>
          <w:numId w:val="8"/>
        </w:numPr>
        <w:jc w:val="both"/>
      </w:pPr>
      <w:r w:rsidRPr="00230B49">
        <w:t xml:space="preserve">World Customs Organization. (2024). </w:t>
      </w:r>
      <w:r w:rsidRPr="00230B49">
        <w:rPr>
          <w:i/>
          <w:iCs/>
        </w:rPr>
        <w:t>Trade regulations &amp; compliance: Effects on cross-border logistics</w:t>
      </w:r>
      <w:r w:rsidRPr="00230B49">
        <w:t xml:space="preserve">. Retrieved from </w:t>
      </w:r>
      <w:hyperlink r:id="rId31" w:tgtFrame="_new" w:history="1">
        <w:r w:rsidRPr="00230B49">
          <w:rPr>
            <w:rStyle w:val="Hyperlink"/>
          </w:rPr>
          <w:t>http://www.wcoomd.org</w:t>
        </w:r>
      </w:hyperlink>
    </w:p>
    <w:p w14:paraId="003065FD" w14:textId="77777777" w:rsidR="009E5821" w:rsidRPr="00230B49" w:rsidRDefault="009E5821" w:rsidP="009E5821"/>
    <w:p w14:paraId="0D14CA94" w14:textId="66AAED37" w:rsidR="0015350E" w:rsidRPr="009E5821" w:rsidRDefault="009E5821" w:rsidP="009E5821">
      <w:pPr>
        <w:rPr>
          <w:lang w:val="en-US"/>
        </w:rPr>
      </w:pPr>
      <w:r w:rsidRPr="00151666">
        <w:rPr>
          <w:b/>
          <w:bCs/>
        </w:rPr>
        <w:t>Data Source Citation:</w:t>
      </w:r>
      <w:r w:rsidRPr="00151666">
        <w:br/>
        <w:t xml:space="preserve">Kamboj, P. (n.d.). </w:t>
      </w:r>
      <w:r w:rsidRPr="00151666">
        <w:rPr>
          <w:i/>
          <w:iCs/>
        </w:rPr>
        <w:t>Logistics Data Containing Real World Data</w:t>
      </w:r>
      <w:r w:rsidRPr="00151666">
        <w:t>. Kaggle.</w:t>
      </w:r>
      <w:r w:rsidRPr="00151666">
        <w:br/>
      </w:r>
      <w:r w:rsidRPr="00151666">
        <w:lastRenderedPageBreak/>
        <w:t xml:space="preserve">Retrieved from </w:t>
      </w:r>
      <w:hyperlink r:id="rId32" w:tgtFrame="_new" w:history="1">
        <w:r w:rsidRPr="00151666">
          <w:rPr>
            <w:rStyle w:val="Hyperlink"/>
          </w:rPr>
          <w:t>https://www.kaggle.com/datasets/pushpitkamboj/logistics-data-containing-real-world-data</w:t>
        </w:r>
      </w:hyperlink>
    </w:p>
    <w:p w14:paraId="04A3264C" w14:textId="465B3F6E" w:rsidR="00E30A60" w:rsidRPr="009E5821" w:rsidRDefault="00000000" w:rsidP="0015350E">
      <w:pPr>
        <w:rPr>
          <w:b/>
          <w:bCs/>
        </w:rPr>
      </w:pPr>
      <w:r>
        <w:rPr>
          <w:b/>
          <w:bCs/>
        </w:rPr>
        <w:pict w14:anchorId="0930DECF">
          <v:rect id="_x0000_i1034" style="width:0;height:1.5pt" o:hralign="center" o:hrstd="t" o:hr="t" fillcolor="#a0a0a0" stroked="f"/>
        </w:pict>
      </w:r>
    </w:p>
    <w:sectPr w:rsidR="00E30A60" w:rsidRPr="009E5821" w:rsidSect="00B42BA3">
      <w:footerReference w:type="default" r:id="rId3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E8F72" w14:textId="77777777" w:rsidR="00063314" w:rsidRDefault="00063314" w:rsidP="00B42BA3">
      <w:pPr>
        <w:spacing w:after="0" w:line="240" w:lineRule="auto"/>
      </w:pPr>
      <w:r>
        <w:separator/>
      </w:r>
    </w:p>
  </w:endnote>
  <w:endnote w:type="continuationSeparator" w:id="0">
    <w:p w14:paraId="68CCC758" w14:textId="77777777" w:rsidR="00063314" w:rsidRDefault="00063314" w:rsidP="00B42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55232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15329D" w14:textId="67B2DE4B" w:rsidR="00B42BA3" w:rsidRDefault="00B42BA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5357B6" w14:textId="77777777" w:rsidR="00B42BA3" w:rsidRDefault="00B42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8DD81" w14:textId="77777777" w:rsidR="00063314" w:rsidRDefault="00063314" w:rsidP="00B42BA3">
      <w:pPr>
        <w:spacing w:after="0" w:line="240" w:lineRule="auto"/>
      </w:pPr>
      <w:r>
        <w:separator/>
      </w:r>
    </w:p>
  </w:footnote>
  <w:footnote w:type="continuationSeparator" w:id="0">
    <w:p w14:paraId="7B95DDA7" w14:textId="77777777" w:rsidR="00063314" w:rsidRDefault="00063314" w:rsidP="00B42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80691"/>
    <w:multiLevelType w:val="multilevel"/>
    <w:tmpl w:val="322E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B3914"/>
    <w:multiLevelType w:val="multilevel"/>
    <w:tmpl w:val="CC0A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A3850"/>
    <w:multiLevelType w:val="multilevel"/>
    <w:tmpl w:val="0D28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A570E"/>
    <w:multiLevelType w:val="multilevel"/>
    <w:tmpl w:val="1C8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D6C4F"/>
    <w:multiLevelType w:val="multilevel"/>
    <w:tmpl w:val="B37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5551D"/>
    <w:multiLevelType w:val="multilevel"/>
    <w:tmpl w:val="1C6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71083"/>
    <w:multiLevelType w:val="hybridMultilevel"/>
    <w:tmpl w:val="325E92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A29B7"/>
    <w:multiLevelType w:val="hybridMultilevel"/>
    <w:tmpl w:val="077A3D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945040">
    <w:abstractNumId w:val="5"/>
  </w:num>
  <w:num w:numId="2" w16cid:durableId="846946274">
    <w:abstractNumId w:val="1"/>
  </w:num>
  <w:num w:numId="3" w16cid:durableId="1486705535">
    <w:abstractNumId w:val="0"/>
  </w:num>
  <w:num w:numId="4" w16cid:durableId="1802184171">
    <w:abstractNumId w:val="3"/>
  </w:num>
  <w:num w:numId="5" w16cid:durableId="129904800">
    <w:abstractNumId w:val="4"/>
  </w:num>
  <w:num w:numId="6" w16cid:durableId="2122918851">
    <w:abstractNumId w:val="2"/>
  </w:num>
  <w:num w:numId="7" w16cid:durableId="1028867789">
    <w:abstractNumId w:val="6"/>
  </w:num>
  <w:num w:numId="8" w16cid:durableId="1445539879">
    <w:abstractNumId w:val="7"/>
  </w:num>
  <w:num w:numId="9" w16cid:durableId="92125373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0E"/>
    <w:rsid w:val="00063314"/>
    <w:rsid w:val="0015350E"/>
    <w:rsid w:val="002A5128"/>
    <w:rsid w:val="00304FE8"/>
    <w:rsid w:val="003C5055"/>
    <w:rsid w:val="00670EF8"/>
    <w:rsid w:val="006A262A"/>
    <w:rsid w:val="006C28D0"/>
    <w:rsid w:val="007A1136"/>
    <w:rsid w:val="008318F3"/>
    <w:rsid w:val="00856680"/>
    <w:rsid w:val="00923B0A"/>
    <w:rsid w:val="009811E0"/>
    <w:rsid w:val="009E5821"/>
    <w:rsid w:val="00B42BA3"/>
    <w:rsid w:val="00B61817"/>
    <w:rsid w:val="00B916D8"/>
    <w:rsid w:val="00C454F2"/>
    <w:rsid w:val="00E30A60"/>
    <w:rsid w:val="00F6559F"/>
    <w:rsid w:val="00F8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DC56"/>
  <w15:chartTrackingRefBased/>
  <w15:docId w15:val="{B28C7D21-0B4D-4DB8-BD36-8341FD3E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3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3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3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5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6680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A51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582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2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BA3"/>
  </w:style>
  <w:style w:type="paragraph" w:styleId="Footer">
    <w:name w:val="footer"/>
    <w:basedOn w:val="Normal"/>
    <w:link w:val="FooterChar"/>
    <w:uiPriority w:val="99"/>
    <w:unhideWhenUsed/>
    <w:rsid w:val="00B42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opulation.un.org/wu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kaggle.com/datasets/pushpitkamboj/logistics-data-containing-real-world-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oecd.or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wcoomd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wto.org" TargetMode="External"/><Relationship Id="rId30" Type="http://schemas.openxmlformats.org/officeDocument/2006/relationships/hyperlink" Target="https://www.mckinsey.com/industries/travel-logistics-and-infrastructure/our-insights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97AC9-C352-45A7-9928-3EBB358EF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Nileshbhai Patel</dc:creator>
  <cp:keywords/>
  <dc:description/>
  <cp:lastModifiedBy>Harsh Bharat Patel</cp:lastModifiedBy>
  <cp:revision>4</cp:revision>
  <dcterms:created xsi:type="dcterms:W3CDTF">2025-03-27T02:52:00Z</dcterms:created>
  <dcterms:modified xsi:type="dcterms:W3CDTF">2025-03-27T03:37:00Z</dcterms:modified>
</cp:coreProperties>
</file>