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4470"/>
        <w:gridCol w:w="6765"/>
        <w:tblGridChange w:id="0">
          <w:tblGrid>
            <w:gridCol w:w="3090"/>
            <w:gridCol w:w="4470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2806.62109375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del contraste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rtl w:val="0"/>
              </w:rPr>
              <w:t xml:space="preserve">Principio perceptual y psicológico que establece que los elementos se perciben mejor y de forma más clara cuando existe una diferencia significativa entre ellos y su entorno, o entre sí mismos</w:t>
            </w: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62891" cy="1535809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891" cy="1535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Jerarquización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</w:t>
            </w:r>
            <w:r w:rsidDel="00000000" w:rsidR="00000000" w:rsidRPr="00000000">
              <w:rPr>
                <w:color w:val="001d35"/>
                <w:rtl w:val="0"/>
              </w:rPr>
              <w:t xml:space="preserve">el principio de jerarquía visual, que organiza los elementos de una página según su importancia para guiar al usuario, mejorar la usabilidad y hacer que el contenido sea más fácil de entender y atractivo</w:t>
            </w: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83180" cy="744204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80" cy="7442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6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Birkhoff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rtl w:val="0"/>
              </w:rPr>
              <w:t xml:space="preserve">Significa que se prefieren composiciones equilibradas, organizadas y con un patrón reconocible, utilizando el espacio en blanco para crear jerarquías visuales y facilitar la interpretación por parte del usuario</w:t>
            </w: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54557" cy="1761556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557" cy="17615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memoria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del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</w:t>
            </w: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tendencia del cerebro humano a percibir formas incompletas como completas, rellenando automáticamente los espacios vacíos para formar una figura coherente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781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6.62109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la continuidad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Es la postulación que el ojo humano tiende a seguir una dirección o camino visual para percibir elementos conectados como un todo, incluso si hay interrupciones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99299" cy="2205038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299" cy="2205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6.62109374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la proximidad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color w:val="001d35"/>
                <w:rtl w:val="0"/>
              </w:rPr>
              <w:t xml:space="preserve">stablece que los elementos cercanos entre sí se perciben como un grupo, y esta agrupación crea relaciones visuales y orden en la interfaz, mejorando la usabilidad y la comprensión</w:t>
            </w: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37689" cy="2205038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689" cy="2205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6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la simetría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color w:val="001d35"/>
                <w:rtl w:val="0"/>
              </w:rPr>
              <w:t xml:space="preserve">stablece que tendemos a percibir elementos simétricos como parte de un mismo grupo, transmitiendo estabilidad, orden y armonía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4006" cy="1757363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006" cy="1757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la semejanza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Establece que la mente agrupa automáticamente elementos que comparten características visuales similares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del movimiento común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Se usa para guiar al usuario, crear cohesión y sentido de flujo, y hacer las interfaces más dinámicas y fáciles de entender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62425" cy="39116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invariancia topológica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Es cuando los usuarios pueden reconocer y entender un componente visual (como un botón o un logo) incluso si se ve ligeramente diferente debido a la responsividad de la pantalla o pequeños cambios, ya que la forma principal permanece inalterada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76500" cy="8001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 de enmascaramiento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Se  aplica al diseño web para que la mente complete formas o figuras incompletas.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62865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