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Informativa: Informa de las opciones de la asignatura.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4095750" cy="65722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657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Informativa: Cumplen con la normativa legal de informar visualmente sobre qué entidad financia el servicio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3352800" cy="97155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971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8f9fa" w:val="clear"/>
        <w:ind w:left="0" w:firstLine="0"/>
        <w:rPr>
          <w:color w:val="1d2125"/>
          <w:sz w:val="23"/>
          <w:szCs w:val="23"/>
        </w:rPr>
      </w:pPr>
      <w:r w:rsidDel="00000000" w:rsidR="00000000" w:rsidRPr="00000000">
        <w:rPr>
          <w:color w:val="1d2125"/>
          <w:sz w:val="23"/>
          <w:szCs w:val="23"/>
          <w:rtl w:val="0"/>
        </w:rPr>
        <w:t xml:space="preserve">Informativa: Anticipan al usuario el tipo de archivo que va a abrir o descargar antes de leer el texto.</w:t>
      </w:r>
    </w:p>
    <w:p w:rsidR="00000000" w:rsidDel="00000000" w:rsidP="00000000" w:rsidRDefault="00000000" w:rsidRPr="00000000" w14:paraId="0000000A">
      <w:pPr>
        <w:shd w:fill="f8f9fa" w:val="clear"/>
        <w:ind w:left="0" w:firstLine="0"/>
        <w:rPr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8f9fa" w:val="clear"/>
        <w:ind w:left="0" w:firstLine="0"/>
        <w:rPr>
          <w:color w:val="1d2125"/>
          <w:sz w:val="23"/>
          <w:szCs w:val="23"/>
        </w:rPr>
      </w:pPr>
      <w:r w:rsidDel="00000000" w:rsidR="00000000" w:rsidRPr="00000000">
        <w:rPr>
          <w:color w:val="1d2125"/>
          <w:sz w:val="23"/>
          <w:szCs w:val="23"/>
        </w:rPr>
        <w:drawing>
          <wp:inline distB="114300" distT="114300" distL="114300" distR="114300">
            <wp:extent cx="361950" cy="1762125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1762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8f9fa" w:val="clear"/>
        <w:ind w:left="0" w:firstLine="0"/>
        <w:rPr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8f9fa" w:val="clear"/>
        <w:ind w:left="720" w:hanging="360"/>
      </w:pPr>
      <w:r w:rsidDel="00000000" w:rsidR="00000000" w:rsidRPr="00000000">
        <w:rPr>
          <w:color w:val="1d2125"/>
          <w:sz w:val="23"/>
          <w:szCs w:val="23"/>
          <w:rtl w:val="0"/>
        </w:rPr>
        <w:t xml:space="preserve">Decorativa: Suaviza el aspecto técnico del formulario de acceso aportando estética, sin añadir datos relevantes.</w:t>
      </w:r>
    </w:p>
    <w:p w:rsidR="00000000" w:rsidDel="00000000" w:rsidP="00000000" w:rsidRDefault="00000000" w:rsidRPr="00000000" w14:paraId="0000000E">
      <w:pPr>
        <w:shd w:fill="f8f9fa" w:val="clear"/>
        <w:ind w:left="720" w:firstLine="0"/>
        <w:rPr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8f9fa" w:val="clear"/>
        <w:ind w:left="0" w:firstLine="0"/>
        <w:rPr>
          <w:color w:val="1d2125"/>
          <w:sz w:val="23"/>
          <w:szCs w:val="23"/>
        </w:rPr>
      </w:pPr>
      <w:r w:rsidDel="00000000" w:rsidR="00000000" w:rsidRPr="00000000">
        <w:rPr>
          <w:color w:val="1d2125"/>
          <w:sz w:val="23"/>
          <w:szCs w:val="23"/>
        </w:rPr>
        <w:drawing>
          <wp:inline distB="114300" distT="114300" distL="114300" distR="114300">
            <wp:extent cx="5731200" cy="23622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8f9fa" w:val="clear"/>
        <w:ind w:left="0" w:firstLine="0"/>
        <w:rPr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hd w:fill="f8f9fa" w:val="clear"/>
        <w:ind w:left="720" w:hanging="360"/>
      </w:pPr>
      <w:r w:rsidDel="00000000" w:rsidR="00000000" w:rsidRPr="00000000">
        <w:rPr>
          <w:color w:val="1d2125"/>
          <w:sz w:val="23"/>
          <w:szCs w:val="23"/>
          <w:rtl w:val="0"/>
        </w:rPr>
        <w:t xml:space="preserve">Interactiva: Funcionan como botones de navegación rápida para redirigir a la pagina que seleccione.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4095750" cy="657225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657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La flecha nos permite abrir o cerrar el indice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676275" cy="123825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1238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Identidad visual: Reconoce la marca registrada del software sobre el que se construye la plataforma.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628775" cy="733425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733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2125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2125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3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