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9.23863650589"/>
        <w:gridCol w:w="2157.1308038005586"/>
        <w:gridCol w:w="5529.142370717174"/>
        <w:tblGridChange w:id="0">
          <w:tblGrid>
            <w:gridCol w:w="1339.23863650589"/>
            <w:gridCol w:w="2157.1308038005586"/>
            <w:gridCol w:w="5529.14237071717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del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 de Calidad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JPG (10%)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14KB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Baja:</w:t>
            </w:r>
            <w:r w:rsidDel="00000000" w:rsidR="00000000" w:rsidRPr="00000000">
              <w:rPr>
                <w:rtl w:val="0"/>
              </w:rPr>
              <w:t xml:space="preserve"> Píxeles muy visibles, pérdida de texturas finas.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JPG (50%)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45KB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Media:</w:t>
            </w:r>
            <w:r w:rsidDel="00000000" w:rsidR="00000000" w:rsidRPr="00000000">
              <w:rPr>
                <w:rtl w:val="0"/>
              </w:rPr>
              <w:t xml:space="preserve"> Tiene una calidad aceptable con ligeros artefactos en los bordes.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JPG (90%)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100KB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Alta:</w:t>
            </w:r>
            <w:r w:rsidDel="00000000" w:rsidR="00000000" w:rsidRPr="00000000">
              <w:rPr>
                <w:rtl w:val="0"/>
              </w:rPr>
              <w:t xml:space="preserve"> Prácticamente igual que la original.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481KB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Perfecta:</w:t>
            </w:r>
            <w:r w:rsidDel="00000000" w:rsidR="00000000" w:rsidRPr="00000000">
              <w:rPr>
                <w:rtl w:val="0"/>
              </w:rPr>
              <w:t xml:space="preserve"> Sin pérdida, mantiene la misma calidad.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79KB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Excelente:</w:t>
            </w:r>
            <w:r w:rsidDel="00000000" w:rsidR="00000000" w:rsidRPr="00000000">
              <w:rPr>
                <w:rtl w:val="0"/>
              </w:rPr>
              <w:t xml:space="preserve"> Mejor relación calidad-peso que el JPG y PNG.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131KB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Limitada:</w:t>
            </w:r>
            <w:r w:rsidDel="00000000" w:rsidR="00000000" w:rsidRPr="00000000">
              <w:rPr>
                <w:rtl w:val="0"/>
              </w:rPr>
              <w:t xml:space="preserve"> Colores planos, pérdida severa de degradados.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487KB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