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BB18" w14:textId="7F540793" w:rsidR="00EA6607" w:rsidRDefault="00000000">
      <w:pPr>
        <w:spacing w:before="200" w:after="40"/>
        <w:jc w:val="center"/>
      </w:pPr>
      <w:r>
        <w:rPr>
          <w:b/>
          <w:bCs/>
          <w:color w:val="1F3864"/>
          <w:sz w:val="48"/>
          <w:szCs w:val="48"/>
        </w:rPr>
        <w:t>Eco-</w:t>
      </w:r>
      <w:proofErr w:type="spellStart"/>
      <w:r>
        <w:rPr>
          <w:b/>
          <w:bCs/>
          <w:color w:val="1F3864"/>
          <w:sz w:val="48"/>
          <w:szCs w:val="48"/>
        </w:rPr>
        <w:t>Dysformer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</w:p>
    <w:p w14:paraId="29CB4AB5" w14:textId="77777777" w:rsidR="00EA6607" w:rsidRDefault="00000000"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>A Lightweight, Linear-Complexity Transformer for Explainable Dyslexia Screening via Paired Gaze–Linguistic Biomarkers</w:t>
      </w:r>
    </w:p>
    <w:p w14:paraId="76FDC410" w14:textId="77777777" w:rsidR="00EA6607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Progress Report</w:t>
      </w:r>
    </w:p>
    <w:p w14:paraId="00579081" w14:textId="77777777" w:rsidR="00EA6607" w:rsidRDefault="00000000">
      <w:pPr>
        <w:spacing w:after="200"/>
        <w:jc w:val="center"/>
      </w:pPr>
      <w:r>
        <w:rPr>
          <w:color w:val="595959"/>
          <w:sz w:val="20"/>
          <w:szCs w:val="20"/>
        </w:rPr>
        <w:t>For guide review · July 2026 · Stage 1 complete, hardened &amp; validated (final 10-fold Kaggle run)</w:t>
      </w:r>
    </w:p>
    <w:p w14:paraId="3A4F4D8D" w14:textId="77777777" w:rsidR="00EA6607" w:rsidRDefault="00EA6607">
      <w:pPr>
        <w:pBdr>
          <w:bottom w:val="single" w:sz="12" w:space="1" w:color="1F3864"/>
        </w:pBdr>
        <w:spacing w:after="160"/>
      </w:pPr>
    </w:p>
    <w:p w14:paraId="0F5EE5E8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1.  Executive Summary</w:t>
      </w:r>
    </w:p>
    <w:p w14:paraId="46A6A250" w14:textId="63D883D1" w:rsidR="00EA6607" w:rsidRDefault="00000000">
      <w:pPr>
        <w:spacing w:after="120" w:line="276" w:lineRule="auto"/>
      </w:pPr>
      <w:r>
        <w:t>Eco-</w:t>
      </w:r>
      <w:proofErr w:type="spellStart"/>
      <w:proofErr w:type="gramStart"/>
      <w:r>
        <w:t>Dysformer</w:t>
      </w:r>
      <w:proofErr w:type="spellEnd"/>
      <w:r>
        <w:t xml:space="preserve">  is</w:t>
      </w:r>
      <w:proofErr w:type="gramEnd"/>
      <w:r>
        <w:t xml:space="preserve"> a rigorous, reproducible study of automated dyslexia screening from eye-tracking, built on the public ETDD70 dataset (70 Czech schoolchildren). Unlike accuracy-chasing prior work, it deliberately treats methodological honesty and compute-efficiency as first-class objectives.</w:t>
      </w:r>
    </w:p>
    <w:p w14:paraId="01ADB746" w14:textId="77777777" w:rsidR="00EA6607" w:rsidRDefault="00000000">
      <w:pPr>
        <w:spacing w:after="120" w:line="276" w:lineRule="auto"/>
      </w:pPr>
      <w:r>
        <w:t xml:space="preserve">The Stage-1 core is fully implemented, executed on a free-tier Kaggle T4 GPU, independently hardened, and validated; the complete result set is archived in the repository (stage1_outputs/). In brief: a linear-attention (Performer) model matches a parameter-matched quadratic-attention baseline on both accuracy and AUROC while decisively overtaking it in speed and memory on longer sequences; explicitly conditioning on linguistic complexity yields a broad, statistically significant descriptive </w:t>
      </w:r>
      <w:proofErr w:type="spellStart"/>
      <w:r>
        <w:t>gaze×complexity</w:t>
      </w:r>
      <w:proofErr w:type="spellEnd"/>
      <w:r>
        <w:t xml:space="preserve"> interaction but no classification gain (an honest, well-controlled null); and the model's explanations align with literature-documented oculomotor biomarkers. Stage 1 already constitutes a complete, submittable short paper.</w:t>
      </w:r>
    </w:p>
    <w:p w14:paraId="005CB49A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2.  Project Overview &amp; Motivation</w:t>
      </w:r>
    </w:p>
    <w:p w14:paraId="7F8925F3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problem. </w:t>
      </w:r>
      <w:r>
        <w:t>Dyslexia screening is resource-intensive, often subjective, and highly language-specific.</w:t>
      </w:r>
    </w:p>
    <w:p w14:paraId="4B81E058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dataset's key asset. </w:t>
      </w:r>
      <w:r>
        <w:t xml:space="preserve">In ETDD70 every child reads three passages of increasing linguistic complexity (a syllable matrix → a narrative story → a pseudo-text). Gaze behaviour and text complexity are therefore genuinely paired within each child — a rare, leakage-free multimodal signal most prior work </w:t>
      </w:r>
      <w:proofErr w:type="gramStart"/>
      <w:r>
        <w:t>lacks</w:t>
      </w:r>
      <w:proofErr w:type="gramEnd"/>
      <w:r>
        <w:t>.</w:t>
      </w:r>
    </w:p>
    <w:p w14:paraId="50887067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“Eco” framing. </w:t>
      </w:r>
      <w:r>
        <w:t>Parameter count, GPU memory and inference latency are primary reported outcomes (in the spirit of “Green AI”).</w:t>
      </w:r>
    </w:p>
    <w:p w14:paraId="1D4CF07E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Positioning. </w:t>
      </w:r>
      <w:r>
        <w:t>A methodological response to recent multimodal dyslexia papers that fuse features from entirely disjoint cohorts — an approach whose accuracy is hard to trust.</w:t>
      </w:r>
    </w:p>
    <w:p w14:paraId="2BB2D9C8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3.  Research Questions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820"/>
        <w:gridCol w:w="1500"/>
      </w:tblGrid>
      <w:tr w:rsidR="00EA6607" w14:paraId="1ACA9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9967E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RQ</w:t>
            </w:r>
          </w:p>
        </w:tc>
        <w:tc>
          <w:tcPr>
            <w:tcW w:w="6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F022B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2ED68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A6607" w14:paraId="29E116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B2DB1" w14:textId="77777777" w:rsidR="00EA6607" w:rsidRDefault="00000000">
            <w:r>
              <w:rPr>
                <w:sz w:val="18"/>
                <w:szCs w:val="18"/>
              </w:rPr>
              <w:t>RQ1</w:t>
            </w:r>
          </w:p>
        </w:tc>
        <w:tc>
          <w:tcPr>
            <w:tcW w:w="68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4D5AF" w14:textId="77777777" w:rsidR="00EA6607" w:rsidRDefault="00000000">
            <w:r>
              <w:rPr>
                <w:sz w:val="18"/>
                <w:szCs w:val="18"/>
              </w:rPr>
              <w:t>Can linear-complexity (Performer) attention match/exceed a parameter-matched quadratic baseline on engineered gaze &amp; linguistic features, under nested CV + significance testing?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9A7A" w14:textId="77777777" w:rsidR="00EA6607" w:rsidRDefault="00000000">
            <w:r>
              <w:rPr>
                <w:sz w:val="18"/>
                <w:szCs w:val="18"/>
              </w:rPr>
              <w:t>Done</w:t>
            </w:r>
          </w:p>
        </w:tc>
      </w:tr>
      <w:tr w:rsidR="00EA6607" w14:paraId="1F4C57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8568F" w14:textId="77777777" w:rsidR="00EA6607" w:rsidRDefault="00000000">
            <w:r>
              <w:rPr>
                <w:sz w:val="18"/>
                <w:szCs w:val="18"/>
              </w:rPr>
              <w:t>RQ2</w:t>
            </w:r>
          </w:p>
        </w:tc>
        <w:tc>
          <w:tcPr>
            <w:tcW w:w="68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D78AE" w14:textId="77777777" w:rsidR="00EA6607" w:rsidRDefault="00000000">
            <w:r>
              <w:rPr>
                <w:sz w:val="18"/>
                <w:szCs w:val="18"/>
              </w:rPr>
              <w:t>Does gaze shift differentially between dyslexic and typical readers as complexity rises, and does complexity-conditioning beat a complexity-blind gaze-only baseline?</w:t>
            </w:r>
          </w:p>
        </w:tc>
        <w:tc>
          <w:tcPr>
            <w:tcW w:w="1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B5EAF" w14:textId="77777777" w:rsidR="00EA6607" w:rsidRDefault="00000000">
            <w:r>
              <w:rPr>
                <w:sz w:val="18"/>
                <w:szCs w:val="18"/>
              </w:rPr>
              <w:t>Done</w:t>
            </w:r>
          </w:p>
        </w:tc>
      </w:tr>
      <w:tr w:rsidR="00EA6607" w14:paraId="20B47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9D536" w14:textId="77777777" w:rsidR="00EA6607" w:rsidRDefault="00000000">
            <w:r>
              <w:rPr>
                <w:sz w:val="18"/>
                <w:szCs w:val="18"/>
              </w:rPr>
              <w:t>RQ3</w:t>
            </w:r>
          </w:p>
        </w:tc>
        <w:tc>
          <w:tcPr>
            <w:tcW w:w="68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554C8" w14:textId="77777777" w:rsidR="00EA6607" w:rsidRDefault="00000000">
            <w:r>
              <w:rPr>
                <w:sz w:val="18"/>
                <w:szCs w:val="18"/>
              </w:rPr>
              <w:t>Naive vs honest multimodal fusion: how much apparent gain from disjoint-cohort (handwriting) fusion survives an honest, calibrated treatment?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2402A" w14:textId="77777777" w:rsidR="00EA6607" w:rsidRDefault="00000000">
            <w:r>
              <w:rPr>
                <w:sz w:val="18"/>
                <w:szCs w:val="18"/>
              </w:rPr>
              <w:t>Stage 2</w:t>
            </w:r>
          </w:p>
        </w:tc>
      </w:tr>
      <w:tr w:rsidR="00EA6607" w14:paraId="29A36A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F62C" w14:textId="77777777" w:rsidR="00EA6607" w:rsidRDefault="00000000">
            <w:r>
              <w:rPr>
                <w:sz w:val="18"/>
                <w:szCs w:val="18"/>
              </w:rPr>
              <w:t>RQ4</w:t>
            </w:r>
          </w:p>
        </w:tc>
        <w:tc>
          <w:tcPr>
            <w:tcW w:w="68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3C7A8" w14:textId="77777777" w:rsidR="00EA6607" w:rsidRDefault="00000000">
            <w:r>
              <w:rPr>
                <w:sz w:val="18"/>
                <w:szCs w:val="18"/>
              </w:rPr>
              <w:t>Do LIME + attention explanations on original (non-PCA) features align with literature-documented dyslexia biomarkers?</w:t>
            </w:r>
          </w:p>
        </w:tc>
        <w:tc>
          <w:tcPr>
            <w:tcW w:w="1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F516C" w14:textId="77777777" w:rsidR="00EA6607" w:rsidRDefault="00000000">
            <w:r>
              <w:rPr>
                <w:sz w:val="18"/>
                <w:szCs w:val="18"/>
              </w:rPr>
              <w:t>Done</w:t>
            </w:r>
          </w:p>
        </w:tc>
      </w:tr>
    </w:tbl>
    <w:p w14:paraId="6810D98F" w14:textId="77777777" w:rsidR="005D08E3" w:rsidRDefault="005D08E3">
      <w:pPr>
        <w:pStyle w:val="Heading1"/>
        <w:spacing w:before="300" w:after="140"/>
        <w:rPr>
          <w:b/>
          <w:bCs/>
          <w:color w:val="1F3864"/>
          <w:sz w:val="28"/>
          <w:szCs w:val="28"/>
        </w:rPr>
      </w:pPr>
    </w:p>
    <w:p w14:paraId="1C474426" w14:textId="77777777" w:rsidR="005D08E3" w:rsidRDefault="005D08E3">
      <w:pPr>
        <w:pStyle w:val="Heading1"/>
        <w:spacing w:before="300" w:after="140"/>
        <w:rPr>
          <w:b/>
          <w:bCs/>
          <w:color w:val="1F3864"/>
          <w:sz w:val="28"/>
          <w:szCs w:val="28"/>
        </w:rPr>
      </w:pPr>
    </w:p>
    <w:p w14:paraId="7D37FC9E" w14:textId="69772EB2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lastRenderedPageBreak/>
        <w:t>4.  Dataset</w:t>
      </w:r>
    </w:p>
    <w:p w14:paraId="67E32BBD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t>ETDD70: 70 Czech children (35 dyslexic / 35 typical), ages 9–10; balanced, clinician-labelled.</w:t>
      </w:r>
    </w:p>
    <w:p w14:paraId="1111D2B2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t>Per child: 3 passages × 4 file types (raw 250 Hz gaze, fixations, saccades, trial metrics) = 840 files; structure verified programmatically before any parsing.</w:t>
      </w:r>
    </w:p>
    <w:p w14:paraId="73CCB2C1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passages genuinely differ in complexity. </w:t>
      </w:r>
      <w:r>
        <w:t>Mean word-frequency (Zipf) is 4.85 for the narrative, 3.50 for the syllable matrix, and 1.26 for the pseudo-text; syntactic depth and lexical density track the same gradient.</w:t>
      </w:r>
    </w:p>
    <w:p w14:paraId="0EF289E1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Honest data properties (stated up front). </w:t>
      </w:r>
      <w:r>
        <w:t>There are only 3 distinct stimuli, so the linguistic features are passage-level constants — a conditioning signal, not per-child discriminators. Regression counts are defined transparently and cross-checked against the dataset's own values (1260 / 1260 comparisons agree within 2%).</w:t>
      </w:r>
    </w:p>
    <w:p w14:paraId="09A048A5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5.  Work Completed — Stage 1 (Core)</w:t>
      </w:r>
    </w:p>
    <w:p w14:paraId="650F957D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Inspect-first data pipeline </w:t>
      </w:r>
      <w:r>
        <w:t>with defensive schema assertions and reconstruction of the Czech stimulus text.</w:t>
      </w:r>
    </w:p>
    <w:p w14:paraId="21E6DB6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Gaze feature engineering </w:t>
      </w:r>
      <w:r>
        <w:t>(per child, per passage): ~20 fixation / saccade / regression measures, recomputed from raw events and cross-checked against the dataset's own metrics.</w:t>
      </w:r>
    </w:p>
    <w:p w14:paraId="307C46C7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Czech linguistic features </w:t>
      </w:r>
      <w:r>
        <w:t xml:space="preserve">via </w:t>
      </w:r>
      <w:proofErr w:type="spellStart"/>
      <w:r>
        <w:t>UDPipe</w:t>
      </w:r>
      <w:proofErr w:type="spellEnd"/>
      <w:r>
        <w:t xml:space="preserve"> / Stanza (dependency depth, lexical density, Zipf frequency), plus an optional multilingual embedding behind a flag.</w:t>
      </w:r>
    </w:p>
    <w:p w14:paraId="2AB40EE5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Model (RQ2 core): </w:t>
      </w:r>
      <w:r>
        <w:t xml:space="preserve">Gaze Performer encoder + linguistic-complexity encoder + a learned paired cross-attention fusion over the child's three passages → </w:t>
      </w:r>
      <w:proofErr w:type="spellStart"/>
      <w:r>
        <w:t>LightGBM</w:t>
      </w:r>
      <w:proofErr w:type="spellEnd"/>
      <w:r>
        <w:t xml:space="preserve"> classifier. A parameter-matched quadratic-attention arm provides the RQ1 comparison.</w:t>
      </w:r>
    </w:p>
    <w:p w14:paraId="58AC2F6C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Evaluation harness: </w:t>
      </w:r>
      <w:r>
        <w:t>subject-level nested cross-validation (a child's three passages never split — verified leakage-free), paired Wilcoxon tests, bootstrap CIs, effect sizes, calibration (ECE / Brier) and operational metrics.</w:t>
      </w:r>
    </w:p>
    <w:p w14:paraId="60A41FF8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Pre-fusion explainability: </w:t>
      </w:r>
      <w:r>
        <w:t>LIME + attention weights on original interpretable features (never PCA), with cross-fold stability.</w:t>
      </w:r>
    </w:p>
    <w:p w14:paraId="136B4FD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Reproducibility: </w:t>
      </w:r>
      <w:r>
        <w:t>single YAML config, global seeding, pinned requirements, data &amp; model cards, a test suite, and an auto-generated RESULTS.md.</w:t>
      </w:r>
    </w:p>
    <w:p w14:paraId="16E3211C" w14:textId="77777777" w:rsidR="00EA6607" w:rsidRDefault="00000000">
      <w:r>
        <w:br w:type="page"/>
      </w:r>
    </w:p>
    <w:p w14:paraId="2279EA84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lastRenderedPageBreak/>
        <w:t>6.  Results (subject-level 10-fold nested CV, seed 1337)</w:t>
      </w:r>
    </w:p>
    <w:p w14:paraId="3A269E66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t>6.1  Per</w:t>
      </w:r>
      <w:proofErr w:type="gramEnd"/>
      <w:r>
        <w:rPr>
          <w:b/>
          <w:bCs/>
          <w:sz w:val="24"/>
          <w:szCs w:val="24"/>
        </w:rPr>
        <w:t>-arm performance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2100"/>
        <w:gridCol w:w="900"/>
        <w:gridCol w:w="900"/>
        <w:gridCol w:w="900"/>
        <w:gridCol w:w="900"/>
      </w:tblGrid>
      <w:tr w:rsidR="00EA6607" w14:paraId="5E5F7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7DBA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Arm</w:t>
            </w:r>
          </w:p>
        </w:tc>
        <w:tc>
          <w:tcPr>
            <w:tcW w:w="21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F3E22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 [95% CI]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F780B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D01BC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AUROC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84492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ECE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B3C28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Brier</w:t>
            </w:r>
          </w:p>
        </w:tc>
      </w:tr>
      <w:tr w:rsidR="00EA6607" w14:paraId="1B5106B1" w14:textId="77777777">
        <w:tblPrEx>
          <w:tblCellMar>
            <w:top w:w="0" w:type="dxa"/>
            <w:bottom w:w="0" w:type="dxa"/>
          </w:tblCellMar>
        </w:tblPrEx>
        <w:tc>
          <w:tcPr>
            <w:tcW w:w="3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3B08F" w14:textId="77777777" w:rsidR="00EA6607" w:rsidRDefault="00000000">
            <w:r>
              <w:rPr>
                <w:sz w:val="18"/>
                <w:szCs w:val="18"/>
              </w:rPr>
              <w:t>Performer + complexity (RQ2 core)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9202F" w14:textId="77777777" w:rsidR="00EA6607" w:rsidRDefault="00000000">
            <w:r>
              <w:rPr>
                <w:sz w:val="18"/>
                <w:szCs w:val="18"/>
              </w:rPr>
              <w:t>0.829 [0.75, 0.90]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49ACC" w14:textId="77777777" w:rsidR="00EA6607" w:rsidRDefault="00000000">
            <w:r>
              <w:rPr>
                <w:sz w:val="18"/>
                <w:szCs w:val="18"/>
              </w:rPr>
              <w:t>0.805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330FF" w14:textId="77777777" w:rsidR="00EA6607" w:rsidRDefault="00000000">
            <w:r>
              <w:rPr>
                <w:sz w:val="18"/>
                <w:szCs w:val="18"/>
              </w:rPr>
              <w:t>0.861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B528B" w14:textId="77777777" w:rsidR="00EA6607" w:rsidRDefault="00000000">
            <w:r>
              <w:rPr>
                <w:sz w:val="18"/>
                <w:szCs w:val="18"/>
              </w:rPr>
              <w:t>0.170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A8946" w14:textId="77777777" w:rsidR="00EA6607" w:rsidRDefault="00000000">
            <w:r>
              <w:rPr>
                <w:sz w:val="18"/>
                <w:szCs w:val="18"/>
              </w:rPr>
              <w:t>0.169</w:t>
            </w:r>
          </w:p>
        </w:tc>
      </w:tr>
      <w:tr w:rsidR="00EA6607" w14:paraId="5D2E4036" w14:textId="77777777">
        <w:tblPrEx>
          <w:tblCellMar>
            <w:top w:w="0" w:type="dxa"/>
            <w:bottom w:w="0" w:type="dxa"/>
          </w:tblCellMar>
        </w:tblPrEx>
        <w:tc>
          <w:tcPr>
            <w:tcW w:w="33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A79FD" w14:textId="77777777" w:rsidR="00EA6607" w:rsidRDefault="00000000">
            <w:r>
              <w:rPr>
                <w:sz w:val="18"/>
                <w:szCs w:val="18"/>
              </w:rPr>
              <w:t>Quadratic + complexity (RQ1 baseline)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8F8B" w14:textId="77777777" w:rsidR="00EA6607" w:rsidRDefault="00000000">
            <w:r>
              <w:rPr>
                <w:sz w:val="18"/>
                <w:szCs w:val="18"/>
              </w:rPr>
              <w:t>0.821 [0.74, 0.90]</w:t>
            </w:r>
          </w:p>
        </w:tc>
        <w:tc>
          <w:tcPr>
            <w:tcW w:w="9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D768E" w14:textId="77777777" w:rsidR="00EA6607" w:rsidRDefault="00000000">
            <w:r>
              <w:rPr>
                <w:sz w:val="18"/>
                <w:szCs w:val="18"/>
              </w:rPr>
              <w:t>0.807</w:t>
            </w:r>
          </w:p>
        </w:tc>
        <w:tc>
          <w:tcPr>
            <w:tcW w:w="9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9DBC2" w14:textId="77777777" w:rsidR="00EA6607" w:rsidRDefault="00000000">
            <w:r>
              <w:rPr>
                <w:sz w:val="18"/>
                <w:szCs w:val="18"/>
              </w:rPr>
              <w:t>0.883</w:t>
            </w:r>
          </w:p>
        </w:tc>
        <w:tc>
          <w:tcPr>
            <w:tcW w:w="9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087D5" w14:textId="77777777" w:rsidR="00EA6607" w:rsidRDefault="00000000">
            <w:r>
              <w:rPr>
                <w:sz w:val="18"/>
                <w:szCs w:val="18"/>
              </w:rPr>
              <w:t>0.178</w:t>
            </w:r>
          </w:p>
        </w:tc>
        <w:tc>
          <w:tcPr>
            <w:tcW w:w="9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7AE7F" w14:textId="77777777" w:rsidR="00EA6607" w:rsidRDefault="00000000">
            <w:r>
              <w:rPr>
                <w:sz w:val="18"/>
                <w:szCs w:val="18"/>
              </w:rPr>
              <w:t>0.176</w:t>
            </w:r>
          </w:p>
        </w:tc>
      </w:tr>
      <w:tr w:rsidR="00EA6607" w14:paraId="3D7B9E68" w14:textId="77777777">
        <w:tblPrEx>
          <w:tblCellMar>
            <w:top w:w="0" w:type="dxa"/>
            <w:bottom w:w="0" w:type="dxa"/>
          </w:tblCellMar>
        </w:tblPrEx>
        <w:tc>
          <w:tcPr>
            <w:tcW w:w="33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24995" w14:textId="77777777" w:rsidR="00EA6607" w:rsidRDefault="00000000">
            <w:r>
              <w:rPr>
                <w:sz w:val="18"/>
                <w:szCs w:val="18"/>
              </w:rPr>
              <w:t>Performer, gaze-only (blind)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DBD89" w14:textId="77777777" w:rsidR="00EA6607" w:rsidRDefault="00000000">
            <w:r>
              <w:rPr>
                <w:sz w:val="18"/>
                <w:szCs w:val="18"/>
              </w:rPr>
              <w:t>0.833 [0.74, 0.92]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CF387" w14:textId="77777777" w:rsidR="00EA6607" w:rsidRDefault="00000000">
            <w:r>
              <w:rPr>
                <w:sz w:val="18"/>
                <w:szCs w:val="18"/>
              </w:rPr>
              <w:t>0.807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77C2E" w14:textId="77777777" w:rsidR="00EA6607" w:rsidRDefault="00000000">
            <w:r>
              <w:rPr>
                <w:sz w:val="18"/>
                <w:szCs w:val="18"/>
              </w:rPr>
              <w:t>0.878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3A709" w14:textId="77777777" w:rsidR="00EA6607" w:rsidRDefault="00000000">
            <w:r>
              <w:rPr>
                <w:sz w:val="18"/>
                <w:szCs w:val="18"/>
              </w:rPr>
              <w:t>0.166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BD232" w14:textId="77777777" w:rsidR="00EA6607" w:rsidRDefault="00000000">
            <w:r>
              <w:rPr>
                <w:sz w:val="18"/>
                <w:szCs w:val="18"/>
              </w:rPr>
              <w:t>0.164</w:t>
            </w:r>
          </w:p>
        </w:tc>
      </w:tr>
    </w:tbl>
    <w:p w14:paraId="4A78D83E" w14:textId="77777777" w:rsidR="00EA6607" w:rsidRDefault="00000000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Accuracies sit in the honest ~0.82–0.83 range — consistent with the published ETDD70 literature under our stricter subject-level protocol, and not a suspicious ~1.0 that would signal leakage.</w:t>
      </w:r>
    </w:p>
    <w:p w14:paraId="190CA1E9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t>6.2  RQ</w:t>
      </w:r>
      <w:proofErr w:type="gramEnd"/>
      <w:r>
        <w:rPr>
          <w:b/>
          <w:bCs/>
          <w:sz w:val="24"/>
          <w:szCs w:val="24"/>
        </w:rPr>
        <w:t>1 — linear vs quadratic attention</w:t>
      </w:r>
    </w:p>
    <w:p w14:paraId="14AC23E4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Accuracy &amp; AUROC: matched. </w:t>
      </w:r>
      <w:r>
        <w:t>Performer vs quadratic — accuracy 0.829 vs 0.821 (paired Wilcoxon p = 0.79), AUROC 0.861 vs 0.883 (p = 0.55); both difference CIs straddle zero. Arms are exactly parameter-matched (141,121 parameters each).</w:t>
      </w:r>
    </w:p>
    <w:p w14:paraId="2AE996CE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Efficiency: crossover at N ≈ 1024. </w:t>
      </w:r>
      <w:r>
        <w:t xml:space="preserve">On short sequences the Performer's constant overhead makes it slower; beyond ~1024 events it wins, and the gap grows fast — at N = 4096, 5.3 </w:t>
      </w:r>
      <w:proofErr w:type="spellStart"/>
      <w:r>
        <w:t>ms</w:t>
      </w:r>
      <w:proofErr w:type="spellEnd"/>
      <w:r>
        <w:t xml:space="preserve"> vs 34.6 </w:t>
      </w:r>
      <w:proofErr w:type="spellStart"/>
      <w:r>
        <w:t>ms</w:t>
      </w:r>
      <w:proofErr w:type="spellEnd"/>
      <w:r>
        <w:t xml:space="preserve"> and 0.48 GB vs 2.47 GB peak memory. ETDD70's engineered event streams (~130–350 events) fall below the crossover, but the raw 250 Hz gaze stream (~18k samples/passage) sits far above it — the regime where linear attention pays off.</w:t>
      </w:r>
    </w:p>
    <w:p w14:paraId="5E4B206B" w14:textId="77777777" w:rsidR="00EA6607" w:rsidRDefault="00000000">
      <w:pPr>
        <w:spacing w:before="100" w:after="20"/>
        <w:jc w:val="center"/>
      </w:pPr>
      <w:r>
        <w:rPr>
          <w:noProof/>
        </w:rPr>
        <w:drawing>
          <wp:inline distT="0" distB="0" distL="0" distR="0" wp14:anchorId="2AF6A8DB" wp14:editId="53B89547">
            <wp:extent cx="51435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A2EF" w14:textId="77777777" w:rsidR="00EA6607" w:rsidRDefault="00000000"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>Figure 1. Forward-pass time vs sequence length. Quadratic (</w:t>
      </w:r>
      <w:proofErr w:type="spellStart"/>
      <w:r>
        <w:rPr>
          <w:i/>
          <w:iCs/>
          <w:color w:val="595959"/>
          <w:sz w:val="17"/>
          <w:szCs w:val="17"/>
        </w:rPr>
        <w:t>softmax</w:t>
      </w:r>
      <w:proofErr w:type="spellEnd"/>
      <w:r>
        <w:rPr>
          <w:i/>
          <w:iCs/>
          <w:color w:val="595959"/>
          <w:sz w:val="17"/>
          <w:szCs w:val="17"/>
        </w:rPr>
        <w:t>) is cheaper on short sequences but scales O(N²); the Performer (linear) overtakes it past N≈1024 and diverges sharply thereafter.</w:t>
      </w:r>
    </w:p>
    <w:p w14:paraId="22A25A2E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t>6.3  RQ</w:t>
      </w:r>
      <w:proofErr w:type="gramEnd"/>
      <w:r>
        <w:rPr>
          <w:b/>
          <w:bCs/>
          <w:sz w:val="24"/>
          <w:szCs w:val="24"/>
        </w:rPr>
        <w:t>2 — paired gaze × complexity co-conditioning</w:t>
      </w:r>
    </w:p>
    <w:p w14:paraId="496A68C2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Classification: honest null. </w:t>
      </w:r>
      <w:r>
        <w:t>Complexity-conditioned 0.829 vs complexity-blind 0.833 (Wilcoxon p = 0.83; AUROC 0.861 vs 0.878, p = 0.50). Conditioning does not improve classification — expected, since the linguistic features are passage-constant and the gaze features already carry the signal.</w:t>
      </w:r>
    </w:p>
    <w:p w14:paraId="1241C75A" w14:textId="77777777" w:rsidR="00EA6607" w:rsidRDefault="00000000">
      <w:pPr>
        <w:spacing w:after="120" w:line="276" w:lineRule="auto"/>
      </w:pPr>
      <w:r>
        <w:t xml:space="preserve">Descriptive interaction — the genuine positive RQ2 evidence. Twelve of the twenty gaze features show a statistically significant </w:t>
      </w:r>
      <w:proofErr w:type="spellStart"/>
      <w:r>
        <w:t>group×complexity</w:t>
      </w:r>
      <w:proofErr w:type="spellEnd"/>
      <w:r>
        <w:t xml:space="preserve"> interaction (Mann–Whitney on per-subject slope, Benjamini–Hochberg FDR q &lt; 0.05). Selected features: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50"/>
        <w:gridCol w:w="1150"/>
        <w:gridCol w:w="4220"/>
      </w:tblGrid>
      <w:tr w:rsidR="00EA6607" w14:paraId="7BD8F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97841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Gaze feature</w:t>
            </w:r>
          </w:p>
        </w:tc>
        <w:tc>
          <w:tcPr>
            <w:tcW w:w="11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6FDB3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d (slope)</w:t>
            </w:r>
          </w:p>
        </w:tc>
        <w:tc>
          <w:tcPr>
            <w:tcW w:w="11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F9CB0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q (FDR)</w:t>
            </w:r>
          </w:p>
        </w:tc>
        <w:tc>
          <w:tcPr>
            <w:tcW w:w="42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D70D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Group × complexity interaction</w:t>
            </w:r>
          </w:p>
        </w:tc>
      </w:tr>
      <w:tr w:rsidR="00EA6607" w14:paraId="083A1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5098A" w14:textId="77777777" w:rsidR="00EA6607" w:rsidRDefault="00000000">
            <w:r>
              <w:rPr>
                <w:sz w:val="18"/>
                <w:szCs w:val="18"/>
              </w:rPr>
              <w:t>Total reading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BD5AA" w14:textId="77777777" w:rsidR="00EA6607" w:rsidRDefault="00000000">
            <w:r>
              <w:rPr>
                <w:sz w:val="18"/>
                <w:szCs w:val="18"/>
              </w:rPr>
              <w:t>1.44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0AF21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B4CB3" w14:textId="77777777" w:rsidR="00EA6607" w:rsidRDefault="00000000">
            <w:r>
              <w:rPr>
                <w:sz w:val="18"/>
                <w:szCs w:val="18"/>
              </w:rPr>
              <w:t>Significant — widens with difficulty</w:t>
            </w:r>
          </w:p>
        </w:tc>
      </w:tr>
      <w:tr w:rsidR="00EA6607" w14:paraId="4671F3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06BCA" w14:textId="77777777" w:rsidR="00EA6607" w:rsidRDefault="00000000">
            <w:r>
              <w:rPr>
                <w:sz w:val="18"/>
                <w:szCs w:val="18"/>
              </w:rPr>
              <w:t>Total fixation duration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3E4AD" w14:textId="77777777" w:rsidR="00EA6607" w:rsidRDefault="00000000">
            <w:r>
              <w:rPr>
                <w:sz w:val="18"/>
                <w:szCs w:val="18"/>
              </w:rPr>
              <w:t>1.44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86E7B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32FEA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1912D3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D094" w14:textId="77777777" w:rsidR="00EA6607" w:rsidRDefault="00000000">
            <w:r>
              <w:rPr>
                <w:sz w:val="18"/>
                <w:szCs w:val="18"/>
              </w:rPr>
              <w:t>Fixation count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677B0" w14:textId="77777777" w:rsidR="00EA6607" w:rsidRDefault="00000000">
            <w:r>
              <w:rPr>
                <w:sz w:val="18"/>
                <w:szCs w:val="18"/>
              </w:rPr>
              <w:t>1.05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5E12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7CF27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62903A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1EDEC" w14:textId="77777777" w:rsidR="00EA6607" w:rsidRDefault="00000000">
            <w:r>
              <w:rPr>
                <w:sz w:val="18"/>
                <w:szCs w:val="18"/>
              </w:rPr>
              <w:t>Saccade count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13740" w14:textId="77777777" w:rsidR="00EA6607" w:rsidRDefault="00000000">
            <w:r>
              <w:rPr>
                <w:sz w:val="18"/>
                <w:szCs w:val="18"/>
              </w:rPr>
              <w:t>1.05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154C9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E9F40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72808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6DD6C" w14:textId="77777777" w:rsidR="00EA6607" w:rsidRDefault="00000000">
            <w:r>
              <w:rPr>
                <w:sz w:val="18"/>
                <w:szCs w:val="18"/>
              </w:rPr>
              <w:t>Regression count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958F7" w14:textId="77777777" w:rsidR="00EA6607" w:rsidRDefault="00000000">
            <w:r>
              <w:rPr>
                <w:sz w:val="18"/>
                <w:szCs w:val="18"/>
              </w:rPr>
              <w:t>0.94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6E8AC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912BB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6AA86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63B1A" w14:textId="77777777" w:rsidR="00EA6607" w:rsidRDefault="00000000">
            <w:r>
              <w:rPr>
                <w:sz w:val="18"/>
                <w:szCs w:val="18"/>
              </w:rPr>
              <w:t>Between-line regressions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39D3" w14:textId="77777777" w:rsidR="00EA6607" w:rsidRDefault="00000000">
            <w:r>
              <w:rPr>
                <w:sz w:val="18"/>
                <w:szCs w:val="18"/>
              </w:rPr>
              <w:t>0.89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52447" w14:textId="77777777" w:rsidR="00EA6607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4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D7C5A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26E195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1061F" w14:textId="77777777" w:rsidR="00EA6607" w:rsidRDefault="00000000">
            <w:r>
              <w:rPr>
                <w:sz w:val="18"/>
                <w:szCs w:val="18"/>
              </w:rPr>
              <w:t>Return sweeps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4AA2D" w14:textId="77777777" w:rsidR="00EA6607" w:rsidRDefault="00000000">
            <w:r>
              <w:rPr>
                <w:sz w:val="18"/>
                <w:szCs w:val="18"/>
              </w:rPr>
              <w:t>0.78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17529" w14:textId="77777777" w:rsidR="00EA6607" w:rsidRDefault="00000000">
            <w:r>
              <w:rPr>
                <w:sz w:val="18"/>
                <w:szCs w:val="18"/>
              </w:rPr>
              <w:t>0.043</w:t>
            </w:r>
          </w:p>
        </w:tc>
        <w:tc>
          <w:tcPr>
            <w:tcW w:w="4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886A1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6AB792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3914C" w14:textId="77777777" w:rsidR="00EA6607" w:rsidRDefault="00000000">
            <w:r>
              <w:rPr>
                <w:sz w:val="18"/>
                <w:szCs w:val="18"/>
              </w:rPr>
              <w:t>Median fixation duration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9D6D1" w14:textId="77777777" w:rsidR="00EA6607" w:rsidRDefault="00000000">
            <w:r>
              <w:rPr>
                <w:sz w:val="18"/>
                <w:szCs w:val="18"/>
              </w:rPr>
              <w:t>0.51</w:t>
            </w:r>
          </w:p>
        </w:tc>
        <w:tc>
          <w:tcPr>
            <w:tcW w:w="115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2F155" w14:textId="77777777" w:rsidR="00EA6607" w:rsidRDefault="00000000">
            <w:r>
              <w:rPr>
                <w:sz w:val="18"/>
                <w:szCs w:val="18"/>
              </w:rPr>
              <w:t>0.023</w:t>
            </w:r>
          </w:p>
        </w:tc>
        <w:tc>
          <w:tcPr>
            <w:tcW w:w="4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128D1" w14:textId="77777777" w:rsidR="00EA6607" w:rsidRDefault="00000000">
            <w:r>
              <w:rPr>
                <w:sz w:val="18"/>
                <w:szCs w:val="18"/>
              </w:rPr>
              <w:t>Significant</w:t>
            </w:r>
          </w:p>
        </w:tc>
      </w:tr>
      <w:tr w:rsidR="00EA6607" w14:paraId="4C800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490E9" w14:textId="77777777" w:rsidR="00EA6607" w:rsidRDefault="00000000">
            <w:r>
              <w:rPr>
                <w:sz w:val="18"/>
                <w:szCs w:val="18"/>
              </w:rPr>
              <w:t>Regression ratio (normalised)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7FBFC" w14:textId="77777777" w:rsidR="00EA6607" w:rsidRDefault="00000000">
            <w:r>
              <w:rPr>
                <w:sz w:val="18"/>
                <w:szCs w:val="18"/>
              </w:rPr>
              <w:t>0.22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AB503" w14:textId="77777777" w:rsidR="00EA6607" w:rsidRDefault="00000000">
            <w:r>
              <w:rPr>
                <w:sz w:val="18"/>
                <w:szCs w:val="18"/>
              </w:rPr>
              <w:t>0.73</w:t>
            </w:r>
          </w:p>
        </w:tc>
        <w:tc>
          <w:tcPr>
            <w:tcW w:w="4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EEBFC" w14:textId="77777777" w:rsidR="00EA6607" w:rsidRDefault="00000000">
            <w:r>
              <w:rPr>
                <w:sz w:val="18"/>
                <w:szCs w:val="18"/>
              </w:rPr>
              <w:t>No interaction — flat</w:t>
            </w:r>
          </w:p>
        </w:tc>
      </w:tr>
    </w:tbl>
    <w:p w14:paraId="14A65C91" w14:textId="77777777" w:rsidR="005D08E3" w:rsidRPr="005D08E3" w:rsidRDefault="005D08E3" w:rsidP="005D08E3">
      <w:pPr>
        <w:pStyle w:val="ListParagraph"/>
        <w:spacing w:after="70" w:line="268" w:lineRule="auto"/>
        <w:ind w:left="720"/>
      </w:pPr>
    </w:p>
    <w:p w14:paraId="67E7D258" w14:textId="1573C056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key nuance: </w:t>
      </w:r>
      <w:r>
        <w:t>the regression *ratio* stays flat, but regression *counts* steepen — the dyslexic disadvantage grows in absolute reading effort (time, fixations, regressions), not in proportion. This is a more honest and specific finding than a simple “conditioning helps.”</w:t>
      </w:r>
    </w:p>
    <w:p w14:paraId="437D6544" w14:textId="77777777" w:rsidR="00EA6607" w:rsidRDefault="00000000">
      <w:pPr>
        <w:spacing w:before="100" w:after="20"/>
        <w:jc w:val="center"/>
      </w:pPr>
      <w:r>
        <w:rPr>
          <w:noProof/>
        </w:rPr>
        <w:drawing>
          <wp:inline distT="0" distB="0" distL="0" distR="0" wp14:anchorId="6B4395B7" wp14:editId="1AD36DEA">
            <wp:extent cx="5334000" cy="4152900"/>
            <wp:effectExtent l="0" t="0" r="0" b="0"/>
            <wp:docPr id="534692163" name="Picture 53469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BFBD" w14:textId="77777777" w:rsidR="00EA6607" w:rsidRDefault="00000000"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>Figure 2. Reading-effort gaze features across the complexity gradient, dyslexic vs typical (mean ± SE). The gap widens from the syllable matrix to the pseudo-text.</w:t>
      </w:r>
    </w:p>
    <w:p w14:paraId="4AA28DED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t>6.4  RQ</w:t>
      </w:r>
      <w:proofErr w:type="gramEnd"/>
      <w:r>
        <w:rPr>
          <w:b/>
          <w:bCs/>
          <w:sz w:val="24"/>
          <w:szCs w:val="24"/>
        </w:rPr>
        <w:t>4 — pre-fusion explainability &amp; fusion attention</w:t>
      </w:r>
    </w:p>
    <w:p w14:paraId="592B95E3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LIME (original features). </w:t>
      </w:r>
      <w:r>
        <w:t>The five most-attributed features are all oculomotor (fixation duration, saccade duration, fixation dispersion, return sweeps), concentrated in the decoding-heavy syllable and pseudo-text passages — biomarker-plausible (face-validity = 1.0). Ranking is broadly stable across folds (Spearman 0.83); the exact top-5 set less so (Jaccard 0.27).</w:t>
      </w:r>
    </w:p>
    <w:p w14:paraId="782208AB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Fusion attention. </w:t>
      </w:r>
      <w:r>
        <w:t>The paired cross-attention consistently weights the syllable (phonological-decoding) passage most (~0.41–0.44) and the pseudo-text least (~0.27) when integrating across the gradient — the decoding context is the most informative, consistent with the biomarker literature.</w:t>
      </w:r>
    </w:p>
    <w:p w14:paraId="4CB374D7" w14:textId="77777777" w:rsidR="00EA6607" w:rsidRDefault="00000000">
      <w:pPr>
        <w:spacing w:before="100" w:after="20"/>
        <w:jc w:val="center"/>
      </w:pPr>
      <w:r>
        <w:rPr>
          <w:noProof/>
        </w:rPr>
        <w:lastRenderedPageBreak/>
        <w:drawing>
          <wp:inline distT="0" distB="0" distL="0" distR="0" wp14:anchorId="3C2C7B28" wp14:editId="117D7C82">
            <wp:extent cx="5143500" cy="5143500"/>
            <wp:effectExtent l="0" t="0" r="0" b="0"/>
            <wp:docPr id="485249489" name="Picture 48524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4B87" w14:textId="77777777" w:rsidR="00EA6607" w:rsidRDefault="00000000"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>Figure 3. Top pre-fusion LIME attributions (original interpretable features, pooled over folds). All top features are oculomotor reading measures.</w:t>
      </w:r>
    </w:p>
    <w:p w14:paraId="6FDC3156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t>6.5  Calibration</w:t>
      </w:r>
      <w:proofErr w:type="gramEnd"/>
    </w:p>
    <w:p w14:paraId="6D5DB264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Calibration is mediocre (ECE ≈ 0.17). </w:t>
      </w:r>
      <w:r>
        <w:t>The models are somewhat over-confident — reported honestly, and it directly motivates the calibrated honest-fusion work planned for Stage 2 (RQ3).</w:t>
      </w:r>
    </w:p>
    <w:p w14:paraId="3E9193CC" w14:textId="77777777" w:rsidR="00EA6607" w:rsidRDefault="00000000">
      <w:pPr>
        <w:spacing w:before="100" w:after="20"/>
        <w:jc w:val="center"/>
      </w:pPr>
      <w:r>
        <w:rPr>
          <w:noProof/>
        </w:rPr>
        <w:drawing>
          <wp:inline distT="0" distB="0" distL="0" distR="0" wp14:anchorId="161E4BF0" wp14:editId="3ED8AAF9">
            <wp:extent cx="2691468" cy="2933700"/>
            <wp:effectExtent l="0" t="0" r="0" b="0"/>
            <wp:docPr id="812027389" name="Picture 812027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56" cy="297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E17B" w14:textId="77777777" w:rsidR="00EA6607" w:rsidRDefault="00000000"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>Figure 4. Reliability diagram (out-of-fold predictions). Deviation from the diagonal reflects the calibration gap.</w:t>
      </w:r>
    </w:p>
    <w:p w14:paraId="34DA2CDC" w14:textId="77777777" w:rsidR="00EA6607" w:rsidRDefault="00000000">
      <w:pPr>
        <w:pStyle w:val="Heading2"/>
        <w:spacing w:before="200" w:after="100"/>
      </w:pPr>
      <w:proofErr w:type="gramStart"/>
      <w:r>
        <w:rPr>
          <w:b/>
          <w:bCs/>
          <w:sz w:val="24"/>
          <w:szCs w:val="24"/>
        </w:rPr>
        <w:lastRenderedPageBreak/>
        <w:t>6.6  Comparison</w:t>
      </w:r>
      <w:proofErr w:type="gramEnd"/>
      <w:r>
        <w:rPr>
          <w:b/>
          <w:bCs/>
          <w:sz w:val="24"/>
          <w:szCs w:val="24"/>
        </w:rPr>
        <w:t xml:space="preserve"> with published ETDD70 baselines</w:t>
      </w:r>
    </w:p>
    <w:p w14:paraId="30F7D375" w14:textId="77777777" w:rsidR="00EA6607" w:rsidRDefault="00000000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Cross-paper numbers use different validation protocols and are approximate — not directly comparable to our subject-level nested-CV results.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2200"/>
        <w:gridCol w:w="2800"/>
      </w:tblGrid>
      <w:tr w:rsidR="00EA6607" w14:paraId="280CA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7F9AF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281AB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Reported accuracy</w:t>
            </w:r>
          </w:p>
        </w:tc>
        <w:tc>
          <w:tcPr>
            <w:tcW w:w="2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67D2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EA6607" w14:paraId="30DEECB2" w14:textId="77777777">
        <w:tblPrEx>
          <w:tblCellMar>
            <w:top w:w="0" w:type="dxa"/>
            <w:bottom w:w="0" w:type="dxa"/>
          </w:tblCellMar>
        </w:tblPrEx>
        <w:tc>
          <w:tcPr>
            <w:tcW w:w="4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836D" w14:textId="77777777" w:rsidR="00EA6607" w:rsidRDefault="00000000">
            <w:r>
              <w:rPr>
                <w:sz w:val="18"/>
                <w:szCs w:val="18"/>
              </w:rPr>
              <w:t>ETDD70 dataset paper (2024)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C9C08" w14:textId="77777777" w:rsidR="00EA6607" w:rsidRDefault="00000000">
            <w:r>
              <w:rPr>
                <w:sz w:val="18"/>
                <w:szCs w:val="18"/>
              </w:rPr>
              <w:t>~0.90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A918F" w14:textId="77777777" w:rsidR="00EA6607" w:rsidRDefault="00000000">
            <w:r>
              <w:rPr>
                <w:sz w:val="18"/>
                <w:szCs w:val="18"/>
              </w:rPr>
              <w:t>different protocol; approximate</w:t>
            </w:r>
          </w:p>
        </w:tc>
      </w:tr>
      <w:tr w:rsidR="00EA6607" w14:paraId="5D3F71A1" w14:textId="77777777">
        <w:tblPrEx>
          <w:tblCellMar>
            <w:top w:w="0" w:type="dxa"/>
            <w:bottom w:w="0" w:type="dxa"/>
          </w:tblCellMar>
        </w:tblPrEx>
        <w:tc>
          <w:tcPr>
            <w:tcW w:w="40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B4905" w14:textId="77777777" w:rsidR="00EA6607" w:rsidRDefault="00000000">
            <w:r>
              <w:rPr>
                <w:sz w:val="18"/>
                <w:szCs w:val="18"/>
              </w:rPr>
              <w:t>SwinV2 + SGA</w:t>
            </w:r>
          </w:p>
        </w:tc>
        <w:tc>
          <w:tcPr>
            <w:tcW w:w="22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3548" w14:textId="77777777" w:rsidR="00EA6607" w:rsidRDefault="00000000">
            <w:r>
              <w:rPr>
                <w:sz w:val="18"/>
                <w:szCs w:val="18"/>
              </w:rPr>
              <w:t>0.9245</w:t>
            </w:r>
          </w:p>
        </w:tc>
        <w:tc>
          <w:tcPr>
            <w:tcW w:w="28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1FDB9" w14:textId="77777777" w:rsidR="00EA6607" w:rsidRDefault="00000000">
            <w:r>
              <w:rPr>
                <w:sz w:val="18"/>
                <w:szCs w:val="18"/>
              </w:rPr>
              <w:t>different protocol; approximate</w:t>
            </w:r>
          </w:p>
        </w:tc>
      </w:tr>
      <w:tr w:rsidR="00EA6607" w14:paraId="5A3C7834" w14:textId="77777777">
        <w:tblPrEx>
          <w:tblCellMar>
            <w:top w:w="0" w:type="dxa"/>
            <w:bottom w:w="0" w:type="dxa"/>
          </w:tblCellMar>
        </w:tblPrEx>
        <w:tc>
          <w:tcPr>
            <w:tcW w:w="4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71C01" w14:textId="77777777" w:rsidR="00EA6607" w:rsidRDefault="00000000">
            <w:r>
              <w:rPr>
                <w:sz w:val="18"/>
                <w:szCs w:val="18"/>
              </w:rPr>
              <w:t>INSIGHT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4F7E" w14:textId="77777777" w:rsidR="00EA6607" w:rsidRDefault="00000000">
            <w:r>
              <w:rPr>
                <w:sz w:val="18"/>
                <w:szCs w:val="18"/>
              </w:rPr>
              <w:t>0.8665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87BA6" w14:textId="77777777" w:rsidR="00EA6607" w:rsidRDefault="00000000">
            <w:r>
              <w:rPr>
                <w:sz w:val="18"/>
                <w:szCs w:val="18"/>
              </w:rPr>
              <w:t>different protocol; approximate</w:t>
            </w:r>
          </w:p>
        </w:tc>
      </w:tr>
      <w:tr w:rsidR="00EA6607" w14:paraId="7D5D2212" w14:textId="77777777">
        <w:tblPrEx>
          <w:tblCellMar>
            <w:top w:w="0" w:type="dxa"/>
            <w:bottom w:w="0" w:type="dxa"/>
          </w:tblCellMar>
        </w:tblPrEx>
        <w:tc>
          <w:tcPr>
            <w:tcW w:w="40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C481E" w14:textId="77777777" w:rsidR="00EA6607" w:rsidRDefault="00000000">
            <w:proofErr w:type="spellStart"/>
            <w:r>
              <w:rPr>
                <w:sz w:val="18"/>
                <w:szCs w:val="18"/>
              </w:rPr>
              <w:t>CatBoost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22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78FF4" w14:textId="77777777" w:rsidR="00EA6607" w:rsidRDefault="00000000">
            <w:r>
              <w:rPr>
                <w:sz w:val="18"/>
                <w:szCs w:val="18"/>
              </w:rPr>
              <w:t>~0.80–0.83</w:t>
            </w:r>
          </w:p>
        </w:tc>
        <w:tc>
          <w:tcPr>
            <w:tcW w:w="28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A2A14" w14:textId="77777777" w:rsidR="00EA6607" w:rsidRDefault="00000000">
            <w:r>
              <w:rPr>
                <w:sz w:val="18"/>
                <w:szCs w:val="18"/>
              </w:rPr>
              <w:t>different protocol; approximate</w:t>
            </w:r>
          </w:p>
        </w:tc>
      </w:tr>
      <w:tr w:rsidR="00EA6607" w14:paraId="3ED6D3D2" w14:textId="77777777">
        <w:tblPrEx>
          <w:tblCellMar>
            <w:top w:w="0" w:type="dxa"/>
            <w:bottom w:w="0" w:type="dxa"/>
          </w:tblCellMar>
        </w:tblPrEx>
        <w:tc>
          <w:tcPr>
            <w:tcW w:w="4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10073" w14:textId="77777777" w:rsidR="00EA6607" w:rsidRDefault="00000000">
            <w:r>
              <w:rPr>
                <w:sz w:val="18"/>
                <w:szCs w:val="18"/>
              </w:rPr>
              <w:t>This work (Performer, subject-level nested CV)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B3BFB" w14:textId="77777777" w:rsidR="00EA6607" w:rsidRDefault="00000000">
            <w:r>
              <w:rPr>
                <w:sz w:val="18"/>
                <w:szCs w:val="18"/>
              </w:rPr>
              <w:t>0.829 [0.75, 0.90]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8DDEE" w14:textId="77777777" w:rsidR="00EA6607" w:rsidRDefault="00000000">
            <w:r>
              <w:rPr>
                <w:sz w:val="18"/>
                <w:szCs w:val="18"/>
              </w:rPr>
              <w:t>our protocol; leakage-controlled</w:t>
            </w:r>
          </w:p>
        </w:tc>
      </w:tr>
    </w:tbl>
    <w:p w14:paraId="5288E964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7.  Methodological Rigor &amp; Notable Findings</w:t>
      </w:r>
    </w:p>
    <w:p w14:paraId="696E93D1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Leakage-free by construction and by assertion. </w:t>
      </w:r>
      <w:r>
        <w:t>Subject-level folds are the single most important correctness property; the harness re-checks every split and a dedicated test confirms an injected leak is caught.</w:t>
      </w:r>
    </w:p>
    <w:p w14:paraId="5229A7BE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A real bug found and fixed during verification. </w:t>
      </w:r>
      <w:r>
        <w:t xml:space="preserve">A subtle error in the Performer's numerical stabilization had unfairly handicapped the linear model (its attention was a distorted </w:t>
      </w:r>
      <w:proofErr w:type="spellStart"/>
      <w:r>
        <w:t>softmax</w:t>
      </w:r>
      <w:proofErr w:type="spellEnd"/>
      <w:r>
        <w:t xml:space="preserve"> approximation). Fixing it made RQ1 a fair comparison and closed the apparent accuracy/AUROC gap — the verification discipline doing its job.</w:t>
      </w:r>
    </w:p>
    <w:p w14:paraId="231516A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Statistical power strengthened. </w:t>
      </w:r>
      <w:r>
        <w:t>Outer folds increased from 5 to 10 so the paired significance tests can actually reach significance (with 5 folds the minimum possible p was 0.06).</w:t>
      </w:r>
    </w:p>
    <w:p w14:paraId="7B134E26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Honest negatives reported as-is — </w:t>
      </w:r>
      <w:r>
        <w:t>no result was inflated or hidden.</w:t>
      </w:r>
    </w:p>
    <w:p w14:paraId="3F30BED1" w14:textId="77777777" w:rsidR="005D08E3" w:rsidRDefault="005D08E3">
      <w:pPr>
        <w:pStyle w:val="Heading1"/>
        <w:spacing w:before="300" w:after="140"/>
        <w:rPr>
          <w:b/>
          <w:bCs/>
          <w:color w:val="1F3864"/>
          <w:sz w:val="28"/>
          <w:szCs w:val="28"/>
        </w:rPr>
      </w:pPr>
    </w:p>
    <w:p w14:paraId="2EA9F234" w14:textId="4D39D86D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8.  Pending Work — Next Stages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20"/>
        <w:gridCol w:w="2500"/>
      </w:tblGrid>
      <w:tr w:rsidR="00EA6607" w14:paraId="4AC8D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D8C08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2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1F243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7C8A3" w14:textId="77777777" w:rsidR="00EA6607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Dependency / note</w:t>
            </w:r>
          </w:p>
        </w:tc>
      </w:tr>
      <w:tr w:rsidR="00EA6607" w14:paraId="12D446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4C916" w14:textId="77777777" w:rsidR="00EA6607" w:rsidRDefault="00000000">
            <w:r>
              <w:rPr>
                <w:sz w:val="18"/>
                <w:szCs w:val="18"/>
              </w:rPr>
              <w:t>Stage 2 · P1</w:t>
            </w:r>
          </w:p>
        </w:tc>
        <w:tc>
          <w:tcPr>
            <w:tcW w:w="5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037F" w14:textId="77777777" w:rsidR="00EA6607" w:rsidRDefault="00000000">
            <w:r>
              <w:rPr>
                <w:sz w:val="18"/>
                <w:szCs w:val="18"/>
              </w:rPr>
              <w:t>RQ3 — handwriting auxiliary branch; naive vs honest calibrated fusion (the project's second headline; a citable critique of disjoint-cohort fusion)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9E2F3" w14:textId="77777777" w:rsidR="00EA6607" w:rsidRDefault="00000000">
            <w:r>
              <w:rPr>
                <w:sz w:val="18"/>
                <w:szCs w:val="18"/>
              </w:rPr>
              <w:t>Needs the Kaggle handwriting dataset's structure &amp; subject-linkage investigated first</w:t>
            </w:r>
          </w:p>
        </w:tc>
      </w:tr>
      <w:tr w:rsidR="00EA6607" w14:paraId="6C6FF5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1FF4E" w14:textId="77777777" w:rsidR="00EA6607" w:rsidRDefault="00000000">
            <w:r>
              <w:rPr>
                <w:sz w:val="18"/>
                <w:szCs w:val="18"/>
              </w:rPr>
              <w:t>Stage 2 · P2</w:t>
            </w:r>
          </w:p>
        </w:tc>
        <w:tc>
          <w:tcPr>
            <w:tcW w:w="5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C4CE0" w14:textId="77777777" w:rsidR="00EA6607" w:rsidRDefault="00000000">
            <w:r>
              <w:rPr>
                <w:sz w:val="18"/>
                <w:szCs w:val="18"/>
              </w:rPr>
              <w:t>Out-of-distribution generalization: zero-shot evaluation on held-out cohorts (</w:t>
            </w:r>
            <w:proofErr w:type="spellStart"/>
            <w:r>
              <w:rPr>
                <w:sz w:val="18"/>
                <w:szCs w:val="18"/>
              </w:rPr>
              <w:t>CopCo</w:t>
            </w:r>
            <w:proofErr w:type="spellEnd"/>
            <w:r>
              <w:rPr>
                <w:sz w:val="18"/>
                <w:szCs w:val="18"/>
              </w:rPr>
              <w:t xml:space="preserve"> / Serbian gaze; Malaysian handwriting)</w:t>
            </w:r>
          </w:p>
        </w:tc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DD278" w14:textId="77777777" w:rsidR="00EA6607" w:rsidRDefault="00000000">
            <w:r>
              <w:rPr>
                <w:sz w:val="18"/>
                <w:szCs w:val="18"/>
              </w:rPr>
              <w:t>Needs those datasets sourced &amp; attached</w:t>
            </w:r>
          </w:p>
        </w:tc>
      </w:tr>
      <w:tr w:rsidR="00EA6607" w14:paraId="543572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19F08" w14:textId="77777777" w:rsidR="00EA6607" w:rsidRDefault="00000000">
            <w:r>
              <w:rPr>
                <w:sz w:val="18"/>
                <w:szCs w:val="18"/>
              </w:rPr>
              <w:t>Stage 2 · P3</w:t>
            </w:r>
          </w:p>
        </w:tc>
        <w:tc>
          <w:tcPr>
            <w:tcW w:w="5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EC900" w14:textId="77777777" w:rsidR="00EA6607" w:rsidRDefault="00000000">
            <w:r>
              <w:rPr>
                <w:sz w:val="18"/>
                <w:szCs w:val="18"/>
              </w:rPr>
              <w:t>Czech-specific embedding (</w:t>
            </w:r>
            <w:proofErr w:type="spellStart"/>
            <w:r>
              <w:rPr>
                <w:sz w:val="18"/>
                <w:szCs w:val="18"/>
              </w:rPr>
              <w:t>RobeCzech</w:t>
            </w:r>
            <w:proofErr w:type="spellEnd"/>
            <w:r>
              <w:rPr>
                <w:sz w:val="18"/>
                <w:szCs w:val="18"/>
              </w:rPr>
              <w:t>) in place of the multilingual default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1EFB2" w14:textId="77777777" w:rsidR="00EA6607" w:rsidRDefault="00000000">
            <w:r>
              <w:rPr>
                <w:sz w:val="18"/>
                <w:szCs w:val="18"/>
              </w:rPr>
              <w:t>Quick; no new data; low payload</w:t>
            </w:r>
          </w:p>
        </w:tc>
      </w:tr>
      <w:tr w:rsidR="00EA6607" w14:paraId="15EC44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D5029" w14:textId="77777777" w:rsidR="00EA6607" w:rsidRDefault="00000000">
            <w:r>
              <w:rPr>
                <w:sz w:val="18"/>
                <w:szCs w:val="18"/>
              </w:rPr>
              <w:t>Write-up</w:t>
            </w:r>
          </w:p>
        </w:tc>
        <w:tc>
          <w:tcPr>
            <w:tcW w:w="522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EB4A" w14:textId="77777777" w:rsidR="00EA6607" w:rsidRDefault="00000000">
            <w:r>
              <w:rPr>
                <w:sz w:val="18"/>
                <w:szCs w:val="18"/>
              </w:rPr>
              <w:t>Consolidate into a workshop / short paper + submission package</w:t>
            </w:r>
          </w:p>
        </w:tc>
        <w:tc>
          <w:tcPr>
            <w:tcW w:w="25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7124" w14:textId="77777777" w:rsidR="00EA6607" w:rsidRDefault="00000000">
            <w:r>
              <w:rPr>
                <w:sz w:val="18"/>
                <w:szCs w:val="18"/>
              </w:rPr>
              <w:t>Stage 1 already provides a complete paper</w:t>
            </w:r>
          </w:p>
        </w:tc>
      </w:tr>
    </w:tbl>
    <w:p w14:paraId="2401355E" w14:textId="77777777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9.  Final Model &amp; Expected Output</w:t>
      </w:r>
    </w:p>
    <w:p w14:paraId="5D690CA5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Final model. </w:t>
      </w:r>
      <w:r>
        <w:t>A lightweight, linear-complexity gaze–linguistic co-conditioning model with a gradient-boosted head; in Stage 2, an honest, calibrated late-fusion of an auxiliary handwriting signal — all under one reproducible pipeline.</w:t>
      </w:r>
    </w:p>
    <w:p w14:paraId="22170A4F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At inference. </w:t>
      </w:r>
      <w:r>
        <w:t>A per-child dyslexia-risk score with interpretable, biomarker-level feature attributions. (Research use only — explicitly not a clinical or diagnostic tool.)</w:t>
      </w:r>
    </w:p>
    <w:p w14:paraId="68F32F8B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Deliverables. </w:t>
      </w:r>
      <w:r>
        <w:t>(a) the reproducible model + open codebase; (b) a short/workshop paper; (c) data &amp; model cards; (d) figures and result tables generated directly from the run artifacts.</w:t>
      </w:r>
    </w:p>
    <w:p w14:paraId="15E0C2F2" w14:textId="77777777" w:rsidR="005D08E3" w:rsidRDefault="005D08E3">
      <w:pPr>
        <w:pStyle w:val="Heading1"/>
        <w:spacing w:before="300" w:after="140"/>
        <w:rPr>
          <w:b/>
          <w:bCs/>
          <w:color w:val="1F3864"/>
          <w:sz w:val="28"/>
          <w:szCs w:val="28"/>
        </w:rPr>
      </w:pPr>
    </w:p>
    <w:p w14:paraId="5473E633" w14:textId="43BF1DA3" w:rsidR="00EA6607" w:rsidRDefault="00000000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lastRenderedPageBreak/>
        <w:t>10.  Assessment &amp; Recommendations</w:t>
      </w:r>
    </w:p>
    <w:p w14:paraId="7D531248" w14:textId="33B98431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The project is de-risked. </w:t>
      </w:r>
      <w:r>
        <w:t xml:space="preserve">Stage 1 alone is a complete, defensible paper </w:t>
      </w:r>
    </w:p>
    <w:p w14:paraId="76F1599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Treat the RQ2 classification null as a strength. </w:t>
      </w:r>
      <w:r>
        <w:t>A proper protocol dissolved an underpowered false-positive from the early 5-fold run; the genuine RQ2 result is the broad, FDR-corrected descriptive interaction (absolute reading effort widening with complexity). Frame RQ2 around the effect sizes, not classification accuracy.</w:t>
      </w:r>
    </w:p>
    <w:p w14:paraId="2407561E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Lead the paper with RQ1's efficiency crossover. </w:t>
      </w:r>
      <w:r>
        <w:t>“Matches accuracy and AUROC, and is dramatically cheaper past N ≈ 1024” is the strongest, most novel result, and it justifies linear attention for raw-signal regimes.</w:t>
      </w:r>
    </w:p>
    <w:p w14:paraId="487F8966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Recommended next step: RQ3 (handwriting) — but check the data first. </w:t>
      </w:r>
      <w:r>
        <w:t>It adds the most scientific weight, but only if the dataset's subject-linkage supports an honest per-writer feature. Do the short data-structure check before committing effort.</w:t>
      </w:r>
    </w:p>
    <w:p w14:paraId="5FC6F95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Publication target. </w:t>
      </w:r>
      <w:r>
        <w:t>A workshop / short paper at an ML-for-health or efficient-AI venue; n = 70 does not support journal-scale clinical claims. Be explicit about the limitations (small N, single language, mediocre calibration).</w:t>
      </w:r>
    </w:p>
    <w:p w14:paraId="6F58CFBA" w14:textId="77777777" w:rsidR="00EA660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 xml:space="preserve">Emphasis for the meeting. </w:t>
      </w:r>
      <w:r>
        <w:t>The contribution is rigor, honesty and efficiency — not raw accuracy. That framing is the project's strength.</w:t>
      </w:r>
    </w:p>
    <w:p w14:paraId="11FCD150" w14:textId="7427844F" w:rsidR="00EA6607" w:rsidRDefault="00EA6607" w:rsidP="005D08E3">
      <w:pPr>
        <w:pStyle w:val="ListParagraph"/>
        <w:spacing w:after="70" w:line="268" w:lineRule="auto"/>
        <w:ind w:left="720"/>
      </w:pPr>
    </w:p>
    <w:sectPr w:rsidR="00EA660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E367B"/>
    <w:multiLevelType w:val="hybridMultilevel"/>
    <w:tmpl w:val="CE3A2172"/>
    <w:lvl w:ilvl="0" w:tplc="7140210E">
      <w:start w:val="1"/>
      <w:numFmt w:val="bullet"/>
      <w:lvlText w:val="●"/>
      <w:lvlJc w:val="left"/>
      <w:pPr>
        <w:ind w:left="720" w:hanging="360"/>
      </w:pPr>
    </w:lvl>
    <w:lvl w:ilvl="1" w:tplc="5A340C5C">
      <w:start w:val="1"/>
      <w:numFmt w:val="bullet"/>
      <w:lvlText w:val="○"/>
      <w:lvlJc w:val="left"/>
      <w:pPr>
        <w:ind w:left="1440" w:hanging="360"/>
      </w:pPr>
    </w:lvl>
    <w:lvl w:ilvl="2" w:tplc="7B80689A">
      <w:start w:val="1"/>
      <w:numFmt w:val="bullet"/>
      <w:lvlText w:val="■"/>
      <w:lvlJc w:val="left"/>
      <w:pPr>
        <w:ind w:left="2160" w:hanging="360"/>
      </w:pPr>
    </w:lvl>
    <w:lvl w:ilvl="3" w:tplc="6E3EDD04">
      <w:start w:val="1"/>
      <w:numFmt w:val="bullet"/>
      <w:lvlText w:val="●"/>
      <w:lvlJc w:val="left"/>
      <w:pPr>
        <w:ind w:left="2880" w:hanging="360"/>
      </w:pPr>
    </w:lvl>
    <w:lvl w:ilvl="4" w:tplc="926E23C0">
      <w:start w:val="1"/>
      <w:numFmt w:val="bullet"/>
      <w:lvlText w:val="○"/>
      <w:lvlJc w:val="left"/>
      <w:pPr>
        <w:ind w:left="3600" w:hanging="360"/>
      </w:pPr>
    </w:lvl>
    <w:lvl w:ilvl="5" w:tplc="C64E5BDE">
      <w:start w:val="1"/>
      <w:numFmt w:val="bullet"/>
      <w:lvlText w:val="■"/>
      <w:lvlJc w:val="left"/>
      <w:pPr>
        <w:ind w:left="4320" w:hanging="360"/>
      </w:pPr>
    </w:lvl>
    <w:lvl w:ilvl="6" w:tplc="AD42612E">
      <w:start w:val="1"/>
      <w:numFmt w:val="bullet"/>
      <w:lvlText w:val="●"/>
      <w:lvlJc w:val="left"/>
      <w:pPr>
        <w:ind w:left="5040" w:hanging="360"/>
      </w:pPr>
    </w:lvl>
    <w:lvl w:ilvl="7" w:tplc="99F60270">
      <w:start w:val="1"/>
      <w:numFmt w:val="bullet"/>
      <w:lvlText w:val="●"/>
      <w:lvlJc w:val="left"/>
      <w:pPr>
        <w:ind w:left="5760" w:hanging="360"/>
      </w:pPr>
    </w:lvl>
    <w:lvl w:ilvl="8" w:tplc="EF60BE46">
      <w:start w:val="1"/>
      <w:numFmt w:val="bullet"/>
      <w:lvlText w:val="●"/>
      <w:lvlJc w:val="left"/>
      <w:pPr>
        <w:ind w:left="6480" w:hanging="360"/>
      </w:pPr>
    </w:lvl>
  </w:abstractNum>
  <w:num w:numId="1" w16cid:durableId="1976324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607"/>
    <w:rsid w:val="005D08E3"/>
    <w:rsid w:val="00EA6607"/>
    <w:rsid w:val="00ED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9A21"/>
  <w15:docId w15:val="{A02C9924-7D7F-4DBE-B804-503083A1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1930</Words>
  <Characters>11006</Characters>
  <Application>Microsoft Office Word</Application>
  <DocSecurity>0</DocSecurity>
  <Lines>91</Lines>
  <Paragraphs>25</Paragraphs>
  <ScaleCrop>false</ScaleCrop>
  <Company>HP</Company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Eco-Dysformer v2 — Project Progress Report</dc:title>
  <dc:creator>Eco-Dysformer v2</dc:creator>
  <cp:lastModifiedBy>PJ Joseph</cp:lastModifiedBy>
  <cp:revision>2</cp:revision>
  <dcterms:created xsi:type="dcterms:W3CDTF">2026-07-07T19:03:00Z</dcterms:created>
  <dcterms:modified xsi:type="dcterms:W3CDTF">2026-07-07T19:14:00Z</dcterms:modified>
</cp:coreProperties>
</file>