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titleOfpaper"/>
    <w:p w14:paraId="73D34194" w14:textId="77777777" w:rsidR="000A359F" w:rsidRPr="0071163B" w:rsidRDefault="00E03055" w:rsidP="00810BB1">
      <w:pPr>
        <w:pStyle w:val="TITLEPAGEAllcapsCenteredBefore72ptAfter24ptLi"/>
        <w:spacing w:before="1200" w:line="240" w:lineRule="auto"/>
        <w:ind w:firstLine="0"/>
      </w:pPr>
      <w:r w:rsidRPr="0071163B">
        <w:fldChar w:fldCharType="begin"/>
      </w:r>
      <w:r w:rsidRPr="0071163B">
        <w:instrText xml:space="preserve"> FILLIN  "</w:instrText>
      </w:r>
      <w:r w:rsidR="0011143F" w:rsidRPr="0071163B">
        <w:instrText xml:space="preserve"> If your title is two lines long, press Shift Enter before typing the second line</w:instrText>
      </w:r>
      <w:r w:rsidRPr="0071163B">
        <w:instrText xml:space="preserve">." \d "TYPE TITLE OF PAPER" </w:instrText>
      </w:r>
      <w:r w:rsidRPr="0071163B">
        <w:fldChar w:fldCharType="separate"/>
      </w:r>
      <w:r w:rsidR="001B11B5" w:rsidRPr="0071163B">
        <w:t xml:space="preserve">QUALIFICATIONS OF </w:t>
      </w:r>
      <w:r w:rsidR="009B4F9D" w:rsidRPr="0071163B">
        <w:t>Overseers</w:t>
      </w:r>
      <w:r w:rsidR="00066285" w:rsidRPr="0071163B">
        <w:t>:</w:t>
      </w:r>
      <w:r w:rsidR="00797683">
        <w:t xml:space="preserve"> </w:t>
      </w:r>
      <w:r w:rsidRPr="0071163B">
        <w:fldChar w:fldCharType="end"/>
      </w:r>
      <w:r w:rsidR="005D6810">
        <w:t>1 TIMOTHY 3:1-7</w:t>
      </w:r>
    </w:p>
    <w:bookmarkEnd w:id="0"/>
    <w:p w14:paraId="0A87B9F6" w14:textId="77777777" w:rsidR="000A359F" w:rsidRPr="0071163B" w:rsidRDefault="001B11B5" w:rsidP="00810BB1">
      <w:pPr>
        <w:tabs>
          <w:tab w:val="center" w:pos="4320"/>
          <w:tab w:val="left" w:pos="6117"/>
        </w:tabs>
        <w:spacing w:before="720"/>
        <w:ind w:firstLine="0"/>
      </w:pPr>
      <w:r w:rsidRPr="0071163B">
        <w:tab/>
      </w:r>
      <w:r w:rsidR="000A359F" w:rsidRPr="0071163B">
        <w:t>__________________</w:t>
      </w:r>
      <w:r w:rsidRPr="0071163B">
        <w:tab/>
      </w:r>
    </w:p>
    <w:p w14:paraId="13F5DB20" w14:textId="77777777" w:rsidR="000A359F" w:rsidRPr="0071163B" w:rsidRDefault="000A359F" w:rsidP="00810BB1">
      <w:pPr>
        <w:pStyle w:val="TitlePageParagraph"/>
        <w:spacing w:before="720" w:line="480" w:lineRule="auto"/>
        <w:ind w:firstLine="0"/>
      </w:pPr>
      <w:r w:rsidRPr="0071163B">
        <w:t>A Paper</w:t>
      </w:r>
    </w:p>
    <w:p w14:paraId="59E41C69" w14:textId="77777777" w:rsidR="000A359F" w:rsidRPr="0071163B" w:rsidRDefault="000A359F" w:rsidP="00810BB1">
      <w:pPr>
        <w:pStyle w:val="TitlePageParagraph"/>
        <w:spacing w:before="0" w:line="480" w:lineRule="auto"/>
        <w:ind w:firstLine="0"/>
      </w:pPr>
      <w:r w:rsidRPr="0071163B">
        <w:t>Presented to</w:t>
      </w:r>
    </w:p>
    <w:p w14:paraId="1F22D46B" w14:textId="77777777" w:rsidR="000A359F" w:rsidRPr="0071163B" w:rsidRDefault="001B11B5" w:rsidP="00810BB1">
      <w:pPr>
        <w:pStyle w:val="TitlePageParagraph"/>
        <w:spacing w:before="0"/>
        <w:ind w:firstLine="0"/>
      </w:pPr>
      <w:r w:rsidRPr="0071163B">
        <w:t>Dr. Robert Bernard</w:t>
      </w:r>
      <w:r w:rsidR="000A359F" w:rsidRPr="0071163B">
        <w:t xml:space="preserve"> </w:t>
      </w:r>
    </w:p>
    <w:p w14:paraId="163BD268" w14:textId="77777777" w:rsidR="000A359F" w:rsidRPr="0071163B" w:rsidRDefault="00D309BC" w:rsidP="00810BB1">
      <w:pPr>
        <w:pStyle w:val="TitlePageParagraph"/>
        <w:spacing w:after="240"/>
        <w:ind w:firstLine="0"/>
      </w:pPr>
      <w:r w:rsidRPr="0071163B">
        <w:t>Southwestern Baptist Theological Seminary</w:t>
      </w:r>
    </w:p>
    <w:p w14:paraId="1003A8D7" w14:textId="77777777" w:rsidR="000A359F" w:rsidRPr="0071163B" w:rsidRDefault="000A359F" w:rsidP="00810BB1">
      <w:pPr>
        <w:pStyle w:val="TitlePageParagraph"/>
        <w:spacing w:before="480"/>
        <w:ind w:firstLine="0"/>
        <w:rPr>
          <w:caps/>
        </w:rPr>
      </w:pPr>
      <w:r w:rsidRPr="0071163B">
        <w:t>__________________</w:t>
      </w:r>
      <w:r w:rsidRPr="0071163B">
        <w:rPr>
          <w:caps/>
        </w:rPr>
        <w:t xml:space="preserve"> </w:t>
      </w:r>
    </w:p>
    <w:p w14:paraId="7770F766" w14:textId="77777777" w:rsidR="000A359F" w:rsidRPr="0071163B" w:rsidRDefault="000A359F" w:rsidP="00810BB1">
      <w:pPr>
        <w:pStyle w:val="TitlePageParagraph"/>
        <w:spacing w:before="720" w:line="480" w:lineRule="auto"/>
        <w:ind w:firstLine="0"/>
      </w:pPr>
      <w:r w:rsidRPr="0071163B">
        <w:t>In Partial Fulfillment</w:t>
      </w:r>
    </w:p>
    <w:p w14:paraId="43D00635" w14:textId="77777777" w:rsidR="000A359F" w:rsidRPr="0071163B" w:rsidRDefault="000A359F" w:rsidP="00810BB1">
      <w:pPr>
        <w:pStyle w:val="TitlePageParagraph"/>
        <w:spacing w:before="0" w:line="480" w:lineRule="auto"/>
        <w:ind w:firstLine="0"/>
      </w:pPr>
      <w:r w:rsidRPr="0071163B">
        <w:t xml:space="preserve">of the Requirements for </w:t>
      </w:r>
      <w:r w:rsidR="001B11B5" w:rsidRPr="0071163B">
        <w:t>Greek 4323</w:t>
      </w:r>
    </w:p>
    <w:p w14:paraId="1E8AE65D" w14:textId="77777777" w:rsidR="000A359F" w:rsidRPr="0071163B" w:rsidRDefault="000A359F" w:rsidP="00810BB1">
      <w:pPr>
        <w:pStyle w:val="TitlePageParagraph"/>
        <w:spacing w:before="720" w:line="560" w:lineRule="exact"/>
        <w:ind w:firstLine="0"/>
        <w:rPr>
          <w:caps/>
        </w:rPr>
      </w:pPr>
      <w:r w:rsidRPr="0071163B">
        <w:t>__________________</w:t>
      </w:r>
      <w:r w:rsidRPr="0071163B">
        <w:rPr>
          <w:caps/>
        </w:rPr>
        <w:t xml:space="preserve"> </w:t>
      </w:r>
    </w:p>
    <w:p w14:paraId="51B43FB9" w14:textId="77777777" w:rsidR="000A359F" w:rsidRPr="0071163B" w:rsidRDefault="000A359F" w:rsidP="00810BB1">
      <w:pPr>
        <w:pStyle w:val="TitlePageParagraph"/>
        <w:spacing w:before="960" w:line="480" w:lineRule="auto"/>
        <w:ind w:firstLine="0"/>
      </w:pPr>
      <w:r w:rsidRPr="0071163B">
        <w:t>by</w:t>
      </w:r>
    </w:p>
    <w:p w14:paraId="0AFD700E" w14:textId="77777777" w:rsidR="000A359F" w:rsidRPr="0071163B" w:rsidRDefault="001B11B5" w:rsidP="00810BB1">
      <w:pPr>
        <w:pStyle w:val="TitlePageParagraph"/>
        <w:spacing w:before="0"/>
        <w:ind w:firstLine="0"/>
      </w:pPr>
      <w:r w:rsidRPr="0071163B">
        <w:t>PJ King</w:t>
      </w:r>
    </w:p>
    <w:p w14:paraId="37C08661" w14:textId="77777777" w:rsidR="00C2206B" w:rsidRPr="0071163B" w:rsidRDefault="007012C7" w:rsidP="00810BB1">
      <w:pPr>
        <w:pStyle w:val="TitlePageParagraph"/>
        <w:ind w:firstLine="0"/>
      </w:pPr>
      <w:r w:rsidRPr="0071163B">
        <w:t xml:space="preserve">October </w:t>
      </w:r>
      <w:r w:rsidR="001C71AB">
        <w:t>26</w:t>
      </w:r>
      <w:r w:rsidR="001B11B5" w:rsidRPr="0071163B">
        <w:t>, 2011</w:t>
      </w:r>
    </w:p>
    <w:p w14:paraId="6FF0010A" w14:textId="77777777" w:rsidR="009C36F7" w:rsidRPr="0071163B" w:rsidRDefault="009C36F7" w:rsidP="009C36F7">
      <w:pPr>
        <w:pStyle w:val="TitlePageParagraph"/>
        <w:jc w:val="left"/>
        <w:rPr>
          <w:caps/>
        </w:rPr>
      </w:pPr>
    </w:p>
    <w:p w14:paraId="6564D99C" w14:textId="77777777" w:rsidR="00217713" w:rsidRPr="0071163B" w:rsidRDefault="00217713" w:rsidP="000C5711">
      <w:pPr>
        <w:spacing w:before="240"/>
        <w:sectPr w:rsidR="00217713" w:rsidRPr="0071163B" w:rsidSect="00894482">
          <w:headerReference w:type="even" r:id="rId9"/>
          <w:headerReference w:type="default" r:id="rId10"/>
          <w:footerReference w:type="even" r:id="rId11"/>
          <w:footerReference w:type="first" r:id="rId12"/>
          <w:pgSz w:w="12240" w:h="15840" w:code="1"/>
          <w:pgMar w:top="1440" w:right="1440" w:bottom="1440" w:left="1440" w:header="1008" w:footer="528" w:gutter="0"/>
          <w:cols w:space="720"/>
          <w:titlePg/>
          <w:docGrid w:linePitch="360"/>
        </w:sectPr>
      </w:pPr>
    </w:p>
    <w:p w14:paraId="68FD34F9" w14:textId="77777777" w:rsidR="004D242F" w:rsidRDefault="004D242F" w:rsidP="00A62042">
      <w:pPr>
        <w:pStyle w:val="TITLEPAGEAllcapsCenteredBefore72ptAfter24ptLi"/>
        <w:spacing w:before="720" w:line="240" w:lineRule="auto"/>
        <w:rPr>
          <w:caps w:val="0"/>
        </w:rPr>
      </w:pPr>
    </w:p>
    <w:p w14:paraId="54E62599" w14:textId="77777777" w:rsidR="00FD4661" w:rsidRPr="0071163B" w:rsidRDefault="001A37D0" w:rsidP="00FD4661">
      <w:pPr>
        <w:pStyle w:val="TITLEPAGEAllcapsCenteredBefore72ptAfter24ptLi"/>
        <w:spacing w:before="720" w:line="240" w:lineRule="auto"/>
      </w:pPr>
      <w:r w:rsidRPr="0071163B">
        <w:rPr>
          <w:caps w:val="0"/>
        </w:rPr>
        <w:fldChar w:fldCharType="begin"/>
      </w:r>
      <w:r w:rsidRPr="0071163B">
        <w:rPr>
          <w:caps w:val="0"/>
        </w:rPr>
        <w:instrText xml:space="preserve"> REF  titleOfpaper  \* MERGEFORMAT </w:instrText>
      </w:r>
      <w:r w:rsidRPr="0071163B">
        <w:rPr>
          <w:caps w:val="0"/>
        </w:rPr>
        <w:fldChar w:fldCharType="begin"/>
      </w:r>
      <w:r w:rsidRPr="0071163B">
        <w:rPr>
          <w:caps w:val="0"/>
        </w:rPr>
        <w:instrText xml:space="preserve"> REF  titleOfpaper \* Upper </w:instrText>
      </w:r>
      <w:r w:rsidR="004619FC" w:rsidRPr="0071163B">
        <w:rPr>
          <w:caps w:val="0"/>
        </w:rPr>
        <w:instrText xml:space="preserve"> \* MERGEFORMAT </w:instrText>
      </w:r>
      <w:r w:rsidRPr="0071163B">
        <w:rPr>
          <w:caps w:val="0"/>
        </w:rPr>
        <w:fldChar w:fldCharType="separate"/>
      </w:r>
      <w:r w:rsidR="00FD4661" w:rsidRPr="0071163B">
        <w:rPr>
          <w:caps w:val="0"/>
        </w:rPr>
        <w:instrText>QUALIFICATIONS OF OVERSEERS:</w:instrText>
      </w:r>
      <w:r w:rsidR="00FD4661">
        <w:rPr>
          <w:caps w:val="0"/>
        </w:rPr>
        <w:instrText xml:space="preserve"> 1 TIMOTHY 3:1-7</w:instrText>
      </w:r>
    </w:p>
    <w:p w14:paraId="1C3D4310" w14:textId="77777777" w:rsidR="00FD4661" w:rsidRPr="0071163B" w:rsidRDefault="001A37D0" w:rsidP="00894482">
      <w:pPr>
        <w:pStyle w:val="TITLEPAGEAllcapsCenteredBefore72ptAfter24ptLi"/>
        <w:spacing w:before="1440"/>
        <w:ind w:firstLine="0"/>
      </w:pPr>
      <w:r w:rsidRPr="0071163B">
        <w:rPr>
          <w:caps w:val="0"/>
        </w:rPr>
        <w:fldChar w:fldCharType="end"/>
      </w:r>
      <w:r w:rsidRPr="0071163B">
        <w:rPr>
          <w:caps w:val="0"/>
        </w:rPr>
        <w:fldChar w:fldCharType="separate"/>
      </w:r>
      <w:r w:rsidR="00FD4661" w:rsidRPr="0071163B">
        <w:t>QUALIFICATIONS OF Overseers:</w:t>
      </w:r>
      <w:r w:rsidR="00FD4661">
        <w:t xml:space="preserve"> 1 TIMOTHY 3:1-7</w:t>
      </w:r>
    </w:p>
    <w:p w14:paraId="7542868A" w14:textId="77777777" w:rsidR="005D3B19" w:rsidRPr="0071163B" w:rsidRDefault="001A37D0" w:rsidP="005D3B19">
      <w:pPr>
        <w:pStyle w:val="NormalIndent"/>
      </w:pPr>
      <w:r w:rsidRPr="0071163B">
        <w:rPr>
          <w:caps/>
        </w:rPr>
        <w:fldChar w:fldCharType="end"/>
      </w:r>
      <w:r w:rsidR="0082387B">
        <w:t xml:space="preserve">The passage </w:t>
      </w:r>
      <w:proofErr w:type="gramStart"/>
      <w:r w:rsidR="0082387B">
        <w:t>of 1 Timothy</w:t>
      </w:r>
      <w:proofErr w:type="gramEnd"/>
      <w:r w:rsidR="0082387B">
        <w:t xml:space="preserve"> 3:1-7</w:t>
      </w:r>
      <w:r w:rsidR="00606950" w:rsidRPr="0071163B">
        <w:t xml:space="preserve"> is </w:t>
      </w:r>
      <w:r w:rsidR="006B63BB">
        <w:t xml:space="preserve">generally understood </w:t>
      </w:r>
      <w:r w:rsidR="00606950" w:rsidRPr="0071163B">
        <w:t xml:space="preserve">to be a list of </w:t>
      </w:r>
      <w:r w:rsidR="00A5676A" w:rsidRPr="0071163B">
        <w:t xml:space="preserve">character-based </w:t>
      </w:r>
      <w:r w:rsidR="00606950" w:rsidRPr="0071163B">
        <w:t xml:space="preserve">qualifications for </w:t>
      </w:r>
      <w:r w:rsidR="0082387B">
        <w:t>overseers</w:t>
      </w:r>
      <w:r w:rsidR="00606950" w:rsidRPr="0071163B">
        <w:t xml:space="preserve"> </w:t>
      </w:r>
      <w:r w:rsidR="00920DA4" w:rsidRPr="0071163B">
        <w:t xml:space="preserve">in </w:t>
      </w:r>
      <w:r w:rsidR="00606950" w:rsidRPr="0071163B">
        <w:t>the New Testament Church.</w:t>
      </w:r>
      <w:r w:rsidR="00714A0D" w:rsidRPr="0071163B">
        <w:t xml:space="preserve"> Although the majority of the passage is straight-forward and </w:t>
      </w:r>
      <w:r w:rsidR="006B63BB">
        <w:t>un</w:t>
      </w:r>
      <w:r w:rsidR="00714A0D" w:rsidRPr="0071163B">
        <w:t xml:space="preserve">controversial, there are a few matters which have generated much debate. </w:t>
      </w:r>
      <w:r w:rsidR="006B63BB">
        <w:t xml:space="preserve">First, </w:t>
      </w:r>
      <w:r w:rsidR="00A34432" w:rsidRPr="0071163B">
        <w:t xml:space="preserve">there </w:t>
      </w:r>
      <w:r w:rsidR="001A2BDD" w:rsidRPr="0071163B">
        <w:t xml:space="preserve">are questions </w:t>
      </w:r>
      <w:r w:rsidR="00A34432" w:rsidRPr="0071163B">
        <w:t xml:space="preserve">about the tradition of </w:t>
      </w:r>
      <w:r w:rsidR="001A2BDD" w:rsidRPr="0071163B">
        <w:t xml:space="preserve">Pauline </w:t>
      </w:r>
      <w:r w:rsidR="009819B5" w:rsidRPr="0071163B">
        <w:t>authorship</w:t>
      </w:r>
      <w:r w:rsidR="006B63BB" w:rsidRPr="006B63BB">
        <w:t xml:space="preserve"> </w:t>
      </w:r>
      <w:r w:rsidR="006B63BB">
        <w:t xml:space="preserve">for the </w:t>
      </w:r>
      <w:r w:rsidR="006B63BB" w:rsidRPr="0071163B">
        <w:t>whole of the Pastoral Epistles (</w:t>
      </w:r>
      <w:r w:rsidR="006B63BB" w:rsidRPr="0071163B">
        <w:rPr>
          <w:i/>
        </w:rPr>
        <w:t>PE</w:t>
      </w:r>
      <w:r w:rsidR="006B63BB" w:rsidRPr="0071163B">
        <w:t>, 1 &amp; 2 Timothy, Titus)</w:t>
      </w:r>
      <w:r w:rsidR="009819B5" w:rsidRPr="0071163B">
        <w:t>.</w:t>
      </w:r>
      <w:r w:rsidR="00DE7AD3" w:rsidRPr="0071163B">
        <w:t xml:space="preserve"> </w:t>
      </w:r>
      <w:r w:rsidR="006B63BB">
        <w:t>Second, i</w:t>
      </w:r>
      <w:r w:rsidR="008A7BAF" w:rsidRPr="0071163B">
        <w:t>n limited circles</w:t>
      </w:r>
      <w:r w:rsidR="000A3017" w:rsidRPr="0071163B">
        <w:rPr>
          <w:rStyle w:val="FootnoteReference"/>
        </w:rPr>
        <w:footnoteReference w:id="1"/>
      </w:r>
      <w:r w:rsidR="008A7BAF" w:rsidRPr="0071163B">
        <w:t xml:space="preserve"> there is concern over the language of</w:t>
      </w:r>
      <w:r w:rsidR="000E7903" w:rsidRPr="0071163B">
        <w:t xml:space="preserve"> </w:t>
      </w:r>
      <w:r w:rsidR="008A7BAF" w:rsidRPr="0071163B">
        <w:rPr>
          <w:i/>
        </w:rPr>
        <w:t>drunkard</w:t>
      </w:r>
      <w:r w:rsidR="000E7903" w:rsidRPr="0071163B">
        <w:t xml:space="preserve"> (πάροινος</w:t>
      </w:r>
      <w:r w:rsidR="00B533AC" w:rsidRPr="0071163B">
        <w:t>, v. 3</w:t>
      </w:r>
      <w:r w:rsidR="0082387B">
        <w:t xml:space="preserve">). </w:t>
      </w:r>
      <w:r w:rsidR="006B63BB">
        <w:t>Finally, and of c</w:t>
      </w:r>
      <w:r w:rsidR="007B6D67" w:rsidRPr="0071163B">
        <w:t>oncern to all, is the ambiguous phrase</w:t>
      </w:r>
      <w:r w:rsidR="00090B83" w:rsidRPr="0071163B">
        <w:t xml:space="preserve"> </w:t>
      </w:r>
      <w:r w:rsidR="00090B83" w:rsidRPr="0071163B">
        <w:rPr>
          <w:i/>
        </w:rPr>
        <w:t xml:space="preserve">husband of one wife </w:t>
      </w:r>
      <w:r w:rsidR="008246CF" w:rsidRPr="0071163B">
        <w:t>(</w:t>
      </w:r>
      <w:r w:rsidR="008246CF" w:rsidRPr="0071163B">
        <w:rPr>
          <w:bCs/>
          <w:lang w:val="el-GR"/>
        </w:rPr>
        <w:t>μιᾶς γυναικὸς ἄνδρα</w:t>
      </w:r>
      <w:r w:rsidR="008246CF" w:rsidRPr="0071163B">
        <w:t xml:space="preserve">) </w:t>
      </w:r>
      <w:r w:rsidR="00D5498E">
        <w:t>in v. 2</w:t>
      </w:r>
      <w:r w:rsidR="00090B83" w:rsidRPr="0071163B">
        <w:t xml:space="preserve">. </w:t>
      </w:r>
    </w:p>
    <w:p w14:paraId="14305226" w14:textId="77777777" w:rsidR="005D3B19" w:rsidRPr="0071163B" w:rsidRDefault="00354868" w:rsidP="00810BB1">
      <w:pPr>
        <w:pStyle w:val="Heading1"/>
      </w:pPr>
      <w:r w:rsidRPr="0071163B">
        <w:t>Context</w:t>
      </w:r>
    </w:p>
    <w:p w14:paraId="1CCC3294" w14:textId="77777777" w:rsidR="000A061C" w:rsidRPr="0071163B" w:rsidRDefault="00354868" w:rsidP="000A061C">
      <w:pPr>
        <w:pStyle w:val="NormalindentedParagraph"/>
      </w:pPr>
      <w:r w:rsidRPr="0071163B">
        <w:t xml:space="preserve">The </w:t>
      </w:r>
      <w:r w:rsidRPr="0071163B">
        <w:rPr>
          <w:i/>
        </w:rPr>
        <w:t>First</w:t>
      </w:r>
      <w:r w:rsidRPr="0071163B">
        <w:t xml:space="preserve"> </w:t>
      </w:r>
      <w:r w:rsidRPr="0071163B">
        <w:rPr>
          <w:i/>
        </w:rPr>
        <w:t xml:space="preserve">Epistle of Paul to Timothy </w:t>
      </w:r>
      <w:r w:rsidRPr="0071163B">
        <w:t>has been traditionally viewed as a letter written by the historical Paul to the historical Timothy.</w:t>
      </w:r>
      <w:r w:rsidR="000A03F5" w:rsidRPr="0071163B">
        <w:t xml:space="preserve"> However,</w:t>
      </w:r>
      <w:r w:rsidR="006B63BB">
        <w:t xml:space="preserve"> throughout the modern era</w:t>
      </w:r>
      <w:r w:rsidR="000A03F5" w:rsidRPr="0071163B">
        <w:t xml:space="preserve"> </w:t>
      </w:r>
      <w:r w:rsidR="00D453BF" w:rsidRPr="0071163B">
        <w:t xml:space="preserve">there </w:t>
      </w:r>
      <w:r w:rsidR="000A03F5" w:rsidRPr="0071163B">
        <w:t xml:space="preserve">has been </w:t>
      </w:r>
      <w:r w:rsidR="00D453BF" w:rsidRPr="0071163B">
        <w:t xml:space="preserve">ongoing debate </w:t>
      </w:r>
      <w:r w:rsidR="000A03F5" w:rsidRPr="0071163B">
        <w:t>over</w:t>
      </w:r>
      <w:r w:rsidR="00E30FE4" w:rsidRPr="0071163B">
        <w:t xml:space="preserve"> the </w:t>
      </w:r>
      <w:r w:rsidR="006B63BB">
        <w:t>validity</w:t>
      </w:r>
      <w:r w:rsidR="006B63BB" w:rsidRPr="0071163B">
        <w:t xml:space="preserve"> </w:t>
      </w:r>
      <w:r w:rsidR="00E30FE4" w:rsidRPr="0071163B">
        <w:t xml:space="preserve">of </w:t>
      </w:r>
      <w:r w:rsidR="00D453BF" w:rsidRPr="0071163B">
        <w:t>the traditional view</w:t>
      </w:r>
      <w:r w:rsidR="000A061C" w:rsidRPr="0071163B">
        <w:t>. I. Howard Marshall (who theorizes against Pauline authorship)</w:t>
      </w:r>
      <w:r w:rsidR="000A061C" w:rsidRPr="0071163B">
        <w:rPr>
          <w:rStyle w:val="FootnoteReference"/>
        </w:rPr>
        <w:footnoteReference w:id="2"/>
      </w:r>
      <w:r w:rsidR="000A061C" w:rsidRPr="0071163B">
        <w:t xml:space="preserve"> provides this view of the scholarly divide:</w:t>
      </w:r>
    </w:p>
    <w:p w14:paraId="60BD2923" w14:textId="77777777" w:rsidR="000A061C" w:rsidRPr="0071163B" w:rsidRDefault="000A061C" w:rsidP="00810BB1">
      <w:pPr>
        <w:pStyle w:val="BlockQuote"/>
      </w:pPr>
      <w:r w:rsidRPr="0071163B">
        <w:t xml:space="preserve">A significant minority of scholars hold that the PE are the work of Paul, whether directly or indirectly by the use of a secretary/amanuensis. Nevertheless, most other scholars now take it almost as an unquestioned assumption that the PE </w:t>
      </w:r>
      <w:proofErr w:type="gramStart"/>
      <w:r w:rsidRPr="0071163B">
        <w:t>are</w:t>
      </w:r>
      <w:proofErr w:type="gramEnd"/>
      <w:r w:rsidRPr="0071163B">
        <w:t xml:space="preserve"> not the work of Paul.</w:t>
      </w:r>
      <w:r w:rsidRPr="0071163B">
        <w:rPr>
          <w:rStyle w:val="FootnoteReference"/>
        </w:rPr>
        <w:footnoteReference w:id="3"/>
      </w:r>
    </w:p>
    <w:p w14:paraId="53E00798" w14:textId="77777777" w:rsidR="003D0222" w:rsidRPr="0071163B" w:rsidRDefault="000A061C" w:rsidP="000A061C">
      <w:pPr>
        <w:pStyle w:val="NormalindentedParagraph"/>
        <w:ind w:firstLine="0"/>
      </w:pPr>
      <w:r w:rsidRPr="0071163B">
        <w:lastRenderedPageBreak/>
        <w:t xml:space="preserve">The authorship debate hinges </w:t>
      </w:r>
      <w:r w:rsidR="00D453BF" w:rsidRPr="0071163B">
        <w:t xml:space="preserve">primarily on </w:t>
      </w:r>
      <w:r w:rsidR="00E30FE4" w:rsidRPr="0071163B">
        <w:t>the author’s</w:t>
      </w:r>
      <w:r w:rsidR="004353D6" w:rsidRPr="0071163B">
        <w:t xml:space="preserve"> language, styl</w:t>
      </w:r>
      <w:r w:rsidR="00E30FE4" w:rsidRPr="0071163B">
        <w:t>e, and thought</w:t>
      </w:r>
      <w:r w:rsidR="00D453BF" w:rsidRPr="0071163B">
        <w:t>,</w:t>
      </w:r>
      <w:r w:rsidR="00D453BF" w:rsidRPr="0071163B">
        <w:rPr>
          <w:rStyle w:val="FootnoteReference"/>
        </w:rPr>
        <w:footnoteReference w:id="4"/>
      </w:r>
      <w:r w:rsidR="00E30FE4" w:rsidRPr="0071163B">
        <w:t xml:space="preserve"> </w:t>
      </w:r>
      <w:r w:rsidRPr="0071163B">
        <w:t>and not on</w:t>
      </w:r>
      <w:r w:rsidR="00E30FE4" w:rsidRPr="0071163B">
        <w:t xml:space="preserve"> historical timelines.</w:t>
      </w:r>
      <w:r w:rsidR="00D453BF" w:rsidRPr="0071163B">
        <w:rPr>
          <w:rStyle w:val="FootnoteReference"/>
        </w:rPr>
        <w:footnoteReference w:id="5"/>
      </w:r>
      <w:r w:rsidR="001A331A" w:rsidRPr="0071163B">
        <w:t xml:space="preserve"> </w:t>
      </w:r>
      <w:r w:rsidR="006B63BB">
        <w:t xml:space="preserve">This </w:t>
      </w:r>
      <w:r w:rsidR="009F36FE" w:rsidRPr="0071163B">
        <w:t>lack of historical concern</w:t>
      </w:r>
      <w:r w:rsidR="006B63BB">
        <w:t xml:space="preserve"> undermines</w:t>
      </w:r>
      <w:r w:rsidR="009F36FE" w:rsidRPr="0071163B">
        <w:t xml:space="preserve"> the majority</w:t>
      </w:r>
      <w:r w:rsidR="009B584B" w:rsidRPr="0071163B">
        <w:t xml:space="preserve"> </w:t>
      </w:r>
      <w:r w:rsidR="009F36FE" w:rsidRPr="0071163B">
        <w:t>argument</w:t>
      </w:r>
      <w:r w:rsidR="007C79DA" w:rsidRPr="0071163B">
        <w:t xml:space="preserve">. The linguistic and stylistic differences between the PE and the definitive Pauline corpus can be accounted for in </w:t>
      </w:r>
      <w:r w:rsidR="006B63BB">
        <w:t>at least two ways</w:t>
      </w:r>
      <w:r w:rsidR="007C79DA" w:rsidRPr="0071163B">
        <w:t>.</w:t>
      </w:r>
      <w:r w:rsidR="00BB1EFA" w:rsidRPr="0071163B">
        <w:t xml:space="preserve"> </w:t>
      </w:r>
      <w:r w:rsidR="006B63BB">
        <w:t>First, c</w:t>
      </w:r>
      <w:r w:rsidR="00BB1EFA" w:rsidRPr="0071163B">
        <w:t xml:space="preserve">onsider the different style and vocabulary Paul might use with the </w:t>
      </w:r>
      <w:r w:rsidR="00A105B2" w:rsidRPr="0071163B">
        <w:t>recipients of the Pastoral Epistles (Timothy and Titus</w:t>
      </w:r>
      <w:r w:rsidR="006B63BB">
        <w:t>,</w:t>
      </w:r>
      <w:r w:rsidR="00A105B2" w:rsidRPr="0071163B">
        <w:t xml:space="preserve"> with whom Paul has a close relationship) to the typical audience of a Pauline letter (a particular church facing a particular crisis</w:t>
      </w:r>
      <w:r w:rsidR="006B63BB">
        <w:t>,</w:t>
      </w:r>
      <w:r w:rsidR="00A105B2" w:rsidRPr="0071163B">
        <w:t xml:space="preserve"> with the expectation of other churches reading the letter).</w:t>
      </w:r>
      <w:r w:rsidR="00044210" w:rsidRPr="0071163B">
        <w:rPr>
          <w:rStyle w:val="FootnoteReference"/>
        </w:rPr>
        <w:footnoteReference w:id="6"/>
      </w:r>
      <w:r w:rsidR="00E418CD" w:rsidRPr="0071163B">
        <w:t xml:space="preserve"> </w:t>
      </w:r>
      <w:r w:rsidR="006B63BB">
        <w:t>A second explanation</w:t>
      </w:r>
      <w:r w:rsidR="00E418CD" w:rsidRPr="0071163B">
        <w:t>, which</w:t>
      </w:r>
      <w:r w:rsidR="006B63BB">
        <w:t xml:space="preserve"> has been offered</w:t>
      </w:r>
      <w:r w:rsidR="00E418CD" w:rsidRPr="0071163B">
        <w:t xml:space="preserve"> by many </w:t>
      </w:r>
      <w:r w:rsidR="00481C5B" w:rsidRPr="0071163B">
        <w:t xml:space="preserve">minority </w:t>
      </w:r>
      <w:r w:rsidR="00E418CD" w:rsidRPr="0071163B">
        <w:t>scholars</w:t>
      </w:r>
      <w:r w:rsidR="00E32A61">
        <w:t>,</w:t>
      </w:r>
      <w:r w:rsidR="00E418CD" w:rsidRPr="0071163B">
        <w:rPr>
          <w:rStyle w:val="FootnoteReference"/>
        </w:rPr>
        <w:footnoteReference w:id="7"/>
      </w:r>
      <w:r w:rsidR="000A3D66" w:rsidRPr="0071163B">
        <w:t xml:space="preserve"> is that the amanuensis </w:t>
      </w:r>
      <w:r w:rsidR="006B63BB">
        <w:t xml:space="preserve">(secretary) </w:t>
      </w:r>
      <w:r w:rsidR="000A3D66" w:rsidRPr="0071163B">
        <w:t xml:space="preserve">changed </w:t>
      </w:r>
      <w:r w:rsidR="00600784" w:rsidRPr="0071163B">
        <w:t>between</w:t>
      </w:r>
      <w:r w:rsidR="000A3D66" w:rsidRPr="0071163B">
        <w:t xml:space="preserve"> Paul’</w:t>
      </w:r>
      <w:r w:rsidR="00600784" w:rsidRPr="0071163B">
        <w:t>s other writings and</w:t>
      </w:r>
      <w:r w:rsidR="000A3D66" w:rsidRPr="0071163B">
        <w:t xml:space="preserve"> the PE</w:t>
      </w:r>
      <w:r w:rsidR="006B63BB">
        <w:t xml:space="preserve">, </w:t>
      </w:r>
      <w:r w:rsidR="00600784" w:rsidRPr="0071163B">
        <w:t>or more license was given to the writer</w:t>
      </w:r>
      <w:r w:rsidR="000A3D66" w:rsidRPr="0071163B">
        <w:t>, which brought about the linguistic differences.</w:t>
      </w:r>
      <w:r w:rsidR="00F36899" w:rsidRPr="0071163B">
        <w:t xml:space="preserve"> Furthermore,</w:t>
      </w:r>
      <w:r w:rsidR="008237D9">
        <w:t xml:space="preserve"> the assumption of non-</w:t>
      </w:r>
      <w:r w:rsidR="00F36899" w:rsidRPr="0071163B">
        <w:t xml:space="preserve">Pauline authorship brings </w:t>
      </w:r>
      <w:r w:rsidR="008237D9">
        <w:t xml:space="preserve">with it a number of </w:t>
      </w:r>
      <w:r w:rsidR="00F36899" w:rsidRPr="0071163B">
        <w:t>problems concerning the auth</w:t>
      </w:r>
      <w:r w:rsidR="00391EBD" w:rsidRPr="0071163B">
        <w:t>enticity and authority of the Pastoral Epistles</w:t>
      </w:r>
      <w:r w:rsidR="00F36899" w:rsidRPr="0071163B">
        <w:t xml:space="preserve">. </w:t>
      </w:r>
      <w:r w:rsidR="008237D9">
        <w:t>As</w:t>
      </w:r>
      <w:r w:rsidR="008237D9" w:rsidRPr="0071163B">
        <w:t xml:space="preserve"> </w:t>
      </w:r>
      <w:r w:rsidR="00574B8D" w:rsidRPr="0071163B">
        <w:t>Walter Liefeld</w:t>
      </w:r>
      <w:r w:rsidR="00E32A61">
        <w:t xml:space="preserve"> </w:t>
      </w:r>
      <w:r w:rsidR="008237D9">
        <w:t>comments,</w:t>
      </w:r>
      <w:r w:rsidR="009530F2" w:rsidRPr="0071163B">
        <w:t xml:space="preserve"> “If the historical Paul and the historical Timothy and Titus are not the author and recipients, we move away not only from history towards fiction, but also away from a natural, legitimate understanding of the text.”</w:t>
      </w:r>
      <w:r w:rsidR="009530F2" w:rsidRPr="0071163B">
        <w:rPr>
          <w:rStyle w:val="FootnoteReference"/>
        </w:rPr>
        <w:footnoteReference w:id="8"/>
      </w:r>
      <w:r w:rsidR="004370FF" w:rsidRPr="0071163B">
        <w:t xml:space="preserve"> For these </w:t>
      </w:r>
      <w:r w:rsidR="004370FF" w:rsidRPr="0071163B">
        <w:lastRenderedPageBreak/>
        <w:t xml:space="preserve">reasons, </w:t>
      </w:r>
      <w:r w:rsidR="00C10010">
        <w:t>this paper</w:t>
      </w:r>
      <w:r w:rsidR="004370FF" w:rsidRPr="0071163B">
        <w:t xml:space="preserve"> will take Towner’s position regarding authorship: “Paul is the author of these three letters however much or little others contributed to their messages and composition.”</w:t>
      </w:r>
      <w:r w:rsidR="004370FF" w:rsidRPr="0071163B">
        <w:rPr>
          <w:rStyle w:val="FootnoteReference"/>
        </w:rPr>
        <w:footnoteReference w:id="9"/>
      </w:r>
    </w:p>
    <w:p w14:paraId="549030ED" w14:textId="77777777" w:rsidR="005D3B19" w:rsidRPr="0071163B" w:rsidRDefault="00B354BD" w:rsidP="001C1A98">
      <w:pPr>
        <w:pStyle w:val="NormalindentedParagraph"/>
      </w:pPr>
      <w:r w:rsidRPr="0071163B">
        <w:t>Paul’s first letter to Timothy is not</w:t>
      </w:r>
      <w:r w:rsidR="009C5B9D" w:rsidRPr="0071163B">
        <w:t xml:space="preserve">eworthy because of its </w:t>
      </w:r>
      <w:r w:rsidR="008237D9">
        <w:t xml:space="preserve">unique blend of </w:t>
      </w:r>
      <w:r w:rsidR="009C5B9D" w:rsidRPr="0071163B">
        <w:t xml:space="preserve">pastoral, </w:t>
      </w:r>
      <w:r w:rsidRPr="0071163B">
        <w:t>ecclesiological</w:t>
      </w:r>
      <w:r w:rsidR="009C5B9D" w:rsidRPr="0071163B">
        <w:t>, and relational</w:t>
      </w:r>
      <w:r w:rsidRPr="0071163B">
        <w:t xml:space="preserve"> concerns. Paul left Timothy in Ephesus to oversee the city’s church, perhaps as an apostolic delegate, in order to bring it back to health</w:t>
      </w:r>
      <w:r w:rsidR="005810FD" w:rsidRPr="0071163B">
        <w:t xml:space="preserve">. </w:t>
      </w:r>
      <w:r w:rsidR="009C5B9D" w:rsidRPr="0071163B">
        <w:t xml:space="preserve">Timothy remained behind, in particular, </w:t>
      </w:r>
      <w:r w:rsidR="005810FD" w:rsidRPr="0071163B">
        <w:t>to protect the church from false teachers</w:t>
      </w:r>
      <w:r w:rsidR="009C5B9D" w:rsidRPr="0071163B">
        <w:t>, who had already done the church some ha</w:t>
      </w:r>
      <w:r w:rsidR="00CC754A" w:rsidRPr="0071163B">
        <w:t>rm</w:t>
      </w:r>
      <w:r w:rsidRPr="0071163B">
        <w:t>.</w:t>
      </w:r>
      <w:r w:rsidR="002E06B1" w:rsidRPr="0071163B">
        <w:t xml:space="preserve"> </w:t>
      </w:r>
      <w:r w:rsidR="008237D9">
        <w:t>T</w:t>
      </w:r>
      <w:r w:rsidR="002E06B1" w:rsidRPr="0071163B">
        <w:t xml:space="preserve">his letter </w:t>
      </w:r>
      <w:r w:rsidR="008237D9">
        <w:t xml:space="preserve">aimed </w:t>
      </w:r>
      <w:r w:rsidR="002E06B1" w:rsidRPr="0071163B">
        <w:t xml:space="preserve">to teach and encourage Timothy in the </w:t>
      </w:r>
      <w:r w:rsidR="00307B47" w:rsidRPr="0071163B">
        <w:t xml:space="preserve">building up of the church in Ephesus, including instructions on corporate worship, church offices, and </w:t>
      </w:r>
      <w:r w:rsidR="00CC754A" w:rsidRPr="0071163B">
        <w:t>personal</w:t>
      </w:r>
      <w:r w:rsidR="00307B47" w:rsidRPr="0071163B">
        <w:t xml:space="preserve"> relationships.</w:t>
      </w:r>
      <w:r w:rsidR="009C5B9D" w:rsidRPr="0071163B">
        <w:t xml:space="preserve"> </w:t>
      </w:r>
      <w:r w:rsidR="00E015C8" w:rsidRPr="0071163B">
        <w:t>B</w:t>
      </w:r>
      <w:r w:rsidR="00C83044" w:rsidRPr="0071163B">
        <w:t xml:space="preserve">etween </w:t>
      </w:r>
      <w:r w:rsidR="008237D9">
        <w:t>Paul’s instructions for corporate worship and methods for dealing with false teaching</w:t>
      </w:r>
      <w:r w:rsidR="005A7ED7" w:rsidRPr="0071163B">
        <w:t>,</w:t>
      </w:r>
      <w:r w:rsidR="00E015C8" w:rsidRPr="0071163B">
        <w:t xml:space="preserve"> we find a most important topic: the qualifications for church officers.</w:t>
      </w:r>
    </w:p>
    <w:p w14:paraId="3AB1E4B7" w14:textId="77777777" w:rsidR="004D2C85" w:rsidRPr="0071163B" w:rsidRDefault="004D2C85" w:rsidP="00810BB1">
      <w:pPr>
        <w:pStyle w:val="Heading1"/>
      </w:pPr>
      <w:r w:rsidRPr="0071163B">
        <w:t>Passage</w:t>
      </w:r>
    </w:p>
    <w:p w14:paraId="55A01A8B" w14:textId="77777777" w:rsidR="001C1A98" w:rsidRPr="0071163B" w:rsidRDefault="001C1A98" w:rsidP="001C1A98">
      <w:pPr>
        <w:pStyle w:val="NormalindentedParagraph"/>
      </w:pPr>
      <w:r w:rsidRPr="0071163B">
        <w:t xml:space="preserve">In this passage, Paul </w:t>
      </w:r>
      <w:r w:rsidR="006632D0">
        <w:t>presents</w:t>
      </w:r>
      <w:r w:rsidRPr="0071163B">
        <w:t xml:space="preserve"> Timothy </w:t>
      </w:r>
      <w:r w:rsidR="006632D0">
        <w:t xml:space="preserve">with </w:t>
      </w:r>
      <w:r w:rsidRPr="0071163B">
        <w:t>a set of qualifications for elders,</w:t>
      </w:r>
      <w:r w:rsidR="00C10010">
        <w:t xml:space="preserve"> and follows with a similar</w:t>
      </w:r>
      <w:r w:rsidRPr="0071163B">
        <w:t xml:space="preserve"> </w:t>
      </w:r>
      <w:r w:rsidR="00C10010">
        <w:t xml:space="preserve">list for </w:t>
      </w:r>
      <w:r w:rsidRPr="0071163B">
        <w:t>deacons</w:t>
      </w:r>
      <w:r w:rsidR="00C10010">
        <w:t xml:space="preserve"> </w:t>
      </w:r>
      <w:r w:rsidRPr="0071163B">
        <w:t>and a group of women</w:t>
      </w:r>
      <w:r w:rsidR="00C10010">
        <w:t xml:space="preserve">. The qualifications largely </w:t>
      </w:r>
      <w:r w:rsidR="00AC4013">
        <w:t xml:space="preserve">focus on </w:t>
      </w:r>
      <w:r w:rsidR="00C10010">
        <w:t xml:space="preserve">character and seem </w:t>
      </w:r>
      <w:r w:rsidRPr="0071163B">
        <w:t xml:space="preserve">specifically nuanced for the problems facing the church in Ephesus. </w:t>
      </w:r>
      <w:r w:rsidR="00AC4013">
        <w:t>Each</w:t>
      </w:r>
      <w:r w:rsidR="00AC4013" w:rsidRPr="0071163B">
        <w:t xml:space="preserve"> </w:t>
      </w:r>
      <w:r w:rsidRPr="0071163B">
        <w:t xml:space="preserve">of these offices come from appointment or selection and clearly </w:t>
      </w:r>
      <w:r w:rsidR="00E32A61" w:rsidRPr="0071163B">
        <w:t>includes</w:t>
      </w:r>
      <w:r w:rsidRPr="0071163B">
        <w:t xml:space="preserve"> a period of testing (either before or after selection). Utmost importance is placed on the character of the candidates, followed by the quality of personal relationships (with the family, Christians, and the world), and lastly, a few qualifications fall directly on ability, e.g., having the ability to teach. </w:t>
      </w:r>
    </w:p>
    <w:p w14:paraId="7A272D12" w14:textId="77777777" w:rsidR="001C1A98" w:rsidRPr="0071163B" w:rsidRDefault="001C1A98" w:rsidP="00810BB1">
      <w:pPr>
        <w:pStyle w:val="Heading2"/>
      </w:pPr>
      <w:r w:rsidRPr="0071163B">
        <w:t>Verse 1</w:t>
      </w:r>
    </w:p>
    <w:p w14:paraId="4BF8FEEE" w14:textId="77777777" w:rsidR="00CC68BA" w:rsidRPr="0071163B" w:rsidRDefault="00000B92" w:rsidP="00810BB1">
      <w:pPr>
        <w:pStyle w:val="BlockQuote"/>
      </w:pPr>
      <w:r w:rsidRPr="0071163B">
        <w:rPr>
          <w:rStyle w:val="FootnoteReference"/>
          <w:lang w:val="el-GR"/>
        </w:rPr>
        <w:footnoteReference w:id="10"/>
      </w:r>
      <w:r w:rsidR="001C1A98" w:rsidRPr="0071163B">
        <w:rPr>
          <w:lang w:val="el-GR"/>
        </w:rPr>
        <w:t>Εἴ τις ἐπισκοπῆς</w:t>
      </w:r>
      <w:r w:rsidRPr="0071163B">
        <w:rPr>
          <w:lang w:val="el-GR"/>
        </w:rPr>
        <w:t xml:space="preserve"> ὀρέγεται, καλοῦ ἔργου ἐπιθυμεῖ</w:t>
      </w:r>
      <w:r w:rsidRPr="0071163B">
        <w:t>.</w:t>
      </w:r>
      <w:r w:rsidRPr="0071163B">
        <w:rPr>
          <w:rStyle w:val="FootnoteReference"/>
        </w:rPr>
        <w:footnoteReference w:id="11"/>
      </w:r>
    </w:p>
    <w:p w14:paraId="2A58BFD0" w14:textId="77777777" w:rsidR="001C1A98" w:rsidRPr="00810BB1" w:rsidRDefault="00CC68BA" w:rsidP="00810BB1">
      <w:pPr>
        <w:pStyle w:val="BlockQuote"/>
        <w:rPr>
          <w:i/>
        </w:rPr>
      </w:pPr>
      <w:r w:rsidRPr="00810BB1">
        <w:rPr>
          <w:i/>
        </w:rPr>
        <w:lastRenderedPageBreak/>
        <w:t>I</w:t>
      </w:r>
      <w:r w:rsidR="001C1A98" w:rsidRPr="00810BB1">
        <w:rPr>
          <w:i/>
        </w:rPr>
        <w:t xml:space="preserve">f anyone aspires </w:t>
      </w:r>
      <w:r w:rsidR="00CB5A25" w:rsidRPr="00810BB1">
        <w:rPr>
          <w:i/>
        </w:rPr>
        <w:t>to a position of responsibility, he desires important work.</w:t>
      </w:r>
      <w:r w:rsidR="00CB5A25" w:rsidRPr="00810BB1">
        <w:rPr>
          <w:rStyle w:val="FootnoteReference"/>
          <w:i/>
        </w:rPr>
        <w:footnoteReference w:id="12"/>
      </w:r>
    </w:p>
    <w:p w14:paraId="29C34FC0" w14:textId="77777777" w:rsidR="00B7201A" w:rsidRPr="0071163B" w:rsidRDefault="00B7201A" w:rsidP="004D2C85">
      <w:pPr>
        <w:pStyle w:val="NormalIndent"/>
      </w:pPr>
      <w:r w:rsidRPr="0071163B">
        <w:rPr>
          <w:bCs/>
        </w:rPr>
        <w:t xml:space="preserve">The term </w:t>
      </w:r>
      <w:r w:rsidRPr="0071163B">
        <w:rPr>
          <w:lang w:val="el-GR"/>
        </w:rPr>
        <w:t>ἐπισκοπῆς</w:t>
      </w:r>
      <w:r w:rsidRPr="0071163B">
        <w:t xml:space="preserve">, translated </w:t>
      </w:r>
      <w:r w:rsidRPr="0071163B">
        <w:rPr>
          <w:i/>
        </w:rPr>
        <w:t>position of responsibility</w:t>
      </w:r>
      <w:r w:rsidRPr="0071163B">
        <w:t xml:space="preserve"> above, could also be translated as </w:t>
      </w:r>
      <w:r w:rsidRPr="0071163B">
        <w:rPr>
          <w:i/>
        </w:rPr>
        <w:t>office of the overseer</w:t>
      </w:r>
      <w:r w:rsidRPr="0071163B">
        <w:t xml:space="preserve">. While there is consensus among scholars that </w:t>
      </w:r>
      <w:r w:rsidRPr="0071163B">
        <w:rPr>
          <w:lang w:val="el-GR"/>
        </w:rPr>
        <w:t>ἐπισκοπῆς</w:t>
      </w:r>
      <w:r w:rsidRPr="0071163B">
        <w:t xml:space="preserve"> at least refers to a position of leadership</w:t>
      </w:r>
      <w:r w:rsidR="000E6D56">
        <w:t>,</w:t>
      </w:r>
      <w:r w:rsidRPr="0071163B">
        <w:rPr>
          <w:rStyle w:val="FootnoteReference"/>
        </w:rPr>
        <w:footnoteReference w:id="13"/>
      </w:r>
      <w:r w:rsidRPr="0071163B">
        <w:t xml:space="preserve"> many contend that the term means specifically the office of an </w:t>
      </w:r>
      <w:r w:rsidRPr="0071163B">
        <w:rPr>
          <w:lang w:val="el-GR"/>
        </w:rPr>
        <w:t>ἐπίσκοπος</w:t>
      </w:r>
      <w:r w:rsidRPr="0071163B">
        <w:t xml:space="preserve"> or </w:t>
      </w:r>
      <w:r w:rsidRPr="0071163B">
        <w:rPr>
          <w:i/>
        </w:rPr>
        <w:t>overseer</w:t>
      </w:r>
      <w:r w:rsidRPr="0071163B">
        <w:t>.</w:t>
      </w:r>
      <w:r w:rsidRPr="0071163B">
        <w:rPr>
          <w:rStyle w:val="FootnoteReference"/>
        </w:rPr>
        <w:footnoteReference w:id="14"/>
      </w:r>
      <w:r w:rsidRPr="0071163B">
        <w:t xml:space="preserve"> However, the position of this paper is that this passage is more concerned with the candidates for office, and not the office itself, and will therefore translate terms with a focus on people and actions, not titles and offices.</w:t>
      </w:r>
    </w:p>
    <w:p w14:paraId="44D753A3" w14:textId="77777777" w:rsidR="004D2C85" w:rsidRPr="0071163B" w:rsidRDefault="0033302F" w:rsidP="004D2C85">
      <w:pPr>
        <w:pStyle w:val="NormalIndent"/>
        <w:rPr>
          <w:bCs/>
        </w:rPr>
      </w:pPr>
      <w:r w:rsidRPr="0071163B">
        <w:rPr>
          <w:bCs/>
        </w:rPr>
        <w:t xml:space="preserve">The first clause of this verse establishes that it </w:t>
      </w:r>
      <w:r w:rsidR="00AC4013">
        <w:rPr>
          <w:bCs/>
        </w:rPr>
        <w:t xml:space="preserve">is </w:t>
      </w:r>
      <w:r w:rsidR="00F3136B" w:rsidRPr="0071163B">
        <w:rPr>
          <w:bCs/>
        </w:rPr>
        <w:t xml:space="preserve">not only </w:t>
      </w:r>
      <w:r w:rsidRPr="0071163B">
        <w:rPr>
          <w:bCs/>
        </w:rPr>
        <w:t xml:space="preserve">good for </w:t>
      </w:r>
      <w:r w:rsidR="000644B9" w:rsidRPr="0071163B">
        <w:rPr>
          <w:bCs/>
        </w:rPr>
        <w:t>a</w:t>
      </w:r>
      <w:r w:rsidRPr="0071163B">
        <w:rPr>
          <w:bCs/>
        </w:rPr>
        <w:t xml:space="preserve"> candidate to aspire to the </w:t>
      </w:r>
      <w:r w:rsidR="000644B9" w:rsidRPr="0071163B">
        <w:rPr>
          <w:bCs/>
        </w:rPr>
        <w:t>position of overseer</w:t>
      </w:r>
      <w:r w:rsidRPr="0071163B">
        <w:rPr>
          <w:bCs/>
        </w:rPr>
        <w:t xml:space="preserve">, but </w:t>
      </w:r>
      <w:r w:rsidR="000644B9" w:rsidRPr="0071163B">
        <w:rPr>
          <w:bCs/>
        </w:rPr>
        <w:t xml:space="preserve">that the aspiration is </w:t>
      </w:r>
      <w:r w:rsidR="00AC4013">
        <w:rPr>
          <w:bCs/>
        </w:rPr>
        <w:t xml:space="preserve">a </w:t>
      </w:r>
      <w:r w:rsidRPr="0071163B">
        <w:rPr>
          <w:bCs/>
        </w:rPr>
        <w:t>necessary</w:t>
      </w:r>
      <w:r w:rsidR="00AC4013">
        <w:rPr>
          <w:bCs/>
        </w:rPr>
        <w:t xml:space="preserve"> qualification for holding office</w:t>
      </w:r>
      <w:r w:rsidRPr="0071163B">
        <w:rPr>
          <w:bCs/>
        </w:rPr>
        <w:t>.</w:t>
      </w:r>
      <w:r w:rsidR="00AC4013">
        <w:rPr>
          <w:bCs/>
        </w:rPr>
        <w:t xml:space="preserve"> Thus, a</w:t>
      </w:r>
      <w:r w:rsidR="004B469B" w:rsidRPr="0071163B">
        <w:rPr>
          <w:bCs/>
        </w:rPr>
        <w:t xml:space="preserve"> man’s desire to lead a church should not be seen as pride or arrogance, but as a holy </w:t>
      </w:r>
      <w:r w:rsidR="009B1091" w:rsidRPr="0071163B">
        <w:rPr>
          <w:bCs/>
        </w:rPr>
        <w:t>aspiration</w:t>
      </w:r>
      <w:r w:rsidR="004B469B" w:rsidRPr="0071163B">
        <w:rPr>
          <w:bCs/>
        </w:rPr>
        <w:t xml:space="preserve"> to do the work of God.</w:t>
      </w:r>
      <w:r w:rsidR="0093656E" w:rsidRPr="0071163B">
        <w:rPr>
          <w:bCs/>
        </w:rPr>
        <w:t xml:space="preserve"> The second clause confirms the first and further adds that the work of the </w:t>
      </w:r>
      <w:r w:rsidR="005E5988" w:rsidRPr="0071163B">
        <w:rPr>
          <w:bCs/>
        </w:rPr>
        <w:t>overseer</w:t>
      </w:r>
      <w:r w:rsidR="0093656E" w:rsidRPr="0071163B">
        <w:rPr>
          <w:bCs/>
        </w:rPr>
        <w:t xml:space="preserve"> is good and important</w:t>
      </w:r>
      <w:r w:rsidR="004B469B" w:rsidRPr="0071163B">
        <w:rPr>
          <w:bCs/>
        </w:rPr>
        <w:t xml:space="preserve">. </w:t>
      </w:r>
      <w:r w:rsidR="005826C7" w:rsidRPr="0071163B">
        <w:rPr>
          <w:bCs/>
        </w:rPr>
        <w:t xml:space="preserve">This was </w:t>
      </w:r>
      <w:r w:rsidR="00164ED7" w:rsidRPr="0071163B">
        <w:rPr>
          <w:bCs/>
        </w:rPr>
        <w:t xml:space="preserve">perhaps </w:t>
      </w:r>
      <w:r w:rsidR="005826C7" w:rsidRPr="0071163B">
        <w:rPr>
          <w:bCs/>
        </w:rPr>
        <w:t>especially important</w:t>
      </w:r>
      <w:r w:rsidR="00164ED7" w:rsidRPr="0071163B">
        <w:rPr>
          <w:bCs/>
        </w:rPr>
        <w:t xml:space="preserve"> for the Ephesian church, which had trouble with false teachers and prophets, who </w:t>
      </w:r>
      <w:r w:rsidR="00AC4013">
        <w:rPr>
          <w:bCs/>
        </w:rPr>
        <w:t xml:space="preserve">may have </w:t>
      </w:r>
      <w:r w:rsidR="00164ED7" w:rsidRPr="0071163B">
        <w:rPr>
          <w:bCs/>
        </w:rPr>
        <w:t xml:space="preserve">damaged </w:t>
      </w:r>
      <w:r w:rsidR="00AC4013">
        <w:rPr>
          <w:bCs/>
        </w:rPr>
        <w:t xml:space="preserve">the congregation’s view of leadership </w:t>
      </w:r>
      <w:r w:rsidR="005E5988" w:rsidRPr="0071163B">
        <w:rPr>
          <w:bCs/>
        </w:rPr>
        <w:t>role</w:t>
      </w:r>
      <w:r w:rsidR="00AC4013">
        <w:rPr>
          <w:bCs/>
        </w:rPr>
        <w:t>s</w:t>
      </w:r>
      <w:r w:rsidR="00164ED7" w:rsidRPr="0071163B">
        <w:rPr>
          <w:bCs/>
        </w:rPr>
        <w:t>.</w:t>
      </w:r>
      <w:r w:rsidR="009B4F9D" w:rsidRPr="0071163B">
        <w:rPr>
          <w:bCs/>
        </w:rPr>
        <w:t xml:space="preserve"> </w:t>
      </w:r>
      <w:r w:rsidR="009B1091" w:rsidRPr="0071163B">
        <w:rPr>
          <w:bCs/>
        </w:rPr>
        <w:t xml:space="preserve">It also </w:t>
      </w:r>
      <w:r w:rsidR="006632D0">
        <w:rPr>
          <w:bCs/>
        </w:rPr>
        <w:t>encourages</w:t>
      </w:r>
      <w:r w:rsidR="009B1091" w:rsidRPr="0071163B">
        <w:rPr>
          <w:bCs/>
        </w:rPr>
        <w:t xml:space="preserve"> any man meeting the qualifications </w:t>
      </w:r>
      <w:r w:rsidR="006632D0">
        <w:rPr>
          <w:bCs/>
        </w:rPr>
        <w:t xml:space="preserve">to </w:t>
      </w:r>
      <w:r w:rsidR="009B1091" w:rsidRPr="0071163B">
        <w:rPr>
          <w:bCs/>
        </w:rPr>
        <w:t xml:space="preserve">aspire to the </w:t>
      </w:r>
      <w:r w:rsidR="005E5988" w:rsidRPr="0071163B">
        <w:rPr>
          <w:bCs/>
        </w:rPr>
        <w:t>position</w:t>
      </w:r>
      <w:r w:rsidR="009B1091" w:rsidRPr="0071163B">
        <w:rPr>
          <w:bCs/>
        </w:rPr>
        <w:t>, because it is a good work.</w:t>
      </w:r>
      <w:r w:rsidR="009B1091" w:rsidRPr="0071163B">
        <w:rPr>
          <w:rStyle w:val="FootnoteReference"/>
          <w:bCs/>
        </w:rPr>
        <w:footnoteReference w:id="15"/>
      </w:r>
      <w:r w:rsidR="009B1091" w:rsidRPr="0071163B">
        <w:rPr>
          <w:bCs/>
        </w:rPr>
        <w:t xml:space="preserve"> </w:t>
      </w:r>
    </w:p>
    <w:p w14:paraId="13B07AB8" w14:textId="77777777" w:rsidR="003152B3" w:rsidRPr="0071163B" w:rsidRDefault="002632A0" w:rsidP="00810BB1">
      <w:pPr>
        <w:pStyle w:val="Heading2"/>
      </w:pPr>
      <w:r w:rsidRPr="0071163B">
        <w:lastRenderedPageBreak/>
        <w:t>Verse</w:t>
      </w:r>
      <w:r w:rsidR="003152B3" w:rsidRPr="0071163B">
        <w:t xml:space="preserve"> 2</w:t>
      </w:r>
    </w:p>
    <w:p w14:paraId="7460AAE6" w14:textId="77777777" w:rsidR="004619FC" w:rsidRPr="0071163B" w:rsidRDefault="004619FC" w:rsidP="00810BB1">
      <w:pPr>
        <w:pStyle w:val="BlockQuote"/>
      </w:pPr>
      <w:r w:rsidRPr="0071163B">
        <w:rPr>
          <w:lang w:val="el-GR"/>
        </w:rPr>
        <w:t>δεῖ οὖν τὸν ἐπίσκοπον ἀνεπίλημπτον εἶναι, μιᾶς γυναικὸς ἄνδρα, νηφάλιον σώφρονα κόσμιον φιλόξενον διδακτικόν</w:t>
      </w:r>
      <w:r w:rsidR="00997116">
        <w:t>,</w:t>
      </w:r>
      <w:r w:rsidRPr="0071163B">
        <w:rPr>
          <w:vertAlign w:val="superscript"/>
        </w:rPr>
        <w:footnoteReference w:id="16"/>
      </w:r>
    </w:p>
    <w:p w14:paraId="3B893364" w14:textId="77777777" w:rsidR="000D50A8" w:rsidRPr="00810BB1" w:rsidRDefault="003B5A51" w:rsidP="00810BB1">
      <w:pPr>
        <w:pStyle w:val="BlockQuote"/>
        <w:rPr>
          <w:i/>
        </w:rPr>
      </w:pPr>
      <w:r w:rsidRPr="00810BB1">
        <w:rPr>
          <w:i/>
        </w:rPr>
        <w:t>Accordingly</w:t>
      </w:r>
      <w:r w:rsidR="002632A0" w:rsidRPr="00810BB1">
        <w:rPr>
          <w:i/>
        </w:rPr>
        <w:t>, the o</w:t>
      </w:r>
      <w:r w:rsidRPr="00810BB1">
        <w:rPr>
          <w:i/>
        </w:rPr>
        <w:t>verseer must be irreproachable</w:t>
      </w:r>
      <w:r w:rsidR="000A1435" w:rsidRPr="00810BB1">
        <w:rPr>
          <w:i/>
        </w:rPr>
        <w:t>:</w:t>
      </w:r>
      <w:r w:rsidRPr="00810BB1">
        <w:rPr>
          <w:i/>
        </w:rPr>
        <w:t xml:space="preserve"> faithful to his wife, self-controlled, thoughtful, honorable, hospitable, able to teach</w:t>
      </w:r>
      <w:r w:rsidR="009A7466" w:rsidRPr="00810BB1">
        <w:rPr>
          <w:i/>
        </w:rPr>
        <w:t>,</w:t>
      </w:r>
    </w:p>
    <w:p w14:paraId="1985444B" w14:textId="77777777" w:rsidR="002632A0" w:rsidRPr="0071163B" w:rsidRDefault="00505F9C" w:rsidP="006D1CBE">
      <w:pPr>
        <w:pStyle w:val="NormalIndent"/>
        <w:rPr>
          <w:bCs/>
        </w:rPr>
      </w:pPr>
      <w:r w:rsidRPr="0071163B">
        <w:t xml:space="preserve">The </w:t>
      </w:r>
      <w:r w:rsidR="00B02225" w:rsidRPr="0071163B">
        <w:t xml:space="preserve">term </w:t>
      </w:r>
      <w:r w:rsidR="00B02225" w:rsidRPr="0071163B">
        <w:rPr>
          <w:bCs/>
          <w:lang w:val="el-GR"/>
        </w:rPr>
        <w:t>οὖν</w:t>
      </w:r>
      <w:r w:rsidR="00B02225" w:rsidRPr="0071163B">
        <w:t xml:space="preserve">, translated </w:t>
      </w:r>
      <w:r w:rsidR="00B02225" w:rsidRPr="0071163B">
        <w:rPr>
          <w:i/>
        </w:rPr>
        <w:t>accordingly</w:t>
      </w:r>
      <w:r w:rsidRPr="0071163B">
        <w:t xml:space="preserve"> </w:t>
      </w:r>
      <w:r w:rsidR="00B02225" w:rsidRPr="0071163B">
        <w:t>above</w:t>
      </w:r>
      <w:r w:rsidRPr="0071163B">
        <w:rPr>
          <w:bCs/>
        </w:rPr>
        <w:t>,</w:t>
      </w:r>
      <w:r w:rsidR="00B02225" w:rsidRPr="0071163B">
        <w:rPr>
          <w:bCs/>
        </w:rPr>
        <w:t xml:space="preserve"> is</w:t>
      </w:r>
      <w:r w:rsidRPr="0071163B">
        <w:rPr>
          <w:bCs/>
        </w:rPr>
        <w:t xml:space="preserve"> a logical inferential conjoining vv. 1 and 2</w:t>
      </w:r>
      <w:r w:rsidR="005D22FF" w:rsidRPr="0071163B">
        <w:rPr>
          <w:bCs/>
        </w:rPr>
        <w:t xml:space="preserve">. </w:t>
      </w:r>
      <w:r w:rsidR="002E6305" w:rsidRPr="0071163B">
        <w:rPr>
          <w:bCs/>
        </w:rPr>
        <w:t>A</w:t>
      </w:r>
      <w:r w:rsidR="005D22FF" w:rsidRPr="0071163B">
        <w:rPr>
          <w:bCs/>
        </w:rPr>
        <w:t xml:space="preserve">n overseer must be irreproachable </w:t>
      </w:r>
      <w:r w:rsidRPr="0071163B">
        <w:rPr>
          <w:bCs/>
        </w:rPr>
        <w:t xml:space="preserve">because of the importance of </w:t>
      </w:r>
      <w:r w:rsidR="006C218A" w:rsidRPr="0071163B">
        <w:rPr>
          <w:bCs/>
        </w:rPr>
        <w:t>his</w:t>
      </w:r>
      <w:r w:rsidRPr="0071163B">
        <w:rPr>
          <w:bCs/>
        </w:rPr>
        <w:t xml:space="preserve"> work</w:t>
      </w:r>
      <w:r w:rsidR="005D22FF" w:rsidRPr="0071163B">
        <w:rPr>
          <w:bCs/>
        </w:rPr>
        <w:t>.</w:t>
      </w:r>
      <w:r w:rsidRPr="0071163B">
        <w:rPr>
          <w:bCs/>
        </w:rPr>
        <w:t xml:space="preserve"> </w:t>
      </w:r>
      <w:r w:rsidR="006C218A" w:rsidRPr="0071163B">
        <w:rPr>
          <w:bCs/>
        </w:rPr>
        <w:t xml:space="preserve">Although </w:t>
      </w:r>
      <w:r w:rsidR="006C218A" w:rsidRPr="0071163B">
        <w:rPr>
          <w:bCs/>
          <w:lang w:val="el-GR"/>
        </w:rPr>
        <w:t>τὸν ἐπίσκοπον</w:t>
      </w:r>
      <w:r w:rsidR="006C218A" w:rsidRPr="0071163B">
        <w:rPr>
          <w:bCs/>
        </w:rPr>
        <w:t xml:space="preserve">, </w:t>
      </w:r>
      <w:r w:rsidR="006C218A" w:rsidRPr="0071163B">
        <w:rPr>
          <w:bCs/>
          <w:i/>
        </w:rPr>
        <w:t>the overseer</w:t>
      </w:r>
      <w:r w:rsidR="006E3AFC">
        <w:rPr>
          <w:bCs/>
        </w:rPr>
        <w:t>, has</w:t>
      </w:r>
      <w:r w:rsidR="006C218A" w:rsidRPr="0071163B">
        <w:rPr>
          <w:bCs/>
        </w:rPr>
        <w:t xml:space="preserve"> a singular noun</w:t>
      </w:r>
      <w:r w:rsidR="00E86022" w:rsidRPr="0071163B">
        <w:rPr>
          <w:bCs/>
        </w:rPr>
        <w:t xml:space="preserve"> </w:t>
      </w:r>
      <w:r w:rsidR="006E3AFC">
        <w:rPr>
          <w:bCs/>
        </w:rPr>
        <w:t xml:space="preserve">and </w:t>
      </w:r>
      <w:r w:rsidR="00E86022" w:rsidRPr="0071163B">
        <w:rPr>
          <w:bCs/>
        </w:rPr>
        <w:t>article</w:t>
      </w:r>
      <w:r w:rsidR="006C218A" w:rsidRPr="0071163B">
        <w:rPr>
          <w:bCs/>
        </w:rPr>
        <w:t xml:space="preserve">, the term is not </w:t>
      </w:r>
      <w:r w:rsidR="00C71E11" w:rsidRPr="0071163B">
        <w:rPr>
          <w:bCs/>
        </w:rPr>
        <w:t>monadic;</w:t>
      </w:r>
      <w:r w:rsidR="006C218A" w:rsidRPr="0071163B">
        <w:rPr>
          <w:bCs/>
        </w:rPr>
        <w:t xml:space="preserve"> rather</w:t>
      </w:r>
      <w:r w:rsidR="006633BD" w:rsidRPr="0071163B">
        <w:rPr>
          <w:bCs/>
        </w:rPr>
        <w:t xml:space="preserve">, </w:t>
      </w:r>
      <w:r w:rsidR="006C218A" w:rsidRPr="0071163B">
        <w:rPr>
          <w:bCs/>
        </w:rPr>
        <w:t xml:space="preserve">it is a generic article which </w:t>
      </w:r>
      <w:r w:rsidR="00E86022" w:rsidRPr="0071163B">
        <w:rPr>
          <w:bCs/>
        </w:rPr>
        <w:t>distinguishes one class from another, pointing to the category of overseers while emphasizing the importance of the role.</w:t>
      </w:r>
      <w:r w:rsidR="00E86022" w:rsidRPr="0071163B">
        <w:rPr>
          <w:rStyle w:val="FootnoteReference"/>
          <w:bCs/>
        </w:rPr>
        <w:footnoteReference w:id="17"/>
      </w:r>
      <w:r w:rsidR="00DF00D8" w:rsidRPr="0071163B">
        <w:rPr>
          <w:bCs/>
        </w:rPr>
        <w:t xml:space="preserve"> Therefore, </w:t>
      </w:r>
      <w:r w:rsidR="00230490" w:rsidRPr="0071163B">
        <w:rPr>
          <w:bCs/>
        </w:rPr>
        <w:t>the singular article can still allow for multiple overseers within a local church</w:t>
      </w:r>
      <w:r w:rsidR="00711C83">
        <w:rPr>
          <w:bCs/>
        </w:rPr>
        <w:t>,</w:t>
      </w:r>
      <w:r w:rsidR="00CF7B12">
        <w:rPr>
          <w:bCs/>
        </w:rPr>
        <w:t xml:space="preserve"> which is a necessity for </w:t>
      </w:r>
      <w:r w:rsidR="00DF00D8" w:rsidRPr="0071163B">
        <w:rPr>
          <w:bCs/>
        </w:rPr>
        <w:t xml:space="preserve">the position </w:t>
      </w:r>
      <w:r w:rsidR="00BA3409" w:rsidRPr="0071163B">
        <w:rPr>
          <w:bCs/>
        </w:rPr>
        <w:t xml:space="preserve">of this paper </w:t>
      </w:r>
      <w:r w:rsidR="00DF00D8" w:rsidRPr="0071163B">
        <w:rPr>
          <w:bCs/>
        </w:rPr>
        <w:t xml:space="preserve">that </w:t>
      </w:r>
      <w:r w:rsidR="00DF00D8" w:rsidRPr="0071163B">
        <w:rPr>
          <w:lang w:val="el-GR"/>
        </w:rPr>
        <w:t>ἐπίσκοπος</w:t>
      </w:r>
      <w:r w:rsidR="00DF00D8" w:rsidRPr="0071163B">
        <w:t xml:space="preserve"> (overseer) and πρεσβύτερος (elder) are synonymous terms</w:t>
      </w:r>
      <w:r w:rsidR="0027776A" w:rsidRPr="0071163B">
        <w:t>,</w:t>
      </w:r>
      <w:r w:rsidR="00DF00D8" w:rsidRPr="0071163B">
        <w:t xml:space="preserve"> because it is clear that multiple </w:t>
      </w:r>
      <w:r w:rsidR="00CF7B12" w:rsidRPr="0071163B">
        <w:t xml:space="preserve">πρεσβύτερος </w:t>
      </w:r>
      <w:r w:rsidR="00AD07BE" w:rsidRPr="0071163B">
        <w:t>were</w:t>
      </w:r>
      <w:r w:rsidR="00DF00D8" w:rsidRPr="0071163B">
        <w:t xml:space="preserve"> the norm in New Testament city-churches.</w:t>
      </w:r>
      <w:r w:rsidR="00DF00D8" w:rsidRPr="0071163B">
        <w:rPr>
          <w:rStyle w:val="FootnoteReference"/>
        </w:rPr>
        <w:footnoteReference w:id="18"/>
      </w:r>
      <w:r w:rsidR="00BA3409" w:rsidRPr="0071163B">
        <w:t xml:space="preserve"> </w:t>
      </w:r>
      <w:r w:rsidR="006A3F55" w:rsidRPr="0071163B">
        <w:t>The opening phrase of this verse</w:t>
      </w:r>
      <w:r w:rsidR="00937BB4" w:rsidRPr="0071163B">
        <w:t xml:space="preserve">, </w:t>
      </w:r>
      <w:r w:rsidR="00937BB4" w:rsidRPr="0071163B">
        <w:rPr>
          <w:bCs/>
          <w:lang w:val="el-GR"/>
        </w:rPr>
        <w:t>δεῖ οὖν τὸν ἐπίσκοπον ἀνεπίλημπτον εἶναι</w:t>
      </w:r>
      <w:r w:rsidR="006A3F55" w:rsidRPr="0071163B">
        <w:t xml:space="preserve">, </w:t>
      </w:r>
      <w:r w:rsidR="00937BB4" w:rsidRPr="0071163B">
        <w:t xml:space="preserve">is the driving force behind the entire passage. All of the </w:t>
      </w:r>
      <w:r w:rsidR="00D00B08" w:rsidRPr="0071163B">
        <w:t>phrases</w:t>
      </w:r>
      <w:r w:rsidR="00937BB4" w:rsidRPr="0071163B">
        <w:t xml:space="preserve"> concerning overseers (</w:t>
      </w:r>
      <w:r w:rsidR="008C7B57" w:rsidRPr="0071163B">
        <w:t>vv</w:t>
      </w:r>
      <w:r w:rsidR="008C7B57">
        <w:t>.</w:t>
      </w:r>
      <w:r w:rsidR="00937BB4" w:rsidRPr="0071163B">
        <w:t xml:space="preserve"> 2-7) explain the broad qualification: </w:t>
      </w:r>
      <w:r w:rsidR="00937BB4" w:rsidRPr="0071163B">
        <w:rPr>
          <w:i/>
        </w:rPr>
        <w:t xml:space="preserve">the </w:t>
      </w:r>
      <w:r w:rsidR="00937BB4" w:rsidRPr="0071163B">
        <w:rPr>
          <w:i/>
        </w:rPr>
        <w:lastRenderedPageBreak/>
        <w:t>overseer must be irreproachable</w:t>
      </w:r>
      <w:r w:rsidR="00937BB4" w:rsidRPr="0071163B">
        <w:t>.</w:t>
      </w:r>
      <w:r w:rsidR="00937BB4" w:rsidRPr="0071163B">
        <w:rPr>
          <w:rStyle w:val="FootnoteReference"/>
        </w:rPr>
        <w:footnoteReference w:id="19"/>
      </w:r>
      <w:r w:rsidR="00D00B08" w:rsidRPr="0071163B">
        <w:t xml:space="preserve"> Furthermore, </w:t>
      </w:r>
      <w:r w:rsidR="00D00B08" w:rsidRPr="0071163B">
        <w:rPr>
          <w:bCs/>
          <w:lang w:val="el-GR"/>
        </w:rPr>
        <w:t>δεῖ</w:t>
      </w:r>
      <w:r w:rsidR="00D00B08" w:rsidRPr="0071163B">
        <w:rPr>
          <w:bCs/>
        </w:rPr>
        <w:t xml:space="preserve"> …</w:t>
      </w:r>
      <w:r w:rsidR="00D00B08" w:rsidRPr="0071163B">
        <w:rPr>
          <w:bCs/>
          <w:lang w:val="el-GR"/>
        </w:rPr>
        <w:t xml:space="preserve"> εἶναι</w:t>
      </w:r>
      <w:r w:rsidR="00D00B08" w:rsidRPr="0071163B">
        <w:rPr>
          <w:bCs/>
        </w:rPr>
        <w:t xml:space="preserve">, </w:t>
      </w:r>
      <w:r w:rsidR="00D00B08" w:rsidRPr="0071163B">
        <w:rPr>
          <w:bCs/>
          <w:i/>
        </w:rPr>
        <w:t>must be</w:t>
      </w:r>
      <w:r w:rsidR="00D00B08" w:rsidRPr="0071163B">
        <w:rPr>
          <w:bCs/>
        </w:rPr>
        <w:t xml:space="preserve">, </w:t>
      </w:r>
      <w:r w:rsidR="00355E0B" w:rsidRPr="0071163B">
        <w:rPr>
          <w:bCs/>
        </w:rPr>
        <w:t xml:space="preserve">is the assumed </w:t>
      </w:r>
      <w:r w:rsidR="002F21AE">
        <w:rPr>
          <w:bCs/>
        </w:rPr>
        <w:t xml:space="preserve">verbal phrase </w:t>
      </w:r>
      <w:r w:rsidR="00F56488" w:rsidRPr="0071163B">
        <w:rPr>
          <w:bCs/>
        </w:rPr>
        <w:t>for</w:t>
      </w:r>
      <w:r w:rsidR="00355E0B" w:rsidRPr="0071163B">
        <w:rPr>
          <w:bCs/>
        </w:rPr>
        <w:t xml:space="preserve"> the qualifying lists of</w:t>
      </w:r>
      <w:r w:rsidR="00C43AB9" w:rsidRPr="0071163B">
        <w:rPr>
          <w:bCs/>
        </w:rPr>
        <w:t xml:space="preserve"> both</w:t>
      </w:r>
      <w:r w:rsidR="00355E0B" w:rsidRPr="0071163B">
        <w:rPr>
          <w:bCs/>
        </w:rPr>
        <w:t xml:space="preserve"> deacons and women</w:t>
      </w:r>
      <w:r w:rsidR="00C50916">
        <w:rPr>
          <w:bCs/>
        </w:rPr>
        <w:t xml:space="preserve"> </w:t>
      </w:r>
      <w:r w:rsidR="006E3AFC">
        <w:rPr>
          <w:bCs/>
        </w:rPr>
        <w:t xml:space="preserve">continuing </w:t>
      </w:r>
      <w:r w:rsidR="00C50916">
        <w:rPr>
          <w:bCs/>
        </w:rPr>
        <w:t>in</w:t>
      </w:r>
      <w:r w:rsidR="006E3AFC">
        <w:rPr>
          <w:bCs/>
        </w:rPr>
        <w:t>to</w:t>
      </w:r>
      <w:r w:rsidR="00C50916">
        <w:rPr>
          <w:bCs/>
        </w:rPr>
        <w:t xml:space="preserve"> vv. 8-11</w:t>
      </w:r>
      <w:r w:rsidR="00C43AB9" w:rsidRPr="0071163B">
        <w:rPr>
          <w:bCs/>
        </w:rPr>
        <w:t>.</w:t>
      </w:r>
      <w:r w:rsidR="00F56488" w:rsidRPr="0071163B">
        <w:rPr>
          <w:rStyle w:val="FootnoteReference"/>
          <w:bCs/>
        </w:rPr>
        <w:footnoteReference w:id="20"/>
      </w:r>
    </w:p>
    <w:p w14:paraId="2899B73B" w14:textId="77777777" w:rsidR="0021283A" w:rsidRPr="0071163B" w:rsidRDefault="008869D2" w:rsidP="00163266">
      <w:pPr>
        <w:pStyle w:val="NormalIndent"/>
        <w:rPr>
          <w:bCs/>
        </w:rPr>
      </w:pPr>
      <w:r w:rsidRPr="0071163B">
        <w:t xml:space="preserve">Much controversy exists over the next phrase, </w:t>
      </w:r>
      <w:r w:rsidRPr="0071163B">
        <w:rPr>
          <w:bCs/>
          <w:lang w:val="el-GR"/>
        </w:rPr>
        <w:t>μιᾶς γυναικὸς ἄνδρα</w:t>
      </w:r>
      <w:r w:rsidRPr="0071163B">
        <w:rPr>
          <w:bCs/>
        </w:rPr>
        <w:t xml:space="preserve">. A literal </w:t>
      </w:r>
      <w:r w:rsidR="00DF18AB">
        <w:rPr>
          <w:bCs/>
        </w:rPr>
        <w:t>rendering could be</w:t>
      </w:r>
      <w:r w:rsidRPr="0071163B">
        <w:rPr>
          <w:bCs/>
        </w:rPr>
        <w:t xml:space="preserve"> </w:t>
      </w:r>
      <w:r w:rsidRPr="0071163B">
        <w:rPr>
          <w:bCs/>
          <w:i/>
        </w:rPr>
        <w:t>a man of one woman</w:t>
      </w:r>
      <w:r w:rsidRPr="0071163B">
        <w:rPr>
          <w:bCs/>
        </w:rPr>
        <w:t>, or</w:t>
      </w:r>
      <w:r w:rsidRPr="0071163B">
        <w:rPr>
          <w:bCs/>
          <w:i/>
        </w:rPr>
        <w:t xml:space="preserve"> a husband of one wife</w:t>
      </w:r>
      <w:r w:rsidRPr="0071163B">
        <w:rPr>
          <w:bCs/>
        </w:rPr>
        <w:t xml:space="preserve">, or even </w:t>
      </w:r>
      <w:r w:rsidRPr="0071163B">
        <w:rPr>
          <w:bCs/>
          <w:i/>
        </w:rPr>
        <w:t>a one-woman man</w:t>
      </w:r>
      <w:r w:rsidRPr="0071163B">
        <w:rPr>
          <w:bCs/>
        </w:rPr>
        <w:t>.</w:t>
      </w:r>
      <w:r w:rsidR="00B10A6E" w:rsidRPr="0071163B">
        <w:rPr>
          <w:bCs/>
        </w:rPr>
        <w:t xml:space="preserve"> However, the </w:t>
      </w:r>
      <w:r w:rsidR="008E4682" w:rsidRPr="0071163B">
        <w:rPr>
          <w:bCs/>
        </w:rPr>
        <w:t xml:space="preserve">Greek wording </w:t>
      </w:r>
      <w:r w:rsidR="00B10A6E" w:rsidRPr="0071163B">
        <w:rPr>
          <w:bCs/>
        </w:rPr>
        <w:t>is rather ambiguous</w:t>
      </w:r>
      <w:r w:rsidR="002F21AE">
        <w:rPr>
          <w:bCs/>
        </w:rPr>
        <w:t xml:space="preserve"> and open to a variety of interpretations, including </w:t>
      </w:r>
      <w:r w:rsidR="00F107A8" w:rsidRPr="0071163B">
        <w:rPr>
          <w:bCs/>
        </w:rPr>
        <w:t xml:space="preserve">requiring </w:t>
      </w:r>
      <w:r w:rsidR="002F21AE">
        <w:rPr>
          <w:bCs/>
        </w:rPr>
        <w:t xml:space="preserve">that </w:t>
      </w:r>
      <w:r w:rsidR="00F107A8" w:rsidRPr="0071163B">
        <w:rPr>
          <w:bCs/>
        </w:rPr>
        <w:t xml:space="preserve">an overseer </w:t>
      </w:r>
      <w:r w:rsidR="008E4682" w:rsidRPr="0071163B">
        <w:rPr>
          <w:bCs/>
        </w:rPr>
        <w:t>1</w:t>
      </w:r>
      <w:r w:rsidR="00F107A8" w:rsidRPr="0071163B">
        <w:rPr>
          <w:bCs/>
        </w:rPr>
        <w:t xml:space="preserve">) </w:t>
      </w:r>
      <w:r w:rsidR="00876063" w:rsidRPr="0071163B">
        <w:rPr>
          <w:bCs/>
        </w:rPr>
        <w:t xml:space="preserve">not be a polygamist, </w:t>
      </w:r>
      <w:r w:rsidR="005908C7" w:rsidRPr="0071163B">
        <w:rPr>
          <w:bCs/>
        </w:rPr>
        <w:t>2) not be married more than once, 3</w:t>
      </w:r>
      <w:r w:rsidR="00876063" w:rsidRPr="0071163B">
        <w:rPr>
          <w:bCs/>
        </w:rPr>
        <w:t xml:space="preserve">) </w:t>
      </w:r>
      <w:r w:rsidR="008E4682" w:rsidRPr="0071163B">
        <w:rPr>
          <w:bCs/>
        </w:rPr>
        <w:t xml:space="preserve">not be re-married following a divorce, </w:t>
      </w:r>
      <w:r w:rsidR="00893445" w:rsidRPr="0071163B">
        <w:rPr>
          <w:bCs/>
        </w:rPr>
        <w:t>or</w:t>
      </w:r>
      <w:r w:rsidR="00876063" w:rsidRPr="0071163B">
        <w:rPr>
          <w:bCs/>
        </w:rPr>
        <w:t xml:space="preserve"> 4) </w:t>
      </w:r>
      <w:r w:rsidR="008E4682" w:rsidRPr="0071163B">
        <w:rPr>
          <w:bCs/>
        </w:rPr>
        <w:t>be faithful to his wife.</w:t>
      </w:r>
      <w:r w:rsidR="00703A65" w:rsidRPr="0071163B">
        <w:rPr>
          <w:rStyle w:val="FootnoteReference"/>
          <w:bCs/>
        </w:rPr>
        <w:footnoteReference w:id="21"/>
      </w:r>
      <w:r w:rsidR="00703A65" w:rsidRPr="0071163B">
        <w:rPr>
          <w:bCs/>
        </w:rPr>
        <w:t xml:space="preserve"> </w:t>
      </w:r>
      <w:r w:rsidR="00DD5757" w:rsidRPr="0071163B">
        <w:rPr>
          <w:bCs/>
        </w:rPr>
        <w:t>The phrase certainly does not require an overseer to be married,</w:t>
      </w:r>
      <w:r w:rsidR="00DD5757" w:rsidRPr="0071163B">
        <w:rPr>
          <w:rStyle w:val="FootnoteReference"/>
          <w:bCs/>
        </w:rPr>
        <w:footnoteReference w:id="22"/>
      </w:r>
      <w:r w:rsidR="00DD5757" w:rsidRPr="0071163B">
        <w:rPr>
          <w:bCs/>
        </w:rPr>
        <w:t xml:space="preserve"> because if that interpretation applied, the overseer would be required to have multiple children as well.</w:t>
      </w:r>
      <w:r w:rsidR="00DD5757" w:rsidRPr="0071163B">
        <w:rPr>
          <w:rStyle w:val="FootnoteReference"/>
          <w:bCs/>
        </w:rPr>
        <w:footnoteReference w:id="23"/>
      </w:r>
      <w:r w:rsidR="00DD5757" w:rsidRPr="0071163B">
        <w:rPr>
          <w:bCs/>
        </w:rPr>
        <w:t xml:space="preserve"> </w:t>
      </w:r>
      <w:r w:rsidR="000A7301" w:rsidRPr="0071163B">
        <w:rPr>
          <w:bCs/>
        </w:rPr>
        <w:t xml:space="preserve">Although option </w:t>
      </w:r>
      <w:r w:rsidR="002F21AE">
        <w:rPr>
          <w:bCs/>
        </w:rPr>
        <w:t>1)</w:t>
      </w:r>
      <w:r w:rsidR="000A7301" w:rsidRPr="0071163B">
        <w:rPr>
          <w:bCs/>
        </w:rPr>
        <w:t xml:space="preserve"> can be easily assumed in the text, it is unlikely that Paul was speaking</w:t>
      </w:r>
      <w:r w:rsidR="00000E4D">
        <w:rPr>
          <w:bCs/>
        </w:rPr>
        <w:t xml:space="preserve"> specifically against polygamy because, d</w:t>
      </w:r>
      <w:r w:rsidR="000A7301" w:rsidRPr="0071163B">
        <w:rPr>
          <w:bCs/>
        </w:rPr>
        <w:t>uring this era, Roman and Jewish polygamy was hardly an issue.</w:t>
      </w:r>
      <w:r w:rsidR="006266D6" w:rsidRPr="0071163B">
        <w:rPr>
          <w:rStyle w:val="FootnoteReference"/>
          <w:bCs/>
        </w:rPr>
        <w:footnoteReference w:id="24"/>
      </w:r>
      <w:r w:rsidR="000A7301" w:rsidRPr="0071163B">
        <w:rPr>
          <w:bCs/>
        </w:rPr>
        <w:t xml:space="preserve"> Furthermore, Paul uses the same phrase, reversed, in 1 Timothy 5:9, regarding the qualifications of widows. Primarily prohibiting polygamy in chapter 3 would require chapter 5 to</w:t>
      </w:r>
      <w:r w:rsidR="00347E0A">
        <w:rPr>
          <w:bCs/>
        </w:rPr>
        <w:t xml:space="preserve"> primarily</w:t>
      </w:r>
      <w:r w:rsidR="000A7301" w:rsidRPr="0071163B">
        <w:rPr>
          <w:bCs/>
        </w:rPr>
        <w:t xml:space="preserve"> prohibit polya</w:t>
      </w:r>
      <w:r w:rsidR="006266D6" w:rsidRPr="0071163B">
        <w:rPr>
          <w:bCs/>
        </w:rPr>
        <w:t xml:space="preserve">ndry, a problem not </w:t>
      </w:r>
      <w:r w:rsidR="00A42FCA">
        <w:rPr>
          <w:bCs/>
        </w:rPr>
        <w:t xml:space="preserve">at all </w:t>
      </w:r>
      <w:r w:rsidR="006266D6" w:rsidRPr="0071163B">
        <w:rPr>
          <w:bCs/>
        </w:rPr>
        <w:t xml:space="preserve">present </w:t>
      </w:r>
      <w:r w:rsidR="000A7301" w:rsidRPr="0071163B">
        <w:rPr>
          <w:bCs/>
        </w:rPr>
        <w:t>in that culture.</w:t>
      </w:r>
      <w:r w:rsidR="006266D6" w:rsidRPr="0071163B">
        <w:rPr>
          <w:rStyle w:val="FootnoteReference"/>
          <w:bCs/>
        </w:rPr>
        <w:footnoteReference w:id="25"/>
      </w:r>
      <w:r w:rsidR="00893445" w:rsidRPr="0071163B">
        <w:rPr>
          <w:bCs/>
        </w:rPr>
        <w:t xml:space="preserve"> </w:t>
      </w:r>
      <w:r w:rsidR="00882822" w:rsidRPr="0071163B">
        <w:rPr>
          <w:bCs/>
        </w:rPr>
        <w:t>Option 2</w:t>
      </w:r>
      <w:r w:rsidR="002F21AE">
        <w:rPr>
          <w:bCs/>
        </w:rPr>
        <w:t>)</w:t>
      </w:r>
      <w:r w:rsidR="00882822" w:rsidRPr="0071163B">
        <w:rPr>
          <w:bCs/>
        </w:rPr>
        <w:t xml:space="preserve"> is primarily supported by the analogy of Christ and the Church to a husband and his </w:t>
      </w:r>
      <w:r w:rsidR="00000E4D">
        <w:rPr>
          <w:bCs/>
        </w:rPr>
        <w:t>wife</w:t>
      </w:r>
      <w:r w:rsidR="00882822" w:rsidRPr="0071163B">
        <w:rPr>
          <w:bCs/>
        </w:rPr>
        <w:t xml:space="preserve">. As Christ has only one bride, clergy ought to have only one </w:t>
      </w:r>
      <w:r w:rsidR="00000E4D">
        <w:rPr>
          <w:bCs/>
        </w:rPr>
        <w:lastRenderedPageBreak/>
        <w:t>wife</w:t>
      </w:r>
      <w:r w:rsidR="00882822" w:rsidRPr="0071163B">
        <w:rPr>
          <w:bCs/>
        </w:rPr>
        <w:t xml:space="preserve"> as well.</w:t>
      </w:r>
      <w:r w:rsidR="00882822" w:rsidRPr="0071163B">
        <w:rPr>
          <w:rStyle w:val="FootnoteReference"/>
          <w:bCs/>
        </w:rPr>
        <w:footnoteReference w:id="26"/>
      </w:r>
      <w:r w:rsidR="00882822" w:rsidRPr="0071163B">
        <w:rPr>
          <w:bCs/>
        </w:rPr>
        <w:t xml:space="preserve"> However, this </w:t>
      </w:r>
      <w:r w:rsidR="00000E4D">
        <w:rPr>
          <w:bCs/>
        </w:rPr>
        <w:t xml:space="preserve">would be </w:t>
      </w:r>
      <w:r w:rsidR="00882822" w:rsidRPr="0071163B">
        <w:rPr>
          <w:bCs/>
        </w:rPr>
        <w:t>more than is required for a lay Christian, who is free to marry or remain single following the death of a spouse.</w:t>
      </w:r>
      <w:r w:rsidR="00882822" w:rsidRPr="0071163B">
        <w:rPr>
          <w:rStyle w:val="FootnoteReference"/>
          <w:bCs/>
        </w:rPr>
        <w:footnoteReference w:id="27"/>
      </w:r>
      <w:r w:rsidR="00912B65" w:rsidRPr="0071163B">
        <w:rPr>
          <w:bCs/>
        </w:rPr>
        <w:t xml:space="preserve"> </w:t>
      </w:r>
      <w:r w:rsidR="006B7602">
        <w:rPr>
          <w:bCs/>
        </w:rPr>
        <w:t xml:space="preserve">Next, </w:t>
      </w:r>
      <w:r w:rsidR="002F21AE">
        <w:rPr>
          <w:bCs/>
        </w:rPr>
        <w:t xml:space="preserve">option </w:t>
      </w:r>
      <w:r w:rsidR="00882822" w:rsidRPr="0071163B">
        <w:rPr>
          <w:bCs/>
        </w:rPr>
        <w:t>3</w:t>
      </w:r>
      <w:r w:rsidR="002F21AE">
        <w:rPr>
          <w:bCs/>
        </w:rPr>
        <w:t>)</w:t>
      </w:r>
      <w:r w:rsidR="00934462" w:rsidRPr="0071163B">
        <w:rPr>
          <w:bCs/>
        </w:rPr>
        <w:t xml:space="preserve"> </w:t>
      </w:r>
      <w:r w:rsidR="002F21AE">
        <w:rPr>
          <w:bCs/>
        </w:rPr>
        <w:t>is both compelling and difficult</w:t>
      </w:r>
      <w:r w:rsidR="00934462" w:rsidRPr="0071163B">
        <w:rPr>
          <w:bCs/>
        </w:rPr>
        <w:t>.</w:t>
      </w:r>
      <w:r w:rsidR="005908C7" w:rsidRPr="0071163B">
        <w:rPr>
          <w:bCs/>
        </w:rPr>
        <w:t xml:space="preserve"> It is compelling because God hates divorce</w:t>
      </w:r>
      <w:r w:rsidR="005908C7" w:rsidRPr="0071163B">
        <w:rPr>
          <w:rStyle w:val="FootnoteReference"/>
          <w:bCs/>
        </w:rPr>
        <w:footnoteReference w:id="28"/>
      </w:r>
      <w:r w:rsidR="005908C7" w:rsidRPr="0071163B">
        <w:rPr>
          <w:bCs/>
        </w:rPr>
        <w:t xml:space="preserve"> and Scripture </w:t>
      </w:r>
      <w:r w:rsidR="008D12AA" w:rsidRPr="0071163B">
        <w:rPr>
          <w:bCs/>
        </w:rPr>
        <w:t>consistently shows that marriage after divorce is sinful (</w:t>
      </w:r>
      <w:r w:rsidR="00B67478">
        <w:rPr>
          <w:bCs/>
        </w:rPr>
        <w:t xml:space="preserve">as long as </w:t>
      </w:r>
      <w:r w:rsidR="008D12AA" w:rsidRPr="0071163B">
        <w:rPr>
          <w:bCs/>
        </w:rPr>
        <w:t xml:space="preserve">the </w:t>
      </w:r>
      <w:r w:rsidR="00C4729A">
        <w:rPr>
          <w:bCs/>
        </w:rPr>
        <w:t>former</w:t>
      </w:r>
      <w:r w:rsidR="00C4729A" w:rsidRPr="0071163B">
        <w:rPr>
          <w:bCs/>
        </w:rPr>
        <w:t xml:space="preserve"> </w:t>
      </w:r>
      <w:r w:rsidR="008D12AA" w:rsidRPr="0071163B">
        <w:rPr>
          <w:bCs/>
        </w:rPr>
        <w:t>spouse still lives).</w:t>
      </w:r>
      <w:r w:rsidR="008D12AA" w:rsidRPr="0071163B">
        <w:rPr>
          <w:rStyle w:val="FootnoteReference"/>
          <w:bCs/>
        </w:rPr>
        <w:footnoteReference w:id="29"/>
      </w:r>
      <w:r w:rsidR="00416F17" w:rsidRPr="0071163B">
        <w:rPr>
          <w:bCs/>
        </w:rPr>
        <w:t xml:space="preserve"> </w:t>
      </w:r>
      <w:r w:rsidR="00244351" w:rsidRPr="0071163B">
        <w:rPr>
          <w:bCs/>
        </w:rPr>
        <w:t xml:space="preserve">However, it is difficult because it excludes </w:t>
      </w:r>
      <w:r w:rsidR="00BD3795" w:rsidRPr="0071163B">
        <w:rPr>
          <w:bCs/>
        </w:rPr>
        <w:t>otherwise qualified men from serving in ministry</w:t>
      </w:r>
      <w:r w:rsidR="00093255" w:rsidRPr="0071163B">
        <w:rPr>
          <w:bCs/>
        </w:rPr>
        <w:t xml:space="preserve">, whose prior marriages </w:t>
      </w:r>
      <w:r w:rsidR="00A95316" w:rsidRPr="0071163B">
        <w:rPr>
          <w:bCs/>
        </w:rPr>
        <w:t xml:space="preserve">may have </w:t>
      </w:r>
      <w:r w:rsidR="00093255" w:rsidRPr="0071163B">
        <w:rPr>
          <w:bCs/>
        </w:rPr>
        <w:t>ended many years before</w:t>
      </w:r>
      <w:r w:rsidR="00C4729A">
        <w:rPr>
          <w:bCs/>
        </w:rPr>
        <w:t>—perhaps prior to conversion—</w:t>
      </w:r>
      <w:r w:rsidR="00093255" w:rsidRPr="0071163B">
        <w:rPr>
          <w:bCs/>
        </w:rPr>
        <w:t>and have little demonstrable effect on their lives today</w:t>
      </w:r>
      <w:r w:rsidR="00BD3795" w:rsidRPr="0071163B">
        <w:rPr>
          <w:bCs/>
        </w:rPr>
        <w:t>.</w:t>
      </w:r>
      <w:r w:rsidR="00163266" w:rsidRPr="0071163B">
        <w:rPr>
          <w:bCs/>
        </w:rPr>
        <w:t xml:space="preserve"> The final option, </w:t>
      </w:r>
      <w:r w:rsidR="00777AB1" w:rsidRPr="0071163B">
        <w:rPr>
          <w:bCs/>
          <w:i/>
        </w:rPr>
        <w:t>an overseer must be faithful to his wife</w:t>
      </w:r>
      <w:r w:rsidR="00163266" w:rsidRPr="0071163B">
        <w:rPr>
          <w:bCs/>
        </w:rPr>
        <w:t xml:space="preserve">, is the position </w:t>
      </w:r>
      <w:r w:rsidR="00C4729A">
        <w:rPr>
          <w:bCs/>
        </w:rPr>
        <w:t xml:space="preserve">I defend </w:t>
      </w:r>
      <w:r w:rsidR="000820B6" w:rsidRPr="0071163B">
        <w:rPr>
          <w:bCs/>
        </w:rPr>
        <w:t>for many reasons</w:t>
      </w:r>
      <w:r w:rsidR="00777AB1" w:rsidRPr="0071163B">
        <w:rPr>
          <w:bCs/>
        </w:rPr>
        <w:t xml:space="preserve">—primarily because the other options are untenable. </w:t>
      </w:r>
      <w:r w:rsidR="00A95316" w:rsidRPr="0071163B">
        <w:rPr>
          <w:bCs/>
        </w:rPr>
        <w:t>While option 2</w:t>
      </w:r>
      <w:r w:rsidR="00C4729A">
        <w:rPr>
          <w:bCs/>
        </w:rPr>
        <w:t>)</w:t>
      </w:r>
      <w:r w:rsidR="00A95316" w:rsidRPr="0071163B">
        <w:rPr>
          <w:bCs/>
        </w:rPr>
        <w:t xml:space="preserve"> requires an overseer to be held to </w:t>
      </w:r>
      <w:r w:rsidR="00B67478">
        <w:rPr>
          <w:bCs/>
        </w:rPr>
        <w:t xml:space="preserve">a demonstrably higher standard </w:t>
      </w:r>
      <w:r w:rsidR="00A95316" w:rsidRPr="0071163B">
        <w:rPr>
          <w:bCs/>
        </w:rPr>
        <w:t>than laity, option 3</w:t>
      </w:r>
      <w:r w:rsidR="00C4729A">
        <w:rPr>
          <w:bCs/>
        </w:rPr>
        <w:t>)</w:t>
      </w:r>
      <w:r w:rsidR="00B37A20" w:rsidRPr="0071163B">
        <w:rPr>
          <w:bCs/>
        </w:rPr>
        <w:t xml:space="preserve"> presumes that remarriage </w:t>
      </w:r>
      <w:r w:rsidR="00B67478">
        <w:rPr>
          <w:bCs/>
        </w:rPr>
        <w:t xml:space="preserve">after divorce </w:t>
      </w:r>
      <w:r w:rsidR="00B37A20" w:rsidRPr="0071163B">
        <w:rPr>
          <w:bCs/>
        </w:rPr>
        <w:t xml:space="preserve">is a </w:t>
      </w:r>
      <w:r w:rsidR="009D483D">
        <w:rPr>
          <w:bCs/>
        </w:rPr>
        <w:t>permanently disqualifying</w:t>
      </w:r>
      <w:r w:rsidR="009D483D" w:rsidRPr="0071163B">
        <w:rPr>
          <w:bCs/>
        </w:rPr>
        <w:t xml:space="preserve"> </w:t>
      </w:r>
      <w:r w:rsidR="00B37A20" w:rsidRPr="0071163B">
        <w:rPr>
          <w:bCs/>
        </w:rPr>
        <w:t>sin for candidates.</w:t>
      </w:r>
      <w:r w:rsidR="002E3FE1" w:rsidRPr="0071163B">
        <w:rPr>
          <w:rStyle w:val="FootnoteReference"/>
          <w:bCs/>
        </w:rPr>
        <w:footnoteReference w:id="30"/>
      </w:r>
      <w:r w:rsidR="00E919A3" w:rsidRPr="0071163B">
        <w:rPr>
          <w:bCs/>
        </w:rPr>
        <w:t xml:space="preserve"> </w:t>
      </w:r>
      <w:r w:rsidR="004A0014">
        <w:rPr>
          <w:bCs/>
        </w:rPr>
        <w:t xml:space="preserve">Philip </w:t>
      </w:r>
      <w:r w:rsidR="00C917FA" w:rsidRPr="0071163B">
        <w:rPr>
          <w:bCs/>
        </w:rPr>
        <w:t xml:space="preserve">Towner </w:t>
      </w:r>
      <w:r w:rsidR="004A0014">
        <w:rPr>
          <w:bCs/>
        </w:rPr>
        <w:t xml:space="preserve">notes </w:t>
      </w:r>
      <w:r w:rsidR="00B67478">
        <w:rPr>
          <w:bCs/>
        </w:rPr>
        <w:t xml:space="preserve">that </w:t>
      </w:r>
      <w:r w:rsidR="00C917FA" w:rsidRPr="0071163B">
        <w:rPr>
          <w:bCs/>
        </w:rPr>
        <w:t>“this kind of specificity is not at all obvious from the phrase.”</w:t>
      </w:r>
      <w:r w:rsidR="00C917FA" w:rsidRPr="0071163B">
        <w:rPr>
          <w:rStyle w:val="FootnoteReference"/>
          <w:bCs/>
        </w:rPr>
        <w:footnoteReference w:id="31"/>
      </w:r>
      <w:r w:rsidR="00C917FA" w:rsidRPr="0071163B">
        <w:rPr>
          <w:bCs/>
        </w:rPr>
        <w:t xml:space="preserve"> </w:t>
      </w:r>
      <w:r w:rsidR="004A2E9E" w:rsidRPr="0071163B">
        <w:rPr>
          <w:bCs/>
        </w:rPr>
        <w:t>Plainly, the text does not support such a dichotomy</w:t>
      </w:r>
      <w:r w:rsidR="00B67478">
        <w:rPr>
          <w:bCs/>
        </w:rPr>
        <w:t xml:space="preserve"> between requirements for laity and clergy</w:t>
      </w:r>
      <w:r w:rsidR="004A2E9E" w:rsidRPr="0071163B">
        <w:rPr>
          <w:bCs/>
        </w:rPr>
        <w:t xml:space="preserve">. </w:t>
      </w:r>
      <w:r w:rsidR="0055415D">
        <w:rPr>
          <w:bCs/>
        </w:rPr>
        <w:t>Furthermore, t</w:t>
      </w:r>
      <w:r w:rsidR="00E919A3" w:rsidRPr="0071163B">
        <w:rPr>
          <w:bCs/>
        </w:rPr>
        <w:t xml:space="preserve">he </w:t>
      </w:r>
      <w:r w:rsidR="00C4729A">
        <w:rPr>
          <w:bCs/>
        </w:rPr>
        <w:t xml:space="preserve">other </w:t>
      </w:r>
      <w:r w:rsidR="00E919A3" w:rsidRPr="0071163B">
        <w:rPr>
          <w:bCs/>
        </w:rPr>
        <w:t xml:space="preserve">character qualifications </w:t>
      </w:r>
      <w:r w:rsidR="004A0014">
        <w:rPr>
          <w:bCs/>
        </w:rPr>
        <w:t xml:space="preserve">in this passage </w:t>
      </w:r>
      <w:r w:rsidR="00E919A3" w:rsidRPr="0071163B">
        <w:rPr>
          <w:bCs/>
        </w:rPr>
        <w:t xml:space="preserve">coincide with expectations </w:t>
      </w:r>
      <w:r w:rsidR="002C185A" w:rsidRPr="0071163B">
        <w:rPr>
          <w:bCs/>
        </w:rPr>
        <w:t xml:space="preserve">held </w:t>
      </w:r>
      <w:r w:rsidR="00E919A3" w:rsidRPr="0071163B">
        <w:rPr>
          <w:bCs/>
        </w:rPr>
        <w:t>for all believers</w:t>
      </w:r>
      <w:r w:rsidR="002C185A" w:rsidRPr="0071163B">
        <w:rPr>
          <w:bCs/>
        </w:rPr>
        <w:t xml:space="preserve"> and focus on the recent history </w:t>
      </w:r>
      <w:r w:rsidR="00CF3460" w:rsidRPr="0071163B">
        <w:rPr>
          <w:bCs/>
        </w:rPr>
        <w:t>of the</w:t>
      </w:r>
      <w:r w:rsidR="002C185A" w:rsidRPr="0071163B">
        <w:rPr>
          <w:bCs/>
        </w:rPr>
        <w:t xml:space="preserve"> candidate</w:t>
      </w:r>
      <w:r w:rsidR="00CF3460" w:rsidRPr="0071163B">
        <w:rPr>
          <w:bCs/>
        </w:rPr>
        <w:t>.</w:t>
      </w:r>
      <w:r w:rsidR="00C4729A">
        <w:rPr>
          <w:rStyle w:val="FootnoteReference"/>
          <w:bCs/>
        </w:rPr>
        <w:footnoteReference w:id="32"/>
      </w:r>
      <w:r w:rsidR="00561DA2">
        <w:rPr>
          <w:bCs/>
        </w:rPr>
        <w:t xml:space="preserve"> H</w:t>
      </w:r>
      <w:r w:rsidR="00CF3460" w:rsidRPr="0071163B">
        <w:rPr>
          <w:bCs/>
        </w:rPr>
        <w:t>olding overseers to a higher standard in marriage or treating remarriage as</w:t>
      </w:r>
      <w:r w:rsidR="009D483D">
        <w:rPr>
          <w:bCs/>
        </w:rPr>
        <w:t xml:space="preserve"> permanently disqualifying</w:t>
      </w:r>
      <w:r w:rsidR="00CF3460" w:rsidRPr="0071163B">
        <w:rPr>
          <w:bCs/>
        </w:rPr>
        <w:t xml:space="preserve"> sets up a </w:t>
      </w:r>
      <w:r w:rsidR="00CF3460" w:rsidRPr="0071163B">
        <w:rPr>
          <w:bCs/>
        </w:rPr>
        <w:lastRenderedPageBreak/>
        <w:t>dichotomy between the marriage qualification and the rest</w:t>
      </w:r>
      <w:r w:rsidR="00347E0A">
        <w:rPr>
          <w:bCs/>
        </w:rPr>
        <w:t>, and between clergy and laity</w:t>
      </w:r>
      <w:r w:rsidR="00CF3460" w:rsidRPr="0071163B">
        <w:rPr>
          <w:bCs/>
        </w:rPr>
        <w:t xml:space="preserve">. </w:t>
      </w:r>
      <w:r w:rsidR="00347E0A">
        <w:rPr>
          <w:bCs/>
        </w:rPr>
        <w:t xml:space="preserve">Regarding the phrase </w:t>
      </w:r>
      <w:r w:rsidR="00347E0A" w:rsidRPr="0071163B">
        <w:rPr>
          <w:bCs/>
          <w:lang w:val="el-GR"/>
        </w:rPr>
        <w:t>μιᾶς γυναικὸς ἄνδρα</w:t>
      </w:r>
      <w:r w:rsidR="00347E0A">
        <w:rPr>
          <w:bCs/>
        </w:rPr>
        <w:t xml:space="preserve">, </w:t>
      </w:r>
      <w:r w:rsidR="004A0014" w:rsidRPr="0071163B">
        <w:rPr>
          <w:bCs/>
        </w:rPr>
        <w:t xml:space="preserve">Towner </w:t>
      </w:r>
      <w:r w:rsidR="00347E0A">
        <w:rPr>
          <w:bCs/>
        </w:rPr>
        <w:t xml:space="preserve">discovered </w:t>
      </w:r>
      <w:r w:rsidR="001724F8">
        <w:rPr>
          <w:bCs/>
        </w:rPr>
        <w:t xml:space="preserve">that </w:t>
      </w:r>
      <w:r w:rsidR="004A0014" w:rsidRPr="0071163B">
        <w:rPr>
          <w:bCs/>
        </w:rPr>
        <w:t xml:space="preserve">“there is no first-century evidence of </w:t>
      </w:r>
      <w:r w:rsidR="0055415D">
        <w:rPr>
          <w:bCs/>
        </w:rPr>
        <w:t>its</w:t>
      </w:r>
      <w:r w:rsidR="004A0014" w:rsidRPr="0071163B">
        <w:rPr>
          <w:bCs/>
        </w:rPr>
        <w:t xml:space="preserve"> use in connection with divorce.”</w:t>
      </w:r>
      <w:r w:rsidR="004A0014" w:rsidRPr="0071163B">
        <w:rPr>
          <w:rStyle w:val="FootnoteReference"/>
          <w:bCs/>
        </w:rPr>
        <w:footnoteReference w:id="33"/>
      </w:r>
      <w:r w:rsidR="004A0014">
        <w:rPr>
          <w:bCs/>
        </w:rPr>
        <w:t xml:space="preserve"> </w:t>
      </w:r>
      <w:r w:rsidR="000C0346">
        <w:rPr>
          <w:bCs/>
        </w:rPr>
        <w:t xml:space="preserve">Beyond the lack of tenability with the other options, </w:t>
      </w:r>
      <w:r w:rsidR="002E3FE1" w:rsidRPr="0071163B">
        <w:rPr>
          <w:bCs/>
        </w:rPr>
        <w:t xml:space="preserve">the phrasing of </w:t>
      </w:r>
      <w:r w:rsidR="002E3FE1" w:rsidRPr="0071163B">
        <w:rPr>
          <w:bCs/>
          <w:lang w:val="el-GR"/>
        </w:rPr>
        <w:t>μιᾶς γυναικὸς ἄνδρα</w:t>
      </w:r>
      <w:r w:rsidR="002E3FE1" w:rsidRPr="0071163B">
        <w:rPr>
          <w:bCs/>
        </w:rPr>
        <w:t xml:space="preserve"> is positive, not negative</w:t>
      </w:r>
      <w:r w:rsidR="000C0346">
        <w:rPr>
          <w:bCs/>
        </w:rPr>
        <w:t>; w</w:t>
      </w:r>
      <w:r w:rsidR="004B3A62" w:rsidRPr="0071163B">
        <w:rPr>
          <w:bCs/>
        </w:rPr>
        <w:t xml:space="preserve">hile the first three options are negative </w:t>
      </w:r>
      <w:r w:rsidR="004A2E9E" w:rsidRPr="0071163B">
        <w:rPr>
          <w:bCs/>
        </w:rPr>
        <w:t>requirements</w:t>
      </w:r>
      <w:r w:rsidR="004B3A62" w:rsidRPr="0071163B">
        <w:rPr>
          <w:bCs/>
        </w:rPr>
        <w:t>, only option 4</w:t>
      </w:r>
      <w:r w:rsidR="000C0346">
        <w:rPr>
          <w:bCs/>
        </w:rPr>
        <w:t>)</w:t>
      </w:r>
      <w:r w:rsidR="004B3A62" w:rsidRPr="0071163B">
        <w:rPr>
          <w:bCs/>
        </w:rPr>
        <w:t xml:space="preserve"> is written </w:t>
      </w:r>
      <w:r w:rsidR="000C0346">
        <w:rPr>
          <w:bCs/>
        </w:rPr>
        <w:t xml:space="preserve">in a </w:t>
      </w:r>
      <w:r w:rsidR="004B3A62" w:rsidRPr="0071163B">
        <w:rPr>
          <w:bCs/>
        </w:rPr>
        <w:t>positive</w:t>
      </w:r>
      <w:r w:rsidR="000C0346">
        <w:rPr>
          <w:bCs/>
        </w:rPr>
        <w:t xml:space="preserve"> form</w:t>
      </w:r>
      <w:r w:rsidR="004B3A62" w:rsidRPr="0071163B">
        <w:rPr>
          <w:bCs/>
        </w:rPr>
        <w:t>.</w:t>
      </w:r>
      <w:r w:rsidR="00D76BB5" w:rsidRPr="0071163B">
        <w:rPr>
          <w:bCs/>
        </w:rPr>
        <w:t xml:space="preserve"> I. Howard Marshall </w:t>
      </w:r>
      <w:r w:rsidR="000C0346">
        <w:rPr>
          <w:bCs/>
        </w:rPr>
        <w:t xml:space="preserve">is correct </w:t>
      </w:r>
      <w:r w:rsidR="001624B0" w:rsidRPr="0071163B">
        <w:rPr>
          <w:bCs/>
        </w:rPr>
        <w:t xml:space="preserve">when he </w:t>
      </w:r>
      <w:r w:rsidR="000C0346">
        <w:rPr>
          <w:bCs/>
        </w:rPr>
        <w:t xml:space="preserve">writes </w:t>
      </w:r>
      <w:r w:rsidR="00D76BB5" w:rsidRPr="0071163B">
        <w:rPr>
          <w:bCs/>
        </w:rPr>
        <w:t>that this phrase “is positive in tone and stresses faithfulness in marriage, rather than prohibiting some specific unsanctioned form of marriage.”</w:t>
      </w:r>
      <w:r w:rsidR="00D76BB5" w:rsidRPr="0071163B">
        <w:rPr>
          <w:rStyle w:val="FootnoteReference"/>
          <w:bCs/>
        </w:rPr>
        <w:footnoteReference w:id="34"/>
      </w:r>
      <w:r w:rsidR="004A0014">
        <w:rPr>
          <w:bCs/>
        </w:rPr>
        <w:t xml:space="preserve"> </w:t>
      </w:r>
    </w:p>
    <w:p w14:paraId="2C171EF0" w14:textId="77777777" w:rsidR="00015AE4" w:rsidRPr="0071163B" w:rsidRDefault="00015AE4" w:rsidP="00163266">
      <w:pPr>
        <w:pStyle w:val="NormalIndent"/>
        <w:rPr>
          <w:bCs/>
        </w:rPr>
      </w:pPr>
      <w:r w:rsidRPr="0071163B">
        <w:rPr>
          <w:bCs/>
        </w:rPr>
        <w:t xml:space="preserve">The remaining character qualifications in </w:t>
      </w:r>
      <w:r w:rsidR="004619FC" w:rsidRPr="0071163B">
        <w:rPr>
          <w:bCs/>
        </w:rPr>
        <w:t>v</w:t>
      </w:r>
      <w:r w:rsidRPr="0071163B">
        <w:rPr>
          <w:bCs/>
        </w:rPr>
        <w:t>. 2</w:t>
      </w:r>
      <w:r w:rsidR="004619FC" w:rsidRPr="0071163B">
        <w:rPr>
          <w:bCs/>
        </w:rPr>
        <w:t xml:space="preserve"> </w:t>
      </w:r>
      <w:r w:rsidRPr="0071163B">
        <w:rPr>
          <w:bCs/>
        </w:rPr>
        <w:t xml:space="preserve">are </w:t>
      </w:r>
      <w:r w:rsidR="00C147E4" w:rsidRPr="0071163B">
        <w:rPr>
          <w:bCs/>
        </w:rPr>
        <w:t>relatively</w:t>
      </w:r>
      <w:r w:rsidRPr="0071163B">
        <w:rPr>
          <w:bCs/>
        </w:rPr>
        <w:t xml:space="preserve"> straight-forward. While </w:t>
      </w:r>
      <w:r w:rsidRPr="0071163B">
        <w:rPr>
          <w:lang w:val="el-GR"/>
        </w:rPr>
        <w:t>νηφάλιον</w:t>
      </w:r>
      <w:r w:rsidRPr="0071163B">
        <w:t xml:space="preserve">, </w:t>
      </w:r>
      <w:r w:rsidRPr="0071163B">
        <w:rPr>
          <w:i/>
        </w:rPr>
        <w:t>self-controlled</w:t>
      </w:r>
      <w:r w:rsidRPr="0071163B">
        <w:t xml:space="preserve">, can be used in reference to </w:t>
      </w:r>
      <w:r w:rsidR="007263E4">
        <w:t>moderation in consuming alcohol</w:t>
      </w:r>
      <w:r w:rsidRPr="0071163B">
        <w:t xml:space="preserve">, it is more likely </w:t>
      </w:r>
      <w:r w:rsidR="00000E4D">
        <w:t xml:space="preserve">referring </w:t>
      </w:r>
      <w:r w:rsidRPr="0071163B">
        <w:t xml:space="preserve">to restrained and controlled conduct, particularly because </w:t>
      </w:r>
      <w:r w:rsidR="00F8622C">
        <w:t xml:space="preserve">drunkenness </w:t>
      </w:r>
      <w:r w:rsidRPr="0071163B">
        <w:t xml:space="preserve">is covered </w:t>
      </w:r>
      <w:r w:rsidR="00523BA6" w:rsidRPr="0071163B">
        <w:t>later</w:t>
      </w:r>
      <w:r w:rsidR="00000E4D">
        <w:t xml:space="preserve"> in the passage</w:t>
      </w:r>
      <w:r w:rsidR="00F8622C">
        <w:t xml:space="preserve">. The </w:t>
      </w:r>
      <w:r w:rsidR="00711C83">
        <w:t xml:space="preserve">word </w:t>
      </w:r>
      <w:r w:rsidR="00F8622C">
        <w:t>can also be used to describe someone who is well-balanced, temperate, or level-headed</w:t>
      </w:r>
      <w:r w:rsidRPr="0071163B">
        <w:t>.</w:t>
      </w:r>
      <w:r w:rsidR="00F8622C" w:rsidRPr="0071163B">
        <w:rPr>
          <w:rStyle w:val="FootnoteReference"/>
        </w:rPr>
        <w:footnoteReference w:id="35"/>
      </w:r>
      <w:r w:rsidR="00F8622C" w:rsidRPr="0071163B">
        <w:t xml:space="preserve"> </w:t>
      </w:r>
      <w:r w:rsidR="00711C83">
        <w:t>Next</w:t>
      </w:r>
      <w:r w:rsidR="00820E36" w:rsidRPr="0071163B">
        <w:t xml:space="preserve">, </w:t>
      </w:r>
      <w:r w:rsidR="00820E36" w:rsidRPr="0071163B">
        <w:rPr>
          <w:lang w:val="el-GR"/>
        </w:rPr>
        <w:t>σώφρονα</w:t>
      </w:r>
      <w:r w:rsidR="00820E36" w:rsidRPr="0071163B">
        <w:t xml:space="preserve">, </w:t>
      </w:r>
      <w:r w:rsidR="00820E36" w:rsidRPr="0071163B">
        <w:rPr>
          <w:i/>
        </w:rPr>
        <w:t>thoughtful</w:t>
      </w:r>
      <w:r w:rsidR="00820E36" w:rsidRPr="0071163B">
        <w:t xml:space="preserve">, is </w:t>
      </w:r>
      <w:r w:rsidR="001F46D1">
        <w:t xml:space="preserve">nearly </w:t>
      </w:r>
      <w:r w:rsidR="00820E36" w:rsidRPr="0071163B">
        <w:t xml:space="preserve">synonymous with </w:t>
      </w:r>
      <w:r w:rsidR="00820E36" w:rsidRPr="0071163B">
        <w:rPr>
          <w:lang w:val="el-GR"/>
        </w:rPr>
        <w:t>νηφάλιον</w:t>
      </w:r>
      <w:r w:rsidR="00820E36" w:rsidRPr="0071163B">
        <w:t xml:space="preserve">, but </w:t>
      </w:r>
      <w:r w:rsidR="009E0CF3" w:rsidRPr="0071163B">
        <w:t>lacks a</w:t>
      </w:r>
      <w:r w:rsidR="00273312" w:rsidRPr="0071163B">
        <w:t>ny</w:t>
      </w:r>
      <w:r w:rsidR="009E0CF3" w:rsidRPr="0071163B">
        <w:t xml:space="preserve"> reference to alcohol. Both </w:t>
      </w:r>
      <w:r w:rsidR="009E0CF3" w:rsidRPr="0071163B">
        <w:rPr>
          <w:i/>
        </w:rPr>
        <w:t>prudent</w:t>
      </w:r>
      <w:r w:rsidR="009E0CF3" w:rsidRPr="0071163B">
        <w:t xml:space="preserve"> and </w:t>
      </w:r>
      <w:r w:rsidR="009E0CF3" w:rsidRPr="0071163B">
        <w:rPr>
          <w:i/>
        </w:rPr>
        <w:t>self-controlled</w:t>
      </w:r>
      <w:r w:rsidR="009E0CF3" w:rsidRPr="0071163B">
        <w:t xml:space="preserve"> would be valid translations for </w:t>
      </w:r>
      <w:r w:rsidR="00273312" w:rsidRPr="0071163B">
        <w:rPr>
          <w:lang w:val="el-GR"/>
        </w:rPr>
        <w:t>σώφρονα</w:t>
      </w:r>
      <w:r w:rsidR="001F46D1">
        <w:t xml:space="preserve">, which also follows “the Hellenic model </w:t>
      </w:r>
      <w:r w:rsidR="00A5762D">
        <w:t>[</w:t>
      </w:r>
      <w:r w:rsidR="001F46D1">
        <w:t>in</w:t>
      </w:r>
      <w:r w:rsidR="00A5762D">
        <w:t>]</w:t>
      </w:r>
      <w:r w:rsidR="001F46D1">
        <w:t xml:space="preserve"> avoidance of extremes and careful consideration for responsible action</w:t>
      </w:r>
      <w:r w:rsidR="009E0CF3" w:rsidRPr="0071163B">
        <w:t>.</w:t>
      </w:r>
      <w:r w:rsidR="001F46D1">
        <w:t>”</w:t>
      </w:r>
      <w:r w:rsidR="006A5799" w:rsidRPr="0071163B">
        <w:rPr>
          <w:rStyle w:val="FootnoteReference"/>
        </w:rPr>
        <w:footnoteReference w:id="36"/>
      </w:r>
      <w:r w:rsidR="006A5799" w:rsidRPr="0071163B">
        <w:t xml:space="preserve"> </w:t>
      </w:r>
      <w:r w:rsidR="000512AA" w:rsidRPr="0071163B">
        <w:t xml:space="preserve">Following, </w:t>
      </w:r>
      <w:r w:rsidR="006A5799" w:rsidRPr="0071163B">
        <w:t xml:space="preserve">is </w:t>
      </w:r>
      <w:r w:rsidR="006A5799" w:rsidRPr="0071163B">
        <w:rPr>
          <w:lang w:val="el-GR"/>
        </w:rPr>
        <w:t>κόσμιον</w:t>
      </w:r>
      <w:r w:rsidR="006A5799" w:rsidRPr="0071163B">
        <w:t xml:space="preserve">, </w:t>
      </w:r>
      <w:r w:rsidR="006A5799" w:rsidRPr="0071163B">
        <w:rPr>
          <w:i/>
        </w:rPr>
        <w:t>honorable</w:t>
      </w:r>
      <w:r w:rsidR="006A5799" w:rsidRPr="0071163B">
        <w:t>, which is a word “pertaining to having characteristics or qualities that evoke admiration or delight.”</w:t>
      </w:r>
      <w:r w:rsidR="006A5799" w:rsidRPr="0071163B">
        <w:rPr>
          <w:rStyle w:val="FootnoteReference"/>
        </w:rPr>
        <w:footnoteReference w:id="37"/>
      </w:r>
      <w:r w:rsidR="008A798C" w:rsidRPr="0071163B">
        <w:t xml:space="preserve"> The next requirement,</w:t>
      </w:r>
      <w:r w:rsidR="008A798C" w:rsidRPr="0071163B">
        <w:rPr>
          <w:lang w:val="el-GR"/>
        </w:rPr>
        <w:t xml:space="preserve"> φιλόξενον</w:t>
      </w:r>
      <w:r w:rsidR="008A798C" w:rsidRPr="0071163B">
        <w:t xml:space="preserve">, </w:t>
      </w:r>
      <w:r w:rsidR="008A798C" w:rsidRPr="0071163B">
        <w:rPr>
          <w:i/>
        </w:rPr>
        <w:t>hospitable</w:t>
      </w:r>
      <w:r w:rsidR="008A798C" w:rsidRPr="0071163B">
        <w:t xml:space="preserve">, is interesting indeed. While BDAG only provides </w:t>
      </w:r>
      <w:r w:rsidR="008A798C" w:rsidRPr="0071163B">
        <w:rPr>
          <w:i/>
        </w:rPr>
        <w:t>hospitable</w:t>
      </w:r>
      <w:r w:rsidR="008A798C" w:rsidRPr="0071163B">
        <w:t xml:space="preserve"> as a translation, many commentators noted that the form of hospitality in view is far </w:t>
      </w:r>
      <w:r w:rsidR="008A798C" w:rsidRPr="0071163B">
        <w:lastRenderedPageBreak/>
        <w:t>greater than having someone over for dinner.</w:t>
      </w:r>
      <w:r w:rsidR="00156166" w:rsidRPr="0071163B">
        <w:rPr>
          <w:rStyle w:val="FootnoteReference"/>
        </w:rPr>
        <w:footnoteReference w:id="38"/>
      </w:r>
      <w:r w:rsidR="008A798C" w:rsidRPr="0071163B">
        <w:t xml:space="preserve"> </w:t>
      </w:r>
      <w:r w:rsidR="003F2DF0" w:rsidRPr="0071163B">
        <w:t>F</w:t>
      </w:r>
      <w:r w:rsidR="008A798C" w:rsidRPr="0071163B">
        <w:t xml:space="preserve">or </w:t>
      </w:r>
      <w:r w:rsidR="000512AA" w:rsidRPr="0071163B">
        <w:t xml:space="preserve">a </w:t>
      </w:r>
      <w:r w:rsidR="00156166" w:rsidRPr="0071163B">
        <w:t xml:space="preserve">candidate </w:t>
      </w:r>
      <w:r w:rsidR="008A798C" w:rsidRPr="0071163B">
        <w:t xml:space="preserve">to be hospitable </w:t>
      </w:r>
      <w:r w:rsidR="003F2DF0" w:rsidRPr="0071163B">
        <w:t>often meant</w:t>
      </w:r>
      <w:r w:rsidR="0065750A" w:rsidRPr="0071163B">
        <w:t xml:space="preserve"> hosting traveling Christian</w:t>
      </w:r>
      <w:r w:rsidR="000512AA" w:rsidRPr="0071163B">
        <w:t>s</w:t>
      </w:r>
      <w:r w:rsidR="0065750A" w:rsidRPr="0071163B">
        <w:t>, ministers, and the poor</w:t>
      </w:r>
      <w:r w:rsidR="003F2DF0" w:rsidRPr="0071163B">
        <w:t xml:space="preserve">, </w:t>
      </w:r>
      <w:r w:rsidR="00544A1A">
        <w:t xml:space="preserve">due to </w:t>
      </w:r>
      <w:r w:rsidR="003F2DF0" w:rsidRPr="0071163B">
        <w:t>a lack of trustworthy inns and establishments.</w:t>
      </w:r>
      <w:r w:rsidR="00156166" w:rsidRPr="0071163B">
        <w:rPr>
          <w:rStyle w:val="FootnoteReference"/>
        </w:rPr>
        <w:footnoteReference w:id="39"/>
      </w:r>
      <w:r w:rsidR="0065750A" w:rsidRPr="0071163B">
        <w:t xml:space="preserve"> </w:t>
      </w:r>
      <w:r w:rsidR="009965DB" w:rsidRPr="0071163B">
        <w:t>Towner offers a helpful reminder</w:t>
      </w:r>
      <w:r w:rsidR="000512AA" w:rsidRPr="0071163B">
        <w:t xml:space="preserve"> to Christians today by </w:t>
      </w:r>
      <w:r w:rsidR="009965DB" w:rsidRPr="0071163B">
        <w:t>writing, “Hospitality, like most of these qualities, was a practice required of all believers in general, which leaders were to exemplify.”</w:t>
      </w:r>
      <w:r w:rsidR="009965DB" w:rsidRPr="0071163B">
        <w:rPr>
          <w:rStyle w:val="FootnoteReference"/>
        </w:rPr>
        <w:footnoteReference w:id="40"/>
      </w:r>
      <w:r w:rsidR="004619FC" w:rsidRPr="0071163B">
        <w:t xml:space="preserve"> </w:t>
      </w:r>
      <w:r w:rsidR="006525FC" w:rsidRPr="0071163B">
        <w:t>The final qualification in v. 2 (</w:t>
      </w:r>
      <w:r w:rsidR="006525FC" w:rsidRPr="0071163B">
        <w:rPr>
          <w:lang w:val="el-GR"/>
        </w:rPr>
        <w:t>διδακτικόν</w:t>
      </w:r>
      <w:r w:rsidR="006525FC" w:rsidRPr="0071163B">
        <w:t xml:space="preserve">, </w:t>
      </w:r>
      <w:r w:rsidR="006525FC" w:rsidRPr="0071163B">
        <w:rPr>
          <w:i/>
        </w:rPr>
        <w:t>able to teach)</w:t>
      </w:r>
      <w:r w:rsidR="006525FC" w:rsidRPr="0071163B">
        <w:t xml:space="preserve"> is by no means the final qualification, nor is it positioned in such a place as to be considered supreme</w:t>
      </w:r>
      <w:r w:rsidR="007263E4">
        <w:t>, as it is often considered in evangelicalism</w:t>
      </w:r>
      <w:r w:rsidR="006525FC" w:rsidRPr="0071163B">
        <w:t xml:space="preserve">. While valid translations would include </w:t>
      </w:r>
      <w:r w:rsidR="006525FC" w:rsidRPr="0071163B">
        <w:rPr>
          <w:i/>
        </w:rPr>
        <w:t>able to teach</w:t>
      </w:r>
      <w:r w:rsidR="006525FC" w:rsidRPr="0071163B">
        <w:t xml:space="preserve"> or </w:t>
      </w:r>
      <w:r w:rsidR="006525FC" w:rsidRPr="0071163B">
        <w:rPr>
          <w:i/>
        </w:rPr>
        <w:t>skillful in teaching</w:t>
      </w:r>
      <w:r w:rsidR="006525FC" w:rsidRPr="0071163B">
        <w:t>,</w:t>
      </w:r>
      <w:r w:rsidR="006525FC" w:rsidRPr="0071163B">
        <w:rPr>
          <w:rStyle w:val="FootnoteReference"/>
        </w:rPr>
        <w:footnoteReference w:id="41"/>
      </w:r>
      <w:r w:rsidR="006525FC" w:rsidRPr="0071163B">
        <w:t xml:space="preserve"> it would </w:t>
      </w:r>
      <w:r w:rsidR="00000E4D">
        <w:t xml:space="preserve">be </w:t>
      </w:r>
      <w:r w:rsidR="006525FC" w:rsidRPr="0071163B">
        <w:t xml:space="preserve">inappropriate to treat this qualification as “skillful in </w:t>
      </w:r>
      <w:r w:rsidR="006525FC" w:rsidRPr="0071163B">
        <w:rPr>
          <w:i/>
        </w:rPr>
        <w:t>preaching.</w:t>
      </w:r>
      <w:r w:rsidR="006525FC" w:rsidRPr="0071163B">
        <w:t xml:space="preserve">” </w:t>
      </w:r>
      <w:r w:rsidR="00E62ADA" w:rsidRPr="0071163B">
        <w:t>This is because the verb</w:t>
      </w:r>
      <w:r w:rsidR="00B87C3B">
        <w:t>al</w:t>
      </w:r>
      <w:r w:rsidR="00E62ADA" w:rsidRPr="0071163B">
        <w:t xml:space="preserve"> root of </w:t>
      </w:r>
      <w:r w:rsidR="00E62ADA" w:rsidRPr="0071163B">
        <w:rPr>
          <w:bCs/>
        </w:rPr>
        <w:t xml:space="preserve">διδακτικός is διδάσκω, which </w:t>
      </w:r>
      <w:r w:rsidR="00B87C3B">
        <w:rPr>
          <w:bCs/>
        </w:rPr>
        <w:t>encompasses</w:t>
      </w:r>
      <w:r w:rsidR="00B87C3B" w:rsidRPr="0071163B">
        <w:rPr>
          <w:bCs/>
        </w:rPr>
        <w:t xml:space="preserve"> </w:t>
      </w:r>
      <w:r w:rsidR="00E62ADA" w:rsidRPr="0071163B">
        <w:rPr>
          <w:bCs/>
        </w:rPr>
        <w:t xml:space="preserve">teaching in </w:t>
      </w:r>
      <w:r w:rsidR="007C63F4" w:rsidRPr="0071163B">
        <w:rPr>
          <w:bCs/>
        </w:rPr>
        <w:t>both formal and</w:t>
      </w:r>
      <w:r w:rsidR="00E62ADA" w:rsidRPr="0071163B">
        <w:rPr>
          <w:bCs/>
        </w:rPr>
        <w:t xml:space="preserve"> </w:t>
      </w:r>
      <w:r w:rsidR="007C63F4" w:rsidRPr="0071163B">
        <w:rPr>
          <w:bCs/>
        </w:rPr>
        <w:t>i</w:t>
      </w:r>
      <w:r w:rsidR="00E62ADA" w:rsidRPr="0071163B">
        <w:rPr>
          <w:bCs/>
        </w:rPr>
        <w:t>nformal settings.</w:t>
      </w:r>
      <w:r w:rsidR="004E360F" w:rsidRPr="0071163B">
        <w:rPr>
          <w:rStyle w:val="FootnoteReference"/>
          <w:bCs/>
        </w:rPr>
        <w:footnoteReference w:id="42"/>
      </w:r>
      <w:r w:rsidR="00E62ADA" w:rsidRPr="0071163B">
        <w:rPr>
          <w:bCs/>
        </w:rPr>
        <w:t xml:space="preserve"> </w:t>
      </w:r>
      <w:r w:rsidR="00B87C3B">
        <w:rPr>
          <w:bCs/>
        </w:rPr>
        <w:t xml:space="preserve">Therefore, </w:t>
      </w:r>
      <w:r w:rsidR="00B87C3B">
        <w:rPr>
          <w:bCs/>
          <w:i/>
        </w:rPr>
        <w:t>a</w:t>
      </w:r>
      <w:r w:rsidR="00E62ADA" w:rsidRPr="0071163B">
        <w:rPr>
          <w:bCs/>
          <w:i/>
        </w:rPr>
        <w:t>ble to teach</w:t>
      </w:r>
      <w:r w:rsidR="00D9608D" w:rsidRPr="0071163B">
        <w:rPr>
          <w:bCs/>
        </w:rPr>
        <w:t xml:space="preserve"> describes a candidate who </w:t>
      </w:r>
      <w:r w:rsidR="00711C83">
        <w:rPr>
          <w:bCs/>
        </w:rPr>
        <w:t xml:space="preserve">is </w:t>
      </w:r>
      <w:r w:rsidR="00D9608D" w:rsidRPr="0071163B">
        <w:rPr>
          <w:bCs/>
        </w:rPr>
        <w:t xml:space="preserve">skilled in teaching in some settings, </w:t>
      </w:r>
      <w:r w:rsidR="00B87C3B">
        <w:rPr>
          <w:bCs/>
        </w:rPr>
        <w:t>though</w:t>
      </w:r>
      <w:r w:rsidR="00B87C3B" w:rsidRPr="0071163B">
        <w:rPr>
          <w:bCs/>
        </w:rPr>
        <w:t xml:space="preserve"> </w:t>
      </w:r>
      <w:r w:rsidR="00D9608D" w:rsidRPr="0071163B">
        <w:rPr>
          <w:bCs/>
        </w:rPr>
        <w:t>not necessarily in all settings.</w:t>
      </w:r>
      <w:r w:rsidR="004E360F" w:rsidRPr="0071163B">
        <w:rPr>
          <w:bCs/>
        </w:rPr>
        <w:t xml:space="preserve"> This</w:t>
      </w:r>
      <w:r w:rsidR="007263E4">
        <w:rPr>
          <w:bCs/>
        </w:rPr>
        <w:t xml:space="preserve"> is the first</w:t>
      </w:r>
      <w:r w:rsidR="004E360F" w:rsidRPr="0071163B">
        <w:rPr>
          <w:bCs/>
        </w:rPr>
        <w:t xml:space="preserve"> </w:t>
      </w:r>
      <w:r w:rsidR="003F6C62" w:rsidRPr="0071163B">
        <w:rPr>
          <w:bCs/>
        </w:rPr>
        <w:t>qualification</w:t>
      </w:r>
      <w:r w:rsidR="004E360F" w:rsidRPr="0071163B">
        <w:rPr>
          <w:bCs/>
        </w:rPr>
        <w:t xml:space="preserve"> </w:t>
      </w:r>
      <w:r w:rsidR="007263E4">
        <w:rPr>
          <w:bCs/>
        </w:rPr>
        <w:t xml:space="preserve">that </w:t>
      </w:r>
      <w:r w:rsidR="004E360F" w:rsidRPr="0071163B">
        <w:rPr>
          <w:bCs/>
        </w:rPr>
        <w:t xml:space="preserve">is based on ability, rather than character, and it is also one that is </w:t>
      </w:r>
      <w:r w:rsidR="00B87C3B">
        <w:rPr>
          <w:bCs/>
        </w:rPr>
        <w:t>notably</w:t>
      </w:r>
      <w:r w:rsidR="00B87C3B" w:rsidRPr="0071163B">
        <w:rPr>
          <w:bCs/>
        </w:rPr>
        <w:t xml:space="preserve"> </w:t>
      </w:r>
      <w:r w:rsidR="004E360F" w:rsidRPr="0071163B">
        <w:rPr>
          <w:bCs/>
        </w:rPr>
        <w:t xml:space="preserve">missing from the </w:t>
      </w:r>
      <w:r w:rsidR="003F6C62" w:rsidRPr="0071163B">
        <w:rPr>
          <w:bCs/>
        </w:rPr>
        <w:t>requirements</w:t>
      </w:r>
      <w:r w:rsidR="004E360F" w:rsidRPr="0071163B">
        <w:rPr>
          <w:bCs/>
        </w:rPr>
        <w:t xml:space="preserve"> for deacons</w:t>
      </w:r>
      <w:r w:rsidR="00D27F38" w:rsidRPr="0071163B">
        <w:rPr>
          <w:bCs/>
        </w:rPr>
        <w:t xml:space="preserve">. It is </w:t>
      </w:r>
      <w:r w:rsidR="00B87C3B">
        <w:rPr>
          <w:bCs/>
        </w:rPr>
        <w:t xml:space="preserve">thus </w:t>
      </w:r>
      <w:r w:rsidR="00D27F38" w:rsidRPr="0071163B">
        <w:rPr>
          <w:bCs/>
        </w:rPr>
        <w:t>reasonable to deduce that one of the distinguishing duties between overseers and deacons is</w:t>
      </w:r>
      <w:r w:rsidR="00B87C3B">
        <w:rPr>
          <w:bCs/>
        </w:rPr>
        <w:t xml:space="preserve"> the</w:t>
      </w:r>
      <w:r w:rsidR="00D27F38" w:rsidRPr="0071163B">
        <w:rPr>
          <w:bCs/>
        </w:rPr>
        <w:t xml:space="preserve"> expectation </w:t>
      </w:r>
      <w:r w:rsidR="007263E4">
        <w:rPr>
          <w:bCs/>
        </w:rPr>
        <w:t xml:space="preserve">that overseers </w:t>
      </w:r>
      <w:r w:rsidR="00D27F38" w:rsidRPr="0071163B">
        <w:rPr>
          <w:bCs/>
        </w:rPr>
        <w:t>teach the church</w:t>
      </w:r>
      <w:r w:rsidR="007263E4">
        <w:rPr>
          <w:bCs/>
        </w:rPr>
        <w:t>, and thereby exercise authority</w:t>
      </w:r>
      <w:r w:rsidR="00D27F38" w:rsidRPr="0071163B">
        <w:rPr>
          <w:bCs/>
        </w:rPr>
        <w:t>.</w:t>
      </w:r>
    </w:p>
    <w:p w14:paraId="0E0AA220" w14:textId="77777777" w:rsidR="00D02A6B" w:rsidRPr="0071163B" w:rsidRDefault="00D02A6B" w:rsidP="00810BB1">
      <w:pPr>
        <w:pStyle w:val="Heading2"/>
      </w:pPr>
      <w:r w:rsidRPr="0071163B">
        <w:t>Verse</w:t>
      </w:r>
      <w:r>
        <w:t xml:space="preserve"> </w:t>
      </w:r>
      <w:r w:rsidRPr="0071163B">
        <w:t>3</w:t>
      </w:r>
    </w:p>
    <w:p w14:paraId="48FA5D4C" w14:textId="77777777" w:rsidR="00D02A6B" w:rsidRPr="0071163B" w:rsidRDefault="00D02A6B" w:rsidP="00810BB1">
      <w:pPr>
        <w:pStyle w:val="BlockQuote"/>
      </w:pPr>
      <w:r w:rsidRPr="0071163B">
        <w:rPr>
          <w:lang w:val="el-GR"/>
        </w:rPr>
        <w:t>μὴ πάροινον μὴ πλήκτην, ἀλλὰ ἐπιεικῆ ἄμαχον ἀφιλάργυρον,</w:t>
      </w:r>
      <w:r w:rsidRPr="0071163B">
        <w:rPr>
          <w:vertAlign w:val="superscript"/>
        </w:rPr>
        <w:footnoteReference w:id="43"/>
      </w:r>
    </w:p>
    <w:p w14:paraId="47DA04E0" w14:textId="77777777" w:rsidR="00D02A6B" w:rsidRPr="00810BB1" w:rsidRDefault="00D02A6B" w:rsidP="00810BB1">
      <w:pPr>
        <w:pStyle w:val="BlockQuote"/>
        <w:rPr>
          <w:i/>
        </w:rPr>
      </w:pPr>
      <w:proofErr w:type="gramStart"/>
      <w:r w:rsidRPr="00810BB1">
        <w:rPr>
          <w:i/>
        </w:rPr>
        <w:lastRenderedPageBreak/>
        <w:t>not</w:t>
      </w:r>
      <w:proofErr w:type="gramEnd"/>
      <w:r w:rsidRPr="00810BB1">
        <w:rPr>
          <w:i/>
        </w:rPr>
        <w:t xml:space="preserve"> a drunkard, nor a bully, but yielding, peaceable, generous with money,</w:t>
      </w:r>
    </w:p>
    <w:p w14:paraId="11F9DE2B" w14:textId="77777777" w:rsidR="00F72C06" w:rsidRPr="001624C4" w:rsidRDefault="00394143" w:rsidP="00163266">
      <w:pPr>
        <w:pStyle w:val="NormalIndent"/>
        <w:rPr>
          <w:bCs/>
        </w:rPr>
      </w:pPr>
      <w:r w:rsidRPr="0071163B">
        <w:rPr>
          <w:bCs/>
        </w:rPr>
        <w:t xml:space="preserve">The list of qualifications continues in v. 3. </w:t>
      </w:r>
      <w:r w:rsidR="002545E9" w:rsidRPr="0071163B">
        <w:rPr>
          <w:bCs/>
        </w:rPr>
        <w:t>While the first two</w:t>
      </w:r>
      <w:r w:rsidR="00FF3D45" w:rsidRPr="0071163B">
        <w:rPr>
          <w:bCs/>
        </w:rPr>
        <w:t xml:space="preserve"> phrases in this list are negative, starting with </w:t>
      </w:r>
      <w:r w:rsidR="00FF3D45" w:rsidRPr="0071163B">
        <w:rPr>
          <w:lang w:val="el-GR"/>
        </w:rPr>
        <w:t>μὴ</w:t>
      </w:r>
      <w:r w:rsidR="00FF3D45" w:rsidRPr="0071163B">
        <w:rPr>
          <w:i/>
        </w:rPr>
        <w:t>, not</w:t>
      </w:r>
      <w:r w:rsidR="00FF3D45" w:rsidRPr="0071163B">
        <w:t>,</w:t>
      </w:r>
      <w:r w:rsidR="002545E9" w:rsidRPr="0071163B">
        <w:t xml:space="preserve"> the final three are contrastingly positive</w:t>
      </w:r>
      <w:r w:rsidR="00FF3D45" w:rsidRPr="0071163B">
        <w:t>.</w:t>
      </w:r>
      <w:r w:rsidR="009A7466" w:rsidRPr="0071163B">
        <w:t xml:space="preserve"> The first is </w:t>
      </w:r>
      <w:r w:rsidR="009A7466" w:rsidRPr="0071163B">
        <w:rPr>
          <w:lang w:val="el-GR"/>
        </w:rPr>
        <w:t>μὴ πάροινον</w:t>
      </w:r>
      <w:r w:rsidR="002545E9" w:rsidRPr="0071163B">
        <w:t xml:space="preserve">, </w:t>
      </w:r>
      <w:r w:rsidR="002545E9" w:rsidRPr="0071163B">
        <w:rPr>
          <w:i/>
        </w:rPr>
        <w:t>not a drunkard</w:t>
      </w:r>
      <w:r w:rsidR="002545E9" w:rsidRPr="0071163B">
        <w:t>, which is consistent with the biblical message of the sinfulness of drunkenness.</w:t>
      </w:r>
      <w:r w:rsidR="004113AE" w:rsidRPr="0071163B">
        <w:rPr>
          <w:rStyle w:val="FootnoteReference"/>
        </w:rPr>
        <w:footnoteReference w:id="44"/>
      </w:r>
      <w:r w:rsidR="004113AE" w:rsidRPr="0071163B">
        <w:t xml:space="preserve"> </w:t>
      </w:r>
      <w:r w:rsidR="00953387" w:rsidRPr="0071163B">
        <w:t>However, by implication, it allows for alcohol consumption by officers and laity alike.</w:t>
      </w:r>
      <w:r w:rsidR="00953387" w:rsidRPr="0071163B">
        <w:rPr>
          <w:rStyle w:val="FootnoteReference"/>
        </w:rPr>
        <w:footnoteReference w:id="45"/>
      </w:r>
      <w:r w:rsidR="00953387" w:rsidRPr="0071163B">
        <w:t xml:space="preserve"> In fact, co</w:t>
      </w:r>
      <w:r w:rsidR="00953387" w:rsidRPr="00F12D6A">
        <w:t xml:space="preserve">nsidering the whole of Scripture, </w:t>
      </w:r>
      <w:r w:rsidR="00441FE5">
        <w:t xml:space="preserve">the </w:t>
      </w:r>
      <w:r w:rsidR="00953387" w:rsidRPr="00F12D6A">
        <w:t xml:space="preserve">consumption </w:t>
      </w:r>
      <w:r w:rsidR="00441FE5">
        <w:t xml:space="preserve">of alcohol </w:t>
      </w:r>
      <w:r w:rsidR="00953387" w:rsidRPr="00F12D6A">
        <w:t xml:space="preserve">is not </w:t>
      </w:r>
      <w:r w:rsidR="00441FE5">
        <w:t xml:space="preserve">merely </w:t>
      </w:r>
      <w:r w:rsidR="00953387" w:rsidRPr="00F12D6A">
        <w:t>tolerated</w:t>
      </w:r>
      <w:r w:rsidR="00441FE5">
        <w:t>;</w:t>
      </w:r>
      <w:r w:rsidR="00953387" w:rsidRPr="00F12D6A">
        <w:t xml:space="preserve"> it is celebrated.</w:t>
      </w:r>
      <w:r w:rsidR="00754304" w:rsidRPr="00F12D6A">
        <w:rPr>
          <w:rStyle w:val="FootnoteReference"/>
        </w:rPr>
        <w:footnoteReference w:id="46"/>
      </w:r>
      <w:r w:rsidR="00953387" w:rsidRPr="00F12D6A">
        <w:t xml:space="preserve"> </w:t>
      </w:r>
      <w:r w:rsidR="00084289">
        <w:t xml:space="preserve">At the same time, </w:t>
      </w:r>
      <w:r w:rsidR="00953387" w:rsidRPr="00F12D6A">
        <w:t xml:space="preserve">because </w:t>
      </w:r>
      <w:r w:rsidR="00084289">
        <w:t xml:space="preserve">Scripture consistently condemns </w:t>
      </w:r>
      <w:r w:rsidR="00953387" w:rsidRPr="00F12D6A">
        <w:t>drunkenness, alcohol must be used wisely</w:t>
      </w:r>
      <w:r w:rsidR="004D02B3" w:rsidRPr="00F12D6A">
        <w:t xml:space="preserve"> by the candidate</w:t>
      </w:r>
      <w:r w:rsidR="00953387" w:rsidRPr="00F12D6A">
        <w:t>, in a manner beyond reproach.</w:t>
      </w:r>
      <w:r w:rsidR="00F12D6A" w:rsidRPr="00F12D6A">
        <w:t xml:space="preserve"> The next qualification, </w:t>
      </w:r>
      <w:r w:rsidR="00F12D6A" w:rsidRPr="00F12D6A">
        <w:rPr>
          <w:lang w:val="el-GR"/>
        </w:rPr>
        <w:t>μὴ πλήκτην</w:t>
      </w:r>
      <w:r w:rsidR="00F12D6A" w:rsidRPr="00F12D6A">
        <w:t xml:space="preserve">, </w:t>
      </w:r>
      <w:r w:rsidR="00F12D6A" w:rsidRPr="00F12D6A">
        <w:rPr>
          <w:i/>
        </w:rPr>
        <w:t>not a bully</w:t>
      </w:r>
      <w:r w:rsidR="00F12D6A">
        <w:t xml:space="preserve">, may be related </w:t>
      </w:r>
      <w:r w:rsidR="00000E4D">
        <w:t xml:space="preserve">to </w:t>
      </w:r>
      <w:r w:rsidR="00F12D6A">
        <w:t>the preceding re</w:t>
      </w:r>
      <w:r w:rsidR="00000E4D">
        <w:t>quirement against drunkenness; e</w:t>
      </w:r>
      <w:r w:rsidR="00F12D6A">
        <w:t>ither way, the candidate may be neither a bully nor pugnacious.</w:t>
      </w:r>
      <w:r w:rsidR="00F12D6A">
        <w:rPr>
          <w:rStyle w:val="FootnoteReference"/>
        </w:rPr>
        <w:footnoteReference w:id="47"/>
      </w:r>
      <w:r w:rsidR="0010395C">
        <w:t xml:space="preserve"> Followin</w:t>
      </w:r>
      <w:r w:rsidR="0010395C" w:rsidRPr="00805669">
        <w:t xml:space="preserve">g these negatives is a series of positives, beginning with </w:t>
      </w:r>
      <w:r w:rsidR="0010395C" w:rsidRPr="00805669">
        <w:rPr>
          <w:lang w:val="el-GR"/>
        </w:rPr>
        <w:t>ἐπιεικῆ</w:t>
      </w:r>
      <w:r w:rsidR="0010395C" w:rsidRPr="00805669">
        <w:t xml:space="preserve">, </w:t>
      </w:r>
      <w:r w:rsidR="0010395C" w:rsidRPr="00805669">
        <w:rPr>
          <w:i/>
        </w:rPr>
        <w:t>yielding</w:t>
      </w:r>
      <w:r w:rsidR="0010395C" w:rsidRPr="00805669">
        <w:t>.</w:t>
      </w:r>
      <w:r w:rsidR="009A20BB" w:rsidRPr="00805669">
        <w:t xml:space="preserve"> </w:t>
      </w:r>
      <w:r w:rsidR="008F68E9">
        <w:t xml:space="preserve">BDAG </w:t>
      </w:r>
      <w:r w:rsidR="00084289">
        <w:t xml:space="preserve">helpfully clarifies </w:t>
      </w:r>
      <w:r w:rsidR="008F68E9">
        <w:t xml:space="preserve">this term, </w:t>
      </w:r>
      <w:r w:rsidR="00084289">
        <w:t xml:space="preserve">indicating that it connotes </w:t>
      </w:r>
      <w:r w:rsidR="008F68E9">
        <w:t xml:space="preserve">“not insisting on every right of letter of law or custom.” </w:t>
      </w:r>
      <w:r w:rsidR="00AB2B9F">
        <w:t xml:space="preserve">Valid translations include </w:t>
      </w:r>
      <w:r w:rsidR="00AB2B9F">
        <w:rPr>
          <w:i/>
        </w:rPr>
        <w:t xml:space="preserve">gentle, kind, courteous, </w:t>
      </w:r>
      <w:r w:rsidR="00AB2B9F">
        <w:t xml:space="preserve">and </w:t>
      </w:r>
      <w:r w:rsidR="00AB2B9F">
        <w:rPr>
          <w:i/>
        </w:rPr>
        <w:t>tolerant</w:t>
      </w:r>
      <w:r w:rsidR="00AB2B9F">
        <w:t>.</w:t>
      </w:r>
      <w:r w:rsidR="00AB2B9F">
        <w:rPr>
          <w:rStyle w:val="FootnoteReference"/>
        </w:rPr>
        <w:footnoteReference w:id="48"/>
      </w:r>
      <w:r w:rsidR="00A70EDE">
        <w:t xml:space="preserve"> </w:t>
      </w:r>
      <w:r w:rsidR="004960BC">
        <w:t xml:space="preserve">A candidate may not be a legalist, but must consider the flock with </w:t>
      </w:r>
      <w:r w:rsidR="004960BC" w:rsidRPr="009E0FAA">
        <w:t>a gentle under</w:t>
      </w:r>
      <w:r w:rsidR="004960BC" w:rsidRPr="002E5886">
        <w:t xml:space="preserve">standing of their </w:t>
      </w:r>
      <w:r w:rsidR="00A8396E" w:rsidRPr="002E5886">
        <w:t>struggles</w:t>
      </w:r>
      <w:r w:rsidR="004960BC" w:rsidRPr="002E5886">
        <w:t>.</w:t>
      </w:r>
      <w:r w:rsidR="00132493" w:rsidRPr="002E5886">
        <w:t xml:space="preserve"> </w:t>
      </w:r>
      <w:r w:rsidR="00084289">
        <w:t>Furthermore, the overseer must not demand respect as a right or privilege, but must be courteous to all.</w:t>
      </w:r>
      <w:r w:rsidR="00F15BF4" w:rsidRPr="002E5886">
        <w:t xml:space="preserve"> </w:t>
      </w:r>
      <w:r w:rsidR="009E0FAA" w:rsidRPr="002E5886">
        <w:t xml:space="preserve">Next, the overseer must be </w:t>
      </w:r>
      <w:r w:rsidR="009E0FAA" w:rsidRPr="001624C4">
        <w:rPr>
          <w:bCs/>
          <w:lang w:val="el-GR"/>
        </w:rPr>
        <w:t>ἄμαχον</w:t>
      </w:r>
      <w:r w:rsidR="009E0FAA" w:rsidRPr="001624C4">
        <w:rPr>
          <w:bCs/>
        </w:rPr>
        <w:t xml:space="preserve">, </w:t>
      </w:r>
      <w:r w:rsidR="009E0FAA" w:rsidRPr="001624C4">
        <w:rPr>
          <w:bCs/>
          <w:i/>
        </w:rPr>
        <w:t>peaceable</w:t>
      </w:r>
      <w:r w:rsidR="002E5886" w:rsidRPr="001624C4">
        <w:rPr>
          <w:bCs/>
        </w:rPr>
        <w:t xml:space="preserve">. He must </w:t>
      </w:r>
      <w:r w:rsidR="00D55488" w:rsidRPr="001624C4">
        <w:rPr>
          <w:bCs/>
        </w:rPr>
        <w:t>seek peace in hard situations and not antagonize his brothers and sisters.</w:t>
      </w:r>
      <w:r w:rsidR="001624C4" w:rsidRPr="001624C4">
        <w:rPr>
          <w:bCs/>
        </w:rPr>
        <w:t xml:space="preserve"> Finally, the overseer must be </w:t>
      </w:r>
      <w:r w:rsidR="001624C4" w:rsidRPr="001624C4">
        <w:rPr>
          <w:lang w:val="el-GR"/>
        </w:rPr>
        <w:t>ἀφιλάργυρον</w:t>
      </w:r>
      <w:r w:rsidR="001624C4" w:rsidRPr="001624C4">
        <w:t xml:space="preserve">, </w:t>
      </w:r>
      <w:r w:rsidR="001624C4">
        <w:rPr>
          <w:i/>
        </w:rPr>
        <w:t>generous</w:t>
      </w:r>
      <w:r w:rsidR="00CA01B5">
        <w:rPr>
          <w:i/>
        </w:rPr>
        <w:t xml:space="preserve"> with money</w:t>
      </w:r>
      <w:r w:rsidR="001624C4">
        <w:t xml:space="preserve">. While this term could be </w:t>
      </w:r>
      <w:r w:rsidR="001624C4">
        <w:lastRenderedPageBreak/>
        <w:t xml:space="preserve">translated </w:t>
      </w:r>
      <w:r w:rsidR="001624C4">
        <w:rPr>
          <w:i/>
        </w:rPr>
        <w:t xml:space="preserve">not </w:t>
      </w:r>
      <w:r w:rsidR="001624C4" w:rsidRPr="001624C4">
        <w:rPr>
          <w:i/>
        </w:rPr>
        <w:t>loving money</w:t>
      </w:r>
      <w:r w:rsidR="001624C4" w:rsidRPr="001624C4">
        <w:t xml:space="preserve"> or </w:t>
      </w:r>
      <w:r w:rsidR="001624C4" w:rsidRPr="001624C4">
        <w:rPr>
          <w:i/>
        </w:rPr>
        <w:t>not greedy</w:t>
      </w:r>
      <w:r w:rsidR="001624C4" w:rsidRPr="001624C4">
        <w:t>,</w:t>
      </w:r>
      <w:r w:rsidR="00780C4F">
        <w:rPr>
          <w:rStyle w:val="FootnoteReference"/>
        </w:rPr>
        <w:footnoteReference w:id="49"/>
      </w:r>
      <w:r w:rsidR="001624C4" w:rsidRPr="001624C4">
        <w:t xml:space="preserve"> </w:t>
      </w:r>
      <w:r w:rsidR="001624C4" w:rsidRPr="001624C4">
        <w:rPr>
          <w:i/>
        </w:rPr>
        <w:t>generous</w:t>
      </w:r>
      <w:r w:rsidR="00E06FEE">
        <w:rPr>
          <w:i/>
        </w:rPr>
        <w:t xml:space="preserve"> with money</w:t>
      </w:r>
      <w:r w:rsidR="001624C4" w:rsidRPr="001624C4">
        <w:t xml:space="preserve"> </w:t>
      </w:r>
      <w:r w:rsidR="00E06FEE">
        <w:t xml:space="preserve">fits </w:t>
      </w:r>
      <w:r w:rsidR="00084289">
        <w:t xml:space="preserve">the </w:t>
      </w:r>
      <w:r w:rsidR="001624C4" w:rsidRPr="001624C4">
        <w:t xml:space="preserve">context </w:t>
      </w:r>
      <w:r w:rsidR="00084289">
        <w:t xml:space="preserve">better </w:t>
      </w:r>
      <w:r w:rsidR="00E06FEE">
        <w:t xml:space="preserve">because </w:t>
      </w:r>
      <w:r w:rsidR="00AA19F7">
        <w:t>the phrase is</w:t>
      </w:r>
      <w:r w:rsidR="001624C4" w:rsidRPr="001624C4">
        <w:t xml:space="preserve"> grouped with positive qualifications and </w:t>
      </w:r>
      <w:r w:rsidR="00922331">
        <w:t>stands in contrast</w:t>
      </w:r>
      <w:r w:rsidR="001624C4" w:rsidRPr="001624C4">
        <w:t xml:space="preserve"> </w:t>
      </w:r>
      <w:r w:rsidR="00922331">
        <w:t>to</w:t>
      </w:r>
      <w:r w:rsidR="001624C4" w:rsidRPr="001624C4">
        <w:t xml:space="preserve"> the earlier negative </w:t>
      </w:r>
      <w:r w:rsidR="00000E4D">
        <w:t>requirements</w:t>
      </w:r>
      <w:r w:rsidR="00922331">
        <w:t>.</w:t>
      </w:r>
      <w:r w:rsidR="00DD1B7E">
        <w:t xml:space="preserve"> </w:t>
      </w:r>
      <w:r w:rsidR="00623B3A">
        <w:t xml:space="preserve">With the exposure that overseers have to money, </w:t>
      </w:r>
      <w:r w:rsidR="009D1EAB">
        <w:t>both in</w:t>
      </w:r>
      <w:r w:rsidR="00623B3A">
        <w:t xml:space="preserve"> the church’s finances and </w:t>
      </w:r>
      <w:r w:rsidR="004A45D9">
        <w:t>personal income</w:t>
      </w:r>
      <w:r w:rsidR="00623B3A">
        <w:t xml:space="preserve">, </w:t>
      </w:r>
      <w:r w:rsidR="00E902CD">
        <w:t>this</w:t>
      </w:r>
      <w:r w:rsidR="00623B3A">
        <w:t xml:space="preserve"> is an important and pragmatic qualification indeed.</w:t>
      </w:r>
    </w:p>
    <w:p w14:paraId="39CCD477" w14:textId="77777777" w:rsidR="003C1F6B" w:rsidRDefault="003C1F6B" w:rsidP="00E21077">
      <w:pPr>
        <w:pStyle w:val="Heading2"/>
      </w:pPr>
      <w:r>
        <w:t>Verses 4-5</w:t>
      </w:r>
    </w:p>
    <w:p w14:paraId="01FF9F98" w14:textId="77777777" w:rsidR="003C1F6B" w:rsidRPr="003C1F6B" w:rsidRDefault="003C1F6B" w:rsidP="00810BB1">
      <w:pPr>
        <w:pStyle w:val="BlockQuote"/>
      </w:pPr>
      <w:r w:rsidRPr="003C1F6B">
        <w:rPr>
          <w:b/>
          <w:sz w:val="22"/>
          <w:lang w:val="el-GR"/>
        </w:rPr>
        <w:t xml:space="preserve">4 </w:t>
      </w:r>
      <w:r w:rsidRPr="003C1F6B">
        <w:rPr>
          <w:lang w:val="el-GR"/>
        </w:rPr>
        <w:t>τοῦ ἰδίου οἴκου καλῶς προϊστάμενον, τέκνα ἔχοντα ἐν ὑποταγῇ, μετὰ πάσης σεμνότητος (</w:t>
      </w:r>
      <w:r w:rsidRPr="003C1F6B">
        <w:rPr>
          <w:b/>
          <w:sz w:val="22"/>
          <w:lang w:val="el-GR"/>
        </w:rPr>
        <w:t xml:space="preserve">5 </w:t>
      </w:r>
      <w:r w:rsidRPr="003C1F6B">
        <w:rPr>
          <w:lang w:val="el-GR"/>
        </w:rPr>
        <w:t>εἰ δέ τις τοῦ ἰδίου οἴκου προστῆναι οὐκ οἶδεν, πῶς ἐκκλησίας θεοῦ ἐπιμελήσεται;),</w:t>
      </w:r>
      <w:r w:rsidRPr="003C1F6B">
        <w:rPr>
          <w:vertAlign w:val="superscript"/>
        </w:rPr>
        <w:footnoteReference w:id="50"/>
      </w:r>
    </w:p>
    <w:p w14:paraId="469A2CD6" w14:textId="77777777" w:rsidR="003C1F6B" w:rsidRPr="00810BB1" w:rsidRDefault="005D78B3" w:rsidP="00810BB1">
      <w:pPr>
        <w:pStyle w:val="BlockQuote"/>
        <w:rPr>
          <w:i/>
        </w:rPr>
      </w:pPr>
      <w:r w:rsidRPr="00810BB1">
        <w:rPr>
          <w:b/>
          <w:i/>
          <w:sz w:val="22"/>
          <w:lang w:val="el-GR"/>
        </w:rPr>
        <w:t>4</w:t>
      </w:r>
      <w:r w:rsidRPr="00810BB1">
        <w:rPr>
          <w:b/>
          <w:i/>
          <w:sz w:val="22"/>
        </w:rPr>
        <w:t xml:space="preserve"> </w:t>
      </w:r>
      <w:r w:rsidR="003C1F6B" w:rsidRPr="00810BB1">
        <w:rPr>
          <w:i/>
        </w:rPr>
        <w:t xml:space="preserve">leading </w:t>
      </w:r>
      <w:r w:rsidR="001F0017" w:rsidRPr="00810BB1">
        <w:rPr>
          <w:i/>
        </w:rPr>
        <w:t>his own family well</w:t>
      </w:r>
      <w:r w:rsidR="003C1F6B" w:rsidRPr="00810BB1">
        <w:rPr>
          <w:i/>
        </w:rPr>
        <w:t xml:space="preserve"> </w:t>
      </w:r>
      <w:r w:rsidRPr="00810BB1">
        <w:rPr>
          <w:i/>
        </w:rPr>
        <w:t xml:space="preserve">by holding his children </w:t>
      </w:r>
      <w:r w:rsidR="000C219D" w:rsidRPr="00810BB1">
        <w:rPr>
          <w:i/>
        </w:rPr>
        <w:t>in submission, with all dignity</w:t>
      </w:r>
      <w:r w:rsidR="002A0C24" w:rsidRPr="00810BB1">
        <w:rPr>
          <w:i/>
        </w:rPr>
        <w:t>,</w:t>
      </w:r>
      <w:r w:rsidRPr="00810BB1">
        <w:rPr>
          <w:i/>
        </w:rPr>
        <w:t xml:space="preserve"> </w:t>
      </w:r>
      <w:r w:rsidRPr="00810BB1">
        <w:rPr>
          <w:b/>
          <w:i/>
          <w:sz w:val="22"/>
          <w:lang w:val="el-GR"/>
        </w:rPr>
        <w:t>5</w:t>
      </w:r>
      <w:r w:rsidRPr="00810BB1">
        <w:rPr>
          <w:i/>
        </w:rPr>
        <w:t xml:space="preserve"> (</w:t>
      </w:r>
      <w:r w:rsidR="000C219D" w:rsidRPr="00810BB1">
        <w:rPr>
          <w:i/>
        </w:rPr>
        <w:t>f</w:t>
      </w:r>
      <w:r w:rsidRPr="00810BB1">
        <w:rPr>
          <w:i/>
        </w:rPr>
        <w:t>or if someone does not know how to lead his own family, how will he care for the church of God?)</w:t>
      </w:r>
      <w:r w:rsidR="000C219D" w:rsidRPr="00810BB1">
        <w:rPr>
          <w:i/>
        </w:rPr>
        <w:t>,</w:t>
      </w:r>
    </w:p>
    <w:p w14:paraId="23B6E470" w14:textId="77777777" w:rsidR="00276DA2" w:rsidRDefault="00EA1455" w:rsidP="003C1F6B">
      <w:pPr>
        <w:pStyle w:val="NormalIndent"/>
        <w:rPr>
          <w:bCs/>
        </w:rPr>
      </w:pPr>
      <w:r>
        <w:rPr>
          <w:bCs/>
        </w:rPr>
        <w:t xml:space="preserve">Of the </w:t>
      </w:r>
      <w:r w:rsidR="00C717BB">
        <w:rPr>
          <w:bCs/>
        </w:rPr>
        <w:t>13</w:t>
      </w:r>
      <w:r>
        <w:rPr>
          <w:bCs/>
        </w:rPr>
        <w:t xml:space="preserve"> qualifications listed in vv. 2-7, only two are explained (here and below in vv. 6-7). This is appropriate because</w:t>
      </w:r>
      <w:r w:rsidR="006F4C11">
        <w:rPr>
          <w:bCs/>
        </w:rPr>
        <w:t xml:space="preserve"> most of</w:t>
      </w:r>
      <w:r>
        <w:rPr>
          <w:bCs/>
        </w:rPr>
        <w:t xml:space="preserve"> the qualifications in vv. 2-3 do not require much argument or explanation to sustain them. However, the purpose of the final two qualifications is less obvious. </w:t>
      </w:r>
      <w:r w:rsidR="006A443A">
        <w:t xml:space="preserve">All of vv. 4-5 </w:t>
      </w:r>
      <w:r w:rsidR="00571C68">
        <w:t>explains</w:t>
      </w:r>
      <w:r w:rsidR="006A443A" w:rsidRPr="006A443A">
        <w:t xml:space="preserve"> one phrase, </w:t>
      </w:r>
      <w:r w:rsidR="006A443A" w:rsidRPr="006A443A">
        <w:rPr>
          <w:lang w:val="el-GR"/>
        </w:rPr>
        <w:t>τοῦ ἰδίου οἴκου καλῶς προϊστάμενον</w:t>
      </w:r>
      <w:r w:rsidR="006A443A">
        <w:t xml:space="preserve">, </w:t>
      </w:r>
      <w:r w:rsidR="006A443A">
        <w:rPr>
          <w:i/>
        </w:rPr>
        <w:t>leading his own family well</w:t>
      </w:r>
      <w:r w:rsidR="006A443A">
        <w:t xml:space="preserve">, which itself is a qualification </w:t>
      </w:r>
      <w:r w:rsidR="00D31022">
        <w:t>in the</w:t>
      </w:r>
      <w:r w:rsidR="006A443A">
        <w:t xml:space="preserve"> </w:t>
      </w:r>
      <w:r w:rsidR="00D31022">
        <w:t xml:space="preserve">list begun in </w:t>
      </w:r>
      <w:r w:rsidR="008C7B57">
        <w:t>vv.</w:t>
      </w:r>
      <w:r w:rsidR="006A443A">
        <w:t xml:space="preserve"> 2-3. Therefore, </w:t>
      </w:r>
      <w:r w:rsidR="006A443A">
        <w:rPr>
          <w:i/>
        </w:rPr>
        <w:t xml:space="preserve">leading his own family </w:t>
      </w:r>
      <w:r w:rsidR="002152B2">
        <w:rPr>
          <w:i/>
        </w:rPr>
        <w:t>we</w:t>
      </w:r>
      <w:r w:rsidR="002152B2" w:rsidRPr="002152B2">
        <w:rPr>
          <w:i/>
        </w:rPr>
        <w:t>ll</w:t>
      </w:r>
      <w:r w:rsidR="006A443A" w:rsidRPr="002152B2">
        <w:t xml:space="preserve"> is </w:t>
      </w:r>
      <w:r w:rsidR="001D53AE">
        <w:t>a continuation</w:t>
      </w:r>
      <w:r w:rsidR="006A443A" w:rsidRPr="002152B2">
        <w:t xml:space="preserve"> of the explanation of </w:t>
      </w:r>
      <w:r w:rsidR="002152B2" w:rsidRPr="002152B2">
        <w:rPr>
          <w:lang w:val="el-GR"/>
        </w:rPr>
        <w:t>ἀνεπίλημπτον</w:t>
      </w:r>
      <w:r w:rsidR="002152B2" w:rsidRPr="002152B2">
        <w:t xml:space="preserve">, </w:t>
      </w:r>
      <w:r w:rsidR="006A443A" w:rsidRPr="002152B2">
        <w:rPr>
          <w:i/>
        </w:rPr>
        <w:t>irreproachable</w:t>
      </w:r>
      <w:r w:rsidR="006A443A" w:rsidRPr="002152B2">
        <w:t xml:space="preserve"> in v. 2.</w:t>
      </w:r>
      <w:r w:rsidR="00D31022" w:rsidRPr="002152B2">
        <w:t xml:space="preserve"> </w:t>
      </w:r>
      <w:r w:rsidR="00F10EE9">
        <w:t xml:space="preserve">Because </w:t>
      </w:r>
      <w:r w:rsidR="003D042D">
        <w:t xml:space="preserve">the </w:t>
      </w:r>
      <w:r w:rsidR="00F8416A" w:rsidRPr="00F8416A">
        <w:t xml:space="preserve">term </w:t>
      </w:r>
      <w:r w:rsidR="00F8416A" w:rsidRPr="00F8416A">
        <w:rPr>
          <w:lang w:val="el-GR"/>
        </w:rPr>
        <w:t>οἴκου</w:t>
      </w:r>
      <w:r w:rsidR="00F8416A" w:rsidRPr="00F8416A">
        <w:t xml:space="preserve">, </w:t>
      </w:r>
      <w:r w:rsidR="00F8416A" w:rsidRPr="00F8416A">
        <w:rPr>
          <w:i/>
        </w:rPr>
        <w:t>family</w:t>
      </w:r>
      <w:r w:rsidR="006E1FC2">
        <w:rPr>
          <w:i/>
        </w:rPr>
        <w:t>,</w:t>
      </w:r>
      <w:r w:rsidR="00F8416A">
        <w:t xml:space="preserve"> can also be translated as </w:t>
      </w:r>
      <w:r w:rsidR="00F8416A">
        <w:rPr>
          <w:i/>
        </w:rPr>
        <w:t>house</w:t>
      </w:r>
      <w:r w:rsidR="00F8416A">
        <w:t xml:space="preserve"> or </w:t>
      </w:r>
      <w:r w:rsidR="00F8416A">
        <w:rPr>
          <w:i/>
        </w:rPr>
        <w:t>household</w:t>
      </w:r>
      <w:r w:rsidR="00F10EE9">
        <w:t>, some commentators look to the broader definition of househo</w:t>
      </w:r>
      <w:r w:rsidR="00177658">
        <w:t>ld in Greco-Roman society</w:t>
      </w:r>
      <w:r w:rsidR="006F4C11">
        <w:t>,</w:t>
      </w:r>
      <w:r w:rsidR="00177658">
        <w:t xml:space="preserve"> which for some social classes</w:t>
      </w:r>
      <w:r w:rsidR="00F10EE9">
        <w:t xml:space="preserve"> included servants, staffs, </w:t>
      </w:r>
      <w:r w:rsidR="003D780C">
        <w:t>and property</w:t>
      </w:r>
      <w:r w:rsidR="00F10EE9">
        <w:t>.</w:t>
      </w:r>
      <w:r w:rsidR="00BD3AE4">
        <w:t xml:space="preserve"> From that </w:t>
      </w:r>
      <w:r w:rsidR="006F4C11">
        <w:t>interpretation</w:t>
      </w:r>
      <w:r w:rsidR="00BD3AE4">
        <w:t xml:space="preserve">, they assume that overseers were </w:t>
      </w:r>
      <w:r w:rsidR="00177658">
        <w:t>expected</w:t>
      </w:r>
      <w:r w:rsidR="00BD3AE4">
        <w:t xml:space="preserve"> to be</w:t>
      </w:r>
      <w:r w:rsidR="00177658">
        <w:t xml:space="preserve"> “men of sufficient means to have houses, to run them, and </w:t>
      </w:r>
      <w:r w:rsidR="00177658">
        <w:lastRenderedPageBreak/>
        <w:t>manage their affairs.”</w:t>
      </w:r>
      <w:r w:rsidR="00D745C9">
        <w:rPr>
          <w:rStyle w:val="FootnoteReference"/>
        </w:rPr>
        <w:footnoteReference w:id="51"/>
      </w:r>
      <w:r w:rsidR="00A737AD">
        <w:t xml:space="preserve"> However, the </w:t>
      </w:r>
      <w:r w:rsidR="00A737AD" w:rsidRPr="006E1FC2">
        <w:t xml:space="preserve">assumption of higher economic status for the candidates is not </w:t>
      </w:r>
      <w:r w:rsidR="00AD43E1">
        <w:t>required</w:t>
      </w:r>
      <w:r w:rsidR="00AD43E1" w:rsidRPr="006E1FC2">
        <w:t xml:space="preserve"> </w:t>
      </w:r>
      <w:r w:rsidR="00A737AD" w:rsidRPr="006E1FC2">
        <w:t>by the text.</w:t>
      </w:r>
      <w:r w:rsidR="00D61706" w:rsidRPr="006E1FC2">
        <w:t xml:space="preserve"> Furthermore, </w:t>
      </w:r>
      <w:r w:rsidR="006E1FC2" w:rsidRPr="006E1FC2">
        <w:rPr>
          <w:lang w:val="el-GR"/>
        </w:rPr>
        <w:t>προϊστάμενον</w:t>
      </w:r>
      <w:r w:rsidR="006E1FC2">
        <w:t xml:space="preserve">, </w:t>
      </w:r>
      <w:r w:rsidR="006E1FC2">
        <w:rPr>
          <w:i/>
        </w:rPr>
        <w:t>leading</w:t>
      </w:r>
      <w:r w:rsidR="006E1FC2">
        <w:t xml:space="preserve">, </w:t>
      </w:r>
      <w:r w:rsidR="002D2E1A">
        <w:t xml:space="preserve">is not only associated with ruling and headship, but </w:t>
      </w:r>
      <w:r w:rsidR="00AD43E1">
        <w:t xml:space="preserve">also with </w:t>
      </w:r>
      <w:r w:rsidR="002D2E1A">
        <w:t>concern and care for those being led.</w:t>
      </w:r>
      <w:r w:rsidR="00932C81">
        <w:rPr>
          <w:rStyle w:val="FootnoteReference"/>
        </w:rPr>
        <w:footnoteReference w:id="52"/>
      </w:r>
      <w:r w:rsidR="00BD5BAF">
        <w:t xml:space="preserve"> The overseer must not merely manage or lead his family, but </w:t>
      </w:r>
      <w:r w:rsidR="00FA23A6">
        <w:t xml:space="preserve">he </w:t>
      </w:r>
      <w:r w:rsidR="00BD5BAF">
        <w:t>must care for it as well. Liefeld put</w:t>
      </w:r>
      <w:r w:rsidR="00C76B05">
        <w:t>s</w:t>
      </w:r>
      <w:r w:rsidR="00BD5BAF">
        <w:t xml:space="preserve"> it well when he </w:t>
      </w:r>
      <w:r w:rsidR="00C76B05">
        <w:t>writes</w:t>
      </w:r>
      <w:r w:rsidR="00BD5BAF">
        <w:t>, “Disaster may await the church whose leaders see themselves primarily as managers.”</w:t>
      </w:r>
      <w:r w:rsidR="00E24D41">
        <w:rPr>
          <w:rStyle w:val="FootnoteReference"/>
        </w:rPr>
        <w:footnoteReference w:id="53"/>
      </w:r>
      <w:r w:rsidR="009222B0">
        <w:t xml:space="preserve"> </w:t>
      </w:r>
      <w:r w:rsidR="0037231D">
        <w:t>The next phrase in v. 4</w:t>
      </w:r>
      <w:r w:rsidR="009222B0">
        <w:t xml:space="preserve"> explains how a candidate will </w:t>
      </w:r>
      <w:r w:rsidR="009222B0" w:rsidRPr="009222B0">
        <w:t xml:space="preserve">lead his family: </w:t>
      </w:r>
      <w:r w:rsidR="009222B0" w:rsidRPr="009222B0">
        <w:rPr>
          <w:lang w:val="el-GR"/>
        </w:rPr>
        <w:t>τέκνα ἔχοντα ἐν ὑποταγῇ</w:t>
      </w:r>
      <w:r w:rsidR="009222B0" w:rsidRPr="009222B0">
        <w:t xml:space="preserve">, </w:t>
      </w:r>
      <w:r w:rsidR="009222B0" w:rsidRPr="009222B0">
        <w:rPr>
          <w:i/>
        </w:rPr>
        <w:t>by holding his children in submission</w:t>
      </w:r>
      <w:r w:rsidR="009222B0" w:rsidRPr="009222B0">
        <w:t>.</w:t>
      </w:r>
      <w:r w:rsidR="00860F2E">
        <w:t xml:space="preserve"> </w:t>
      </w:r>
      <w:r w:rsidR="006D7672">
        <w:t xml:space="preserve">Because the quality of a man’s leadership can be seen through his parenting, unsubmissive children bring serious doubts to a candidate’s readiness. </w:t>
      </w:r>
      <w:r w:rsidR="00FF4284">
        <w:t xml:space="preserve">The only children in view </w:t>
      </w:r>
      <w:r w:rsidR="006D7672">
        <w:t xml:space="preserve">are those </w:t>
      </w:r>
      <w:r w:rsidR="00FF4284" w:rsidRPr="00FF4284">
        <w:t xml:space="preserve">who are currently part of the candidate’s </w:t>
      </w:r>
      <w:r w:rsidR="00FF4284" w:rsidRPr="00FF4284">
        <w:rPr>
          <w:bCs/>
        </w:rPr>
        <w:t xml:space="preserve">οἶκος, </w:t>
      </w:r>
      <w:r w:rsidR="00FF4284" w:rsidRPr="00FF4284">
        <w:rPr>
          <w:bCs/>
          <w:i/>
        </w:rPr>
        <w:t xml:space="preserve">family </w:t>
      </w:r>
      <w:r w:rsidR="00FF4284" w:rsidRPr="00FF4284">
        <w:rPr>
          <w:bCs/>
        </w:rPr>
        <w:t xml:space="preserve">or </w:t>
      </w:r>
      <w:r w:rsidR="00FF4284" w:rsidRPr="00FF4284">
        <w:rPr>
          <w:bCs/>
          <w:i/>
        </w:rPr>
        <w:t>household</w:t>
      </w:r>
      <w:r w:rsidR="00FF4284" w:rsidRPr="00FF4284">
        <w:rPr>
          <w:bCs/>
        </w:rPr>
        <w:t>.</w:t>
      </w:r>
      <w:r w:rsidR="00FF4284">
        <w:rPr>
          <w:bCs/>
        </w:rPr>
        <w:t xml:space="preserve"> This verse does not appear to</w:t>
      </w:r>
      <w:r w:rsidR="00FF4284" w:rsidRPr="00D453DA">
        <w:rPr>
          <w:bCs/>
        </w:rPr>
        <w:t xml:space="preserve"> require submission from adult children who are no longer in the household of the </w:t>
      </w:r>
      <w:r w:rsidR="004E0283" w:rsidRPr="00D453DA">
        <w:rPr>
          <w:bCs/>
        </w:rPr>
        <w:t>candidate</w:t>
      </w:r>
      <w:r w:rsidR="00FF4284" w:rsidRPr="00D453DA">
        <w:rPr>
          <w:bCs/>
        </w:rPr>
        <w:t>.</w:t>
      </w:r>
      <w:r w:rsidR="009D174A" w:rsidRPr="00D453DA">
        <w:rPr>
          <w:rStyle w:val="FootnoteReference"/>
          <w:bCs/>
        </w:rPr>
        <w:footnoteReference w:id="54"/>
      </w:r>
      <w:r w:rsidR="007E245E" w:rsidRPr="00D453DA">
        <w:rPr>
          <w:bCs/>
        </w:rPr>
        <w:t xml:space="preserve"> The last phrase of v. 4 explains </w:t>
      </w:r>
      <w:r w:rsidR="00D453DA" w:rsidRPr="00D453DA">
        <w:rPr>
          <w:bCs/>
        </w:rPr>
        <w:t xml:space="preserve">that </w:t>
      </w:r>
      <w:r w:rsidR="007E245E" w:rsidRPr="00D453DA">
        <w:rPr>
          <w:bCs/>
        </w:rPr>
        <w:t xml:space="preserve">the candidate </w:t>
      </w:r>
      <w:r w:rsidR="00D453DA" w:rsidRPr="00D453DA">
        <w:rPr>
          <w:bCs/>
        </w:rPr>
        <w:t>mus</w:t>
      </w:r>
      <w:r w:rsidR="00D453DA" w:rsidRPr="00871B34">
        <w:rPr>
          <w:bCs/>
        </w:rPr>
        <w:t xml:space="preserve">t hold his children in submission </w:t>
      </w:r>
      <w:r w:rsidR="00D453DA" w:rsidRPr="00871B34">
        <w:rPr>
          <w:lang w:val="el-GR"/>
        </w:rPr>
        <w:t xml:space="preserve">μετὰ </w:t>
      </w:r>
      <w:r w:rsidR="00D453DA" w:rsidRPr="00E664F7">
        <w:rPr>
          <w:lang w:val="el-GR"/>
        </w:rPr>
        <w:t>πάσης σεμνότητος</w:t>
      </w:r>
      <w:r w:rsidR="00D453DA" w:rsidRPr="00E664F7">
        <w:t xml:space="preserve">, </w:t>
      </w:r>
      <w:r w:rsidR="00D453DA" w:rsidRPr="00E664F7">
        <w:rPr>
          <w:i/>
        </w:rPr>
        <w:t>with all dignity</w:t>
      </w:r>
      <w:r w:rsidR="00D453DA" w:rsidRPr="00E664F7">
        <w:t>.</w:t>
      </w:r>
      <w:r w:rsidR="00AF5238" w:rsidRPr="00E664F7">
        <w:t xml:space="preserve"> </w:t>
      </w:r>
      <w:r w:rsidR="00871B34" w:rsidRPr="00E664F7">
        <w:t xml:space="preserve">The term </w:t>
      </w:r>
      <w:r w:rsidR="00871B34" w:rsidRPr="00E664F7">
        <w:rPr>
          <w:bCs/>
        </w:rPr>
        <w:t xml:space="preserve">σεμνότης, </w:t>
      </w:r>
      <w:r w:rsidR="00871B34" w:rsidRPr="00E664F7">
        <w:rPr>
          <w:bCs/>
          <w:i/>
        </w:rPr>
        <w:t>dignity</w:t>
      </w:r>
      <w:r w:rsidR="00871B34" w:rsidRPr="00E664F7">
        <w:rPr>
          <w:bCs/>
        </w:rPr>
        <w:t xml:space="preserve">, </w:t>
      </w:r>
      <w:r w:rsidR="00E664F7">
        <w:rPr>
          <w:bCs/>
        </w:rPr>
        <w:t xml:space="preserve">describes behavior which shows that someone is worthy of special respect, and can also be translated </w:t>
      </w:r>
      <w:r w:rsidR="00E664F7">
        <w:rPr>
          <w:bCs/>
          <w:i/>
        </w:rPr>
        <w:t>seriousness</w:t>
      </w:r>
      <w:r w:rsidR="00E664F7">
        <w:rPr>
          <w:bCs/>
        </w:rPr>
        <w:t xml:space="preserve"> or </w:t>
      </w:r>
      <w:r w:rsidR="00E664F7">
        <w:rPr>
          <w:bCs/>
          <w:i/>
        </w:rPr>
        <w:t>holiness</w:t>
      </w:r>
      <w:r w:rsidR="00E664F7">
        <w:rPr>
          <w:bCs/>
        </w:rPr>
        <w:t>.</w:t>
      </w:r>
      <w:r w:rsidR="009965F4">
        <w:rPr>
          <w:bCs/>
        </w:rPr>
        <w:t xml:space="preserve"> </w:t>
      </w:r>
      <w:r w:rsidR="005F6824">
        <w:rPr>
          <w:bCs/>
        </w:rPr>
        <w:t>The submission of the candidate’s children must come through holy, dignified parenting</w:t>
      </w:r>
      <w:r w:rsidR="006D7672">
        <w:rPr>
          <w:bCs/>
        </w:rPr>
        <w:t xml:space="preserve"> rather than </w:t>
      </w:r>
      <w:r w:rsidR="00972578">
        <w:rPr>
          <w:bCs/>
        </w:rPr>
        <w:t xml:space="preserve">intimidation and </w:t>
      </w:r>
      <w:r w:rsidR="006D7672">
        <w:rPr>
          <w:bCs/>
        </w:rPr>
        <w:t>abuse</w:t>
      </w:r>
      <w:r w:rsidR="005F6824">
        <w:rPr>
          <w:bCs/>
        </w:rPr>
        <w:t xml:space="preserve">. </w:t>
      </w:r>
    </w:p>
    <w:p w14:paraId="3A666D3C" w14:textId="77777777" w:rsidR="003C1F6B" w:rsidRDefault="007773FB" w:rsidP="00040310">
      <w:pPr>
        <w:pStyle w:val="NormalIndent"/>
        <w:rPr>
          <w:bCs/>
        </w:rPr>
      </w:pPr>
      <w:r>
        <w:rPr>
          <w:bCs/>
        </w:rPr>
        <w:t xml:space="preserve">In v. 5, Paul </w:t>
      </w:r>
      <w:r w:rsidR="007554A6">
        <w:rPr>
          <w:bCs/>
        </w:rPr>
        <w:t>pauses</w:t>
      </w:r>
      <w:r>
        <w:rPr>
          <w:bCs/>
        </w:rPr>
        <w:t xml:space="preserve"> </w:t>
      </w:r>
      <w:r w:rsidR="00AC5F99">
        <w:rPr>
          <w:bCs/>
        </w:rPr>
        <w:t xml:space="preserve">to explain </w:t>
      </w:r>
      <w:r>
        <w:rPr>
          <w:bCs/>
        </w:rPr>
        <w:t xml:space="preserve">the purpose of the requirement in v. 4 </w:t>
      </w:r>
      <w:r w:rsidR="00013977">
        <w:rPr>
          <w:bCs/>
        </w:rPr>
        <w:t>by pointing to the similarity of leading a family and a church.</w:t>
      </w:r>
      <w:r w:rsidR="00AC5F99">
        <w:rPr>
          <w:bCs/>
        </w:rPr>
        <w:t xml:space="preserve"> This aside is in the form of first-class conditional in the framework of a question.</w:t>
      </w:r>
      <w:r w:rsidR="00C76B05">
        <w:rPr>
          <w:rStyle w:val="FootnoteReference"/>
          <w:bCs/>
        </w:rPr>
        <w:footnoteReference w:id="55"/>
      </w:r>
      <w:r w:rsidR="008854EB">
        <w:rPr>
          <w:bCs/>
        </w:rPr>
        <w:t xml:space="preserve"> The protasis (“if”) clause points back to v. 4, essentially repeating </w:t>
      </w:r>
      <w:r w:rsidR="008854EB">
        <w:rPr>
          <w:bCs/>
        </w:rPr>
        <w:lastRenderedPageBreak/>
        <w:t>the first phrase,</w:t>
      </w:r>
      <w:r w:rsidR="00276DA2">
        <w:rPr>
          <w:bCs/>
        </w:rPr>
        <w:t xml:space="preserve"> </w:t>
      </w:r>
      <w:r w:rsidR="00276DA2" w:rsidRPr="003C1F6B">
        <w:rPr>
          <w:bCs/>
          <w:lang w:val="el-GR"/>
        </w:rPr>
        <w:t>τοῦ ἰδίου οἴκου καλῶς προϊστάμενον</w:t>
      </w:r>
      <w:r w:rsidR="00276DA2">
        <w:rPr>
          <w:bCs/>
        </w:rPr>
        <w:t>,</w:t>
      </w:r>
      <w:r w:rsidR="008854EB">
        <w:rPr>
          <w:bCs/>
        </w:rPr>
        <w:t xml:space="preserve"> </w:t>
      </w:r>
      <w:r w:rsidR="00276DA2">
        <w:rPr>
          <w:i/>
        </w:rPr>
        <w:t>leading his own family well</w:t>
      </w:r>
      <w:r w:rsidR="00276DA2">
        <w:t>,</w:t>
      </w:r>
      <w:r w:rsidR="00AB00E0">
        <w:t xml:space="preserve"> by </w:t>
      </w:r>
      <w:r w:rsidR="006F4C11">
        <w:t>turning</w:t>
      </w:r>
      <w:r w:rsidR="00AB00E0">
        <w:t xml:space="preserve"> it into a prompt, </w:t>
      </w:r>
      <w:r w:rsidR="00AB00E0" w:rsidRPr="003C1F6B">
        <w:rPr>
          <w:bCs/>
          <w:lang w:val="el-GR"/>
        </w:rPr>
        <w:t>εἰ δέ τις τοῦ ἰδίου οἴκου προστῆναι οὐκ οἶδεν</w:t>
      </w:r>
      <w:r w:rsidR="00ED3CDC">
        <w:rPr>
          <w:bCs/>
        </w:rPr>
        <w:t xml:space="preserve">, </w:t>
      </w:r>
      <w:r w:rsidR="00AB00E0" w:rsidRPr="00ED3CDC">
        <w:rPr>
          <w:bCs/>
          <w:i/>
        </w:rPr>
        <w:t>for if someone does not know how to lead his own family</w:t>
      </w:r>
      <w:r w:rsidR="00AB00E0" w:rsidRPr="00ED3CDC">
        <w:rPr>
          <w:bCs/>
        </w:rPr>
        <w:t>.</w:t>
      </w:r>
      <w:r w:rsidR="00ED3CDC" w:rsidRPr="005F5EE2">
        <w:rPr>
          <w:bCs/>
        </w:rPr>
        <w:t xml:space="preserve"> This leads into the apodosis clause (“then”) which asks the important question: </w:t>
      </w:r>
      <w:r w:rsidR="00ED3CDC" w:rsidRPr="005F5EE2">
        <w:rPr>
          <w:lang w:val="el-GR"/>
        </w:rPr>
        <w:t>πῶς ἐκκλησίας θεοῦ ἐπιμελήσεται;</w:t>
      </w:r>
      <w:r w:rsidR="00ED3CDC" w:rsidRPr="005F5EE2">
        <w:t xml:space="preserve"> </w:t>
      </w:r>
      <w:r w:rsidR="00ED3CDC" w:rsidRPr="005F5EE2">
        <w:rPr>
          <w:i/>
        </w:rPr>
        <w:t>how will he care for the church of God?</w:t>
      </w:r>
      <w:r w:rsidR="007F796C">
        <w:t xml:space="preserve"> </w:t>
      </w:r>
      <w:r w:rsidR="00A57F24">
        <w:t xml:space="preserve">The assumed answer to this question is not that </w:t>
      </w:r>
      <w:r w:rsidR="007554A6">
        <w:t>h</w:t>
      </w:r>
      <w:r w:rsidR="00A57F24">
        <w:t xml:space="preserve">e will be unable to care for the church of God, but that he will care for the church in the same manner that he cares for </w:t>
      </w:r>
      <w:r w:rsidR="00A57F24" w:rsidRPr="009B3109">
        <w:t>and leads his family.</w:t>
      </w:r>
      <w:r w:rsidR="009B3109" w:rsidRPr="009B3109">
        <w:t xml:space="preserve"> While the term </w:t>
      </w:r>
      <w:r w:rsidR="009B3109" w:rsidRPr="009B3109">
        <w:rPr>
          <w:bCs/>
        </w:rPr>
        <w:t>προΐσταμαι,</w:t>
      </w:r>
      <w:r w:rsidR="009B3109" w:rsidRPr="009B3109">
        <w:rPr>
          <w:bCs/>
          <w:i/>
        </w:rPr>
        <w:t xml:space="preserve"> to lead</w:t>
      </w:r>
      <w:r w:rsidR="009B3109" w:rsidRPr="009B3109">
        <w:rPr>
          <w:bCs/>
        </w:rPr>
        <w:t xml:space="preserve">, </w:t>
      </w:r>
      <w:r w:rsidR="00CE758F">
        <w:rPr>
          <w:bCs/>
        </w:rPr>
        <w:t>(</w:t>
      </w:r>
      <w:r w:rsidR="009B3109" w:rsidRPr="009B3109">
        <w:rPr>
          <w:bCs/>
        </w:rPr>
        <w:t xml:space="preserve">which requires care and </w:t>
      </w:r>
      <w:r w:rsidR="009B3109" w:rsidRPr="00F368E0">
        <w:rPr>
          <w:bCs/>
        </w:rPr>
        <w:t>concern on the part of the leader</w:t>
      </w:r>
      <w:r w:rsidR="00CE758F">
        <w:rPr>
          <w:bCs/>
        </w:rPr>
        <w:t>)</w:t>
      </w:r>
      <w:r w:rsidR="009B3109" w:rsidRPr="00F368E0">
        <w:rPr>
          <w:bCs/>
        </w:rPr>
        <w:t xml:space="preserve"> is used for the candidate’s </w:t>
      </w:r>
      <w:r w:rsidR="005A070E">
        <w:rPr>
          <w:bCs/>
        </w:rPr>
        <w:t>leadership</w:t>
      </w:r>
      <w:r w:rsidR="009B3109" w:rsidRPr="00F368E0">
        <w:rPr>
          <w:bCs/>
        </w:rPr>
        <w:t xml:space="preserve"> </w:t>
      </w:r>
      <w:r w:rsidR="005A070E">
        <w:rPr>
          <w:bCs/>
        </w:rPr>
        <w:t xml:space="preserve">in </w:t>
      </w:r>
      <w:r w:rsidR="009B3109" w:rsidRPr="00F368E0">
        <w:rPr>
          <w:bCs/>
        </w:rPr>
        <w:t xml:space="preserve">his family, the term </w:t>
      </w:r>
      <w:r w:rsidR="00F368E0" w:rsidRPr="00F368E0">
        <w:rPr>
          <w:bCs/>
          <w:lang w:val="el-GR"/>
        </w:rPr>
        <w:t>ἐπιμελέομαι</w:t>
      </w:r>
      <w:r w:rsidR="009B3109" w:rsidRPr="00F368E0">
        <w:rPr>
          <w:bCs/>
        </w:rPr>
        <w:t xml:space="preserve">, </w:t>
      </w:r>
      <w:r w:rsidR="009B3109" w:rsidRPr="00F368E0">
        <w:rPr>
          <w:bCs/>
          <w:i/>
        </w:rPr>
        <w:t>to</w:t>
      </w:r>
      <w:r w:rsidR="009B3109" w:rsidRPr="009B3109">
        <w:rPr>
          <w:bCs/>
          <w:i/>
        </w:rPr>
        <w:t xml:space="preserve"> care for</w:t>
      </w:r>
      <w:r w:rsidR="009B3109" w:rsidRPr="009B3109">
        <w:rPr>
          <w:bCs/>
        </w:rPr>
        <w:t>,</w:t>
      </w:r>
      <w:r w:rsidR="00E04DC1" w:rsidRPr="00E04DC1">
        <w:rPr>
          <w:bCs/>
        </w:rPr>
        <w:t xml:space="preserve"> </w:t>
      </w:r>
      <w:r w:rsidR="006F4C11">
        <w:rPr>
          <w:bCs/>
        </w:rPr>
        <w:t>(which has no sense of ruling)</w:t>
      </w:r>
      <w:r w:rsidR="009B3109" w:rsidRPr="009B3109">
        <w:rPr>
          <w:bCs/>
        </w:rPr>
        <w:t xml:space="preserve"> is used to describe the overseer’s </w:t>
      </w:r>
      <w:r w:rsidR="00E04DC1">
        <w:rPr>
          <w:bCs/>
        </w:rPr>
        <w:t>relationship</w:t>
      </w:r>
      <w:r w:rsidR="009B3109" w:rsidRPr="009B3109">
        <w:rPr>
          <w:bCs/>
        </w:rPr>
        <w:t xml:space="preserve"> </w:t>
      </w:r>
      <w:r w:rsidR="005A070E">
        <w:rPr>
          <w:bCs/>
        </w:rPr>
        <w:t>in</w:t>
      </w:r>
      <w:r w:rsidR="009B3109" w:rsidRPr="009B3109">
        <w:rPr>
          <w:bCs/>
        </w:rPr>
        <w:t xml:space="preserve"> the church.</w:t>
      </w:r>
      <w:r w:rsidR="00CA090A">
        <w:rPr>
          <w:bCs/>
        </w:rPr>
        <w:t xml:space="preserve"> </w:t>
      </w:r>
      <w:r w:rsidR="00E940EB">
        <w:rPr>
          <w:bCs/>
        </w:rPr>
        <w:t>Thus, t</w:t>
      </w:r>
      <w:r w:rsidR="00CA090A">
        <w:rPr>
          <w:bCs/>
        </w:rPr>
        <w:t xml:space="preserve">he leadership in the family comes from the primacy of place—as the head of the household the father is the authority </w:t>
      </w:r>
      <w:r w:rsidR="00E940EB">
        <w:rPr>
          <w:bCs/>
        </w:rPr>
        <w:t xml:space="preserve">and ruler </w:t>
      </w:r>
      <w:r w:rsidR="00CA090A">
        <w:rPr>
          <w:bCs/>
        </w:rPr>
        <w:t xml:space="preserve">and should therefore properly care for </w:t>
      </w:r>
      <w:r w:rsidR="00E940EB">
        <w:rPr>
          <w:bCs/>
        </w:rPr>
        <w:t xml:space="preserve">and love </w:t>
      </w:r>
      <w:r w:rsidR="00CA090A">
        <w:rPr>
          <w:bCs/>
        </w:rPr>
        <w:t>his family. However, for the church, the primacy of place belongs to God alone; it is his church. The overseer’s responsibility to the church is to care for her</w:t>
      </w:r>
      <w:r w:rsidR="00E940EB">
        <w:rPr>
          <w:bCs/>
        </w:rPr>
        <w:t>, guide her, and lead her</w:t>
      </w:r>
      <w:r w:rsidR="00CA090A">
        <w:rPr>
          <w:bCs/>
        </w:rPr>
        <w:t>,</w:t>
      </w:r>
      <w:r w:rsidR="00E940EB">
        <w:rPr>
          <w:bCs/>
        </w:rPr>
        <w:t xml:space="preserve"> but</w:t>
      </w:r>
      <w:r w:rsidR="00CA090A">
        <w:rPr>
          <w:bCs/>
        </w:rPr>
        <w:t xml:space="preserve"> not to rule over her.</w:t>
      </w:r>
      <w:r w:rsidR="0095222D">
        <w:rPr>
          <w:bCs/>
        </w:rPr>
        <w:t xml:space="preserve"> Although </w:t>
      </w:r>
      <w:r w:rsidR="008C7B57">
        <w:rPr>
          <w:bCs/>
        </w:rPr>
        <w:t>overseers</w:t>
      </w:r>
      <w:r w:rsidR="0095222D">
        <w:rPr>
          <w:bCs/>
        </w:rPr>
        <w:t xml:space="preserve"> have authority </w:t>
      </w:r>
      <w:r w:rsidR="00E940EB">
        <w:rPr>
          <w:bCs/>
        </w:rPr>
        <w:t>with</w:t>
      </w:r>
      <w:r w:rsidR="0095222D">
        <w:rPr>
          <w:bCs/>
        </w:rPr>
        <w:t xml:space="preserve">in the church, supreme authority belongs to God and the emphasis of the effort of the overseer should be to </w:t>
      </w:r>
      <w:r w:rsidR="00E940EB">
        <w:rPr>
          <w:bCs/>
        </w:rPr>
        <w:t xml:space="preserve">shepherd </w:t>
      </w:r>
      <w:r w:rsidR="009E5187">
        <w:rPr>
          <w:bCs/>
        </w:rPr>
        <w:t>G</w:t>
      </w:r>
      <w:r w:rsidR="0095222D">
        <w:rPr>
          <w:bCs/>
        </w:rPr>
        <w:t>od’</w:t>
      </w:r>
      <w:r w:rsidR="00F70A86">
        <w:rPr>
          <w:bCs/>
        </w:rPr>
        <w:t xml:space="preserve">s church, of which </w:t>
      </w:r>
      <w:r w:rsidR="00E940EB">
        <w:rPr>
          <w:bCs/>
        </w:rPr>
        <w:t>he</w:t>
      </w:r>
      <w:r w:rsidR="00F70A86">
        <w:rPr>
          <w:bCs/>
        </w:rPr>
        <w:t xml:space="preserve"> is a steward.</w:t>
      </w:r>
    </w:p>
    <w:p w14:paraId="06797AC1" w14:textId="77777777" w:rsidR="00040310" w:rsidRDefault="00040310" w:rsidP="00E21077">
      <w:pPr>
        <w:pStyle w:val="Heading2"/>
      </w:pPr>
      <w:r>
        <w:t>Verses 6-7</w:t>
      </w:r>
    </w:p>
    <w:p w14:paraId="7D66FD6D" w14:textId="77777777" w:rsidR="005362F7" w:rsidRPr="005362F7" w:rsidRDefault="005362F7" w:rsidP="00810BB1">
      <w:pPr>
        <w:pStyle w:val="BlockQuote"/>
      </w:pPr>
      <w:r w:rsidRPr="005362F7">
        <w:rPr>
          <w:b/>
          <w:sz w:val="22"/>
          <w:lang w:val="el-GR"/>
        </w:rPr>
        <w:t xml:space="preserve">6 </w:t>
      </w:r>
      <w:r w:rsidRPr="005362F7">
        <w:rPr>
          <w:lang w:val="el-GR"/>
        </w:rPr>
        <w:t xml:space="preserve">μὴ νεόφυτον, ἵνα μὴ τυφωθεὶς εἰς κρίμα ἐμπέσῃ τοῦ διαβόλου. </w:t>
      </w:r>
      <w:r w:rsidRPr="005362F7">
        <w:rPr>
          <w:b/>
          <w:sz w:val="22"/>
          <w:lang w:val="el-GR"/>
        </w:rPr>
        <w:t xml:space="preserve">7 </w:t>
      </w:r>
      <w:r w:rsidRPr="005362F7">
        <w:rPr>
          <w:lang w:val="el-GR"/>
        </w:rPr>
        <w:t>δεῖ δὲ καὶ μαρτυρίαν καλὴν ἔχειν ἀπὸ τῶν ἔξωθεν, ἵνα μὴ εἰς ὀνειδισμὸν ἐμπέσῃ καὶ παγίδα τοῦ διαβόλου.</w:t>
      </w:r>
      <w:r w:rsidRPr="005362F7">
        <w:rPr>
          <w:vertAlign w:val="superscript"/>
        </w:rPr>
        <w:footnoteReference w:id="56"/>
      </w:r>
    </w:p>
    <w:p w14:paraId="73152B17" w14:textId="77777777" w:rsidR="005362F7" w:rsidRPr="00810BB1" w:rsidRDefault="005362F7" w:rsidP="00810BB1">
      <w:pPr>
        <w:pStyle w:val="BlockQuote"/>
        <w:rPr>
          <w:i/>
        </w:rPr>
      </w:pPr>
      <w:r w:rsidRPr="00810BB1">
        <w:rPr>
          <w:b/>
          <w:i/>
          <w:sz w:val="22"/>
          <w:lang w:val="el-GR"/>
        </w:rPr>
        <w:t>6</w:t>
      </w:r>
      <w:r w:rsidRPr="00810BB1">
        <w:rPr>
          <w:b/>
          <w:i/>
          <w:sz w:val="22"/>
        </w:rPr>
        <w:t xml:space="preserve"> </w:t>
      </w:r>
      <w:r w:rsidRPr="00810BB1">
        <w:rPr>
          <w:i/>
        </w:rPr>
        <w:t>not a recent convert, so that he may not</w:t>
      </w:r>
      <w:r w:rsidR="002212FB" w:rsidRPr="00810BB1">
        <w:rPr>
          <w:i/>
        </w:rPr>
        <w:t xml:space="preserve"> be puffed up and</w:t>
      </w:r>
      <w:r w:rsidR="00324098" w:rsidRPr="00810BB1">
        <w:rPr>
          <w:i/>
        </w:rPr>
        <w:t xml:space="preserve"> then</w:t>
      </w:r>
      <w:r w:rsidRPr="00810BB1">
        <w:rPr>
          <w:i/>
        </w:rPr>
        <w:t xml:space="preserve"> fall into the </w:t>
      </w:r>
      <w:r w:rsidR="005B11A8" w:rsidRPr="00810BB1">
        <w:rPr>
          <w:i/>
        </w:rPr>
        <w:t>devil’s condemnation</w:t>
      </w:r>
      <w:r w:rsidR="0093747B" w:rsidRPr="00810BB1">
        <w:rPr>
          <w:i/>
        </w:rPr>
        <w:t>,</w:t>
      </w:r>
      <w:r w:rsidRPr="00810BB1">
        <w:rPr>
          <w:i/>
        </w:rPr>
        <w:t xml:space="preserve"> </w:t>
      </w:r>
      <w:r w:rsidRPr="00810BB1">
        <w:rPr>
          <w:b/>
          <w:i/>
          <w:sz w:val="22"/>
          <w:lang w:val="el-GR"/>
        </w:rPr>
        <w:t>7</w:t>
      </w:r>
      <w:r w:rsidRPr="00810BB1">
        <w:rPr>
          <w:b/>
          <w:i/>
          <w:sz w:val="22"/>
        </w:rPr>
        <w:t xml:space="preserve"> </w:t>
      </w:r>
      <w:r w:rsidR="000C219D" w:rsidRPr="00810BB1">
        <w:rPr>
          <w:i/>
        </w:rPr>
        <w:t>(b</w:t>
      </w:r>
      <w:r w:rsidRPr="00810BB1">
        <w:rPr>
          <w:i/>
        </w:rPr>
        <w:t>ut he must also</w:t>
      </w:r>
      <w:r w:rsidR="002F3303" w:rsidRPr="00810BB1">
        <w:rPr>
          <w:i/>
        </w:rPr>
        <w:t xml:space="preserve"> </w:t>
      </w:r>
      <w:r w:rsidR="009C7B86" w:rsidRPr="00810BB1">
        <w:rPr>
          <w:i/>
        </w:rPr>
        <w:t xml:space="preserve">possess a confirmation of good character from those on the </w:t>
      </w:r>
      <w:r w:rsidR="002F3303" w:rsidRPr="00810BB1">
        <w:rPr>
          <w:i/>
        </w:rPr>
        <w:t xml:space="preserve">outside, so that he may not </w:t>
      </w:r>
      <w:r w:rsidR="004F7B0A" w:rsidRPr="00810BB1">
        <w:rPr>
          <w:i/>
        </w:rPr>
        <w:t>fall into disgrace, also a snare of the devil.)</w:t>
      </w:r>
    </w:p>
    <w:p w14:paraId="0E231229" w14:textId="77777777" w:rsidR="005362F7" w:rsidRDefault="00880DB2" w:rsidP="00904FFF">
      <w:pPr>
        <w:pStyle w:val="NormalIndent"/>
        <w:rPr>
          <w:bCs/>
        </w:rPr>
      </w:pPr>
      <w:r>
        <w:t xml:space="preserve">The final qualification for overseers </w:t>
      </w:r>
      <w:r w:rsidR="005E0B72">
        <w:t xml:space="preserve">listed for </w:t>
      </w:r>
      <w:r>
        <w:t>the</w:t>
      </w:r>
      <w:r w:rsidR="00B5520A">
        <w:t xml:space="preserve"> church at Ephesus is expressed</w:t>
      </w:r>
      <w:r>
        <w:t xml:space="preserve"> in the first clause of v. </w:t>
      </w:r>
      <w:proofErr w:type="gramStart"/>
      <w:r>
        <w:t xml:space="preserve">6, </w:t>
      </w:r>
      <w:r w:rsidRPr="005362F7">
        <w:rPr>
          <w:bCs/>
          <w:lang w:val="el-GR"/>
        </w:rPr>
        <w:t>μὴ</w:t>
      </w:r>
      <w:proofErr w:type="gramEnd"/>
      <w:r w:rsidRPr="005362F7">
        <w:rPr>
          <w:bCs/>
          <w:lang w:val="el-GR"/>
        </w:rPr>
        <w:t xml:space="preserve"> νεόφυτον</w:t>
      </w:r>
      <w:r>
        <w:rPr>
          <w:bCs/>
        </w:rPr>
        <w:t xml:space="preserve">, </w:t>
      </w:r>
      <w:r>
        <w:rPr>
          <w:bCs/>
          <w:i/>
        </w:rPr>
        <w:t>not a recent convert</w:t>
      </w:r>
      <w:r>
        <w:rPr>
          <w:bCs/>
        </w:rPr>
        <w:t>.</w:t>
      </w:r>
      <w:r w:rsidR="00416B58">
        <w:rPr>
          <w:bCs/>
        </w:rPr>
        <w:t xml:space="preserve"> This clause, like those before it, </w:t>
      </w:r>
      <w:r w:rsidR="00D07921">
        <w:rPr>
          <w:bCs/>
        </w:rPr>
        <w:lastRenderedPageBreak/>
        <w:t>expl</w:t>
      </w:r>
      <w:r w:rsidR="00D07921" w:rsidRPr="00B5520A">
        <w:rPr>
          <w:bCs/>
        </w:rPr>
        <w:t>ains</w:t>
      </w:r>
      <w:r w:rsidR="00416B58" w:rsidRPr="00B5520A">
        <w:rPr>
          <w:bCs/>
        </w:rPr>
        <w:t xml:space="preserve"> </w:t>
      </w:r>
      <w:r w:rsidR="00B5520A" w:rsidRPr="00B5520A">
        <w:rPr>
          <w:bCs/>
          <w:lang w:val="el-GR"/>
        </w:rPr>
        <w:t>ἀνεπίλημπτον</w:t>
      </w:r>
      <w:r w:rsidR="00B5520A" w:rsidRPr="00B5520A">
        <w:rPr>
          <w:bCs/>
        </w:rPr>
        <w:t xml:space="preserve">, </w:t>
      </w:r>
      <w:r w:rsidR="00416B58" w:rsidRPr="00B5520A">
        <w:rPr>
          <w:bCs/>
          <w:i/>
        </w:rPr>
        <w:t>irreproachable</w:t>
      </w:r>
      <w:r w:rsidR="00B5520A" w:rsidRPr="00B5520A">
        <w:rPr>
          <w:bCs/>
        </w:rPr>
        <w:t>,</w:t>
      </w:r>
      <w:r w:rsidR="00416B58">
        <w:rPr>
          <w:bCs/>
        </w:rPr>
        <w:t xml:space="preserve"> from v. 2. </w:t>
      </w:r>
      <w:r w:rsidR="00050A3F">
        <w:rPr>
          <w:bCs/>
        </w:rPr>
        <w:t>The remainder of v. 6 provides the purpose of this qualification and v. 7 offers a counter-</w:t>
      </w:r>
      <w:r w:rsidR="005335B5">
        <w:rPr>
          <w:bCs/>
        </w:rPr>
        <w:t>qualification</w:t>
      </w:r>
      <w:r w:rsidR="00050A3F">
        <w:rPr>
          <w:bCs/>
        </w:rPr>
        <w:t>.</w:t>
      </w:r>
      <w:r w:rsidR="00C7474E">
        <w:rPr>
          <w:bCs/>
        </w:rPr>
        <w:t xml:space="preserve"> Interestingly, t</w:t>
      </w:r>
      <w:r w:rsidR="00FF4C1F">
        <w:rPr>
          <w:bCs/>
        </w:rPr>
        <w:t xml:space="preserve">he requirement that a candidate not be a new convert is missing from the similar list </w:t>
      </w:r>
      <w:r w:rsidR="002D40F3">
        <w:rPr>
          <w:bCs/>
        </w:rPr>
        <w:t xml:space="preserve">of candidate qualifications </w:t>
      </w:r>
      <w:r w:rsidR="00FF4C1F">
        <w:rPr>
          <w:bCs/>
        </w:rPr>
        <w:t xml:space="preserve">offered by Paul to Titus. However, as </w:t>
      </w:r>
      <w:r w:rsidR="008F3AA4">
        <w:rPr>
          <w:bCs/>
        </w:rPr>
        <w:t>Robert</w:t>
      </w:r>
      <w:r w:rsidR="00B52409">
        <w:rPr>
          <w:bCs/>
        </w:rPr>
        <w:t xml:space="preserve"> </w:t>
      </w:r>
      <w:r w:rsidR="00FF4C1F">
        <w:rPr>
          <w:bCs/>
        </w:rPr>
        <w:t>Utley helpfully explains, “</w:t>
      </w:r>
      <w:r w:rsidR="00816216">
        <w:rPr>
          <w:bCs/>
        </w:rPr>
        <w:t>1</w:t>
      </w:r>
      <w:r w:rsidR="00FF4C1F">
        <w:rPr>
          <w:bCs/>
        </w:rPr>
        <w:t xml:space="preserve"> Timothy was written to Ephesus, which was an established church, while Titus was written to Crete</w:t>
      </w:r>
      <w:r w:rsidR="008C41E7">
        <w:rPr>
          <w:bCs/>
        </w:rPr>
        <w:t>, which was a new work. They were all new converts [in Crete].”</w:t>
      </w:r>
      <w:r w:rsidR="008C41E7">
        <w:rPr>
          <w:rStyle w:val="FootnoteReference"/>
          <w:bCs/>
        </w:rPr>
        <w:footnoteReference w:id="57"/>
      </w:r>
      <w:r w:rsidR="00B52409">
        <w:rPr>
          <w:bCs/>
        </w:rPr>
        <w:t xml:space="preserve"> </w:t>
      </w:r>
      <w:r w:rsidR="00F76E5D">
        <w:rPr>
          <w:bCs/>
        </w:rPr>
        <w:t xml:space="preserve">Therefore, it is important to note that this qualification may only be </w:t>
      </w:r>
      <w:r w:rsidR="0072635A">
        <w:rPr>
          <w:bCs/>
        </w:rPr>
        <w:t>intended</w:t>
      </w:r>
      <w:r w:rsidR="00F76E5D">
        <w:rPr>
          <w:bCs/>
        </w:rPr>
        <w:t xml:space="preserve"> in mature churches</w:t>
      </w:r>
      <w:r w:rsidR="0072635A">
        <w:rPr>
          <w:bCs/>
        </w:rPr>
        <w:t xml:space="preserve"> or Christianized communities</w:t>
      </w:r>
      <w:r w:rsidR="00F76E5D">
        <w:rPr>
          <w:bCs/>
        </w:rPr>
        <w:t xml:space="preserve">. </w:t>
      </w:r>
      <w:r w:rsidR="008B0009">
        <w:rPr>
          <w:bCs/>
        </w:rPr>
        <w:t xml:space="preserve">Similarly, one should note </w:t>
      </w:r>
      <w:r w:rsidR="00F76E5D">
        <w:rPr>
          <w:bCs/>
        </w:rPr>
        <w:t xml:space="preserve">that the reason a new convert should not be an overseer among mature Christians is because he may become </w:t>
      </w:r>
      <w:r w:rsidR="00F76E5D">
        <w:rPr>
          <w:bCs/>
          <w:i/>
        </w:rPr>
        <w:t>puffed up</w:t>
      </w:r>
      <w:r w:rsidR="00F76E5D">
        <w:rPr>
          <w:bCs/>
        </w:rPr>
        <w:t xml:space="preserve"> or </w:t>
      </w:r>
      <w:r w:rsidR="00F76E5D">
        <w:rPr>
          <w:bCs/>
          <w:i/>
        </w:rPr>
        <w:t>conceited</w:t>
      </w:r>
      <w:r w:rsidR="00F76E5D">
        <w:rPr>
          <w:bCs/>
        </w:rPr>
        <w:t>.</w:t>
      </w:r>
      <w:r w:rsidR="00F62936">
        <w:rPr>
          <w:bCs/>
        </w:rPr>
        <w:t xml:space="preserve"> </w:t>
      </w:r>
      <w:r w:rsidR="000C663B">
        <w:rPr>
          <w:bCs/>
        </w:rPr>
        <w:t>The problem of p</w:t>
      </w:r>
      <w:r w:rsidR="00F62936">
        <w:rPr>
          <w:bCs/>
        </w:rPr>
        <w:t xml:space="preserve">ride is at the heart of this </w:t>
      </w:r>
      <w:r w:rsidR="000C663B">
        <w:rPr>
          <w:bCs/>
        </w:rPr>
        <w:t xml:space="preserve">requirement, which further </w:t>
      </w:r>
      <w:r w:rsidR="00572D5A">
        <w:rPr>
          <w:bCs/>
        </w:rPr>
        <w:t xml:space="preserve">explains </w:t>
      </w:r>
      <w:r w:rsidR="008A2394">
        <w:rPr>
          <w:bCs/>
        </w:rPr>
        <w:t xml:space="preserve">its absence </w:t>
      </w:r>
      <w:r w:rsidR="000C663B">
        <w:rPr>
          <w:bCs/>
        </w:rPr>
        <w:t>in the context of Titus at Crete</w:t>
      </w:r>
      <w:r w:rsidR="005A33CB">
        <w:rPr>
          <w:bCs/>
        </w:rPr>
        <w:t xml:space="preserve">; a newly converted overseer among new Christians should have no more of a struggle with </w:t>
      </w:r>
      <w:r w:rsidR="00AB299A">
        <w:rPr>
          <w:bCs/>
        </w:rPr>
        <w:t xml:space="preserve">the </w:t>
      </w:r>
      <w:r w:rsidR="005A33CB">
        <w:rPr>
          <w:bCs/>
        </w:rPr>
        <w:t>pride of position than a mature overseer among mature Christians.</w:t>
      </w:r>
      <w:r w:rsidR="005E2952">
        <w:rPr>
          <w:bCs/>
        </w:rPr>
        <w:t xml:space="preserve"> The particular conceit in view seems to be that which </w:t>
      </w:r>
      <w:r w:rsidR="00572D5A">
        <w:rPr>
          <w:bCs/>
        </w:rPr>
        <w:t xml:space="preserve">arises </w:t>
      </w:r>
      <w:r w:rsidR="005E2952">
        <w:rPr>
          <w:bCs/>
        </w:rPr>
        <w:t>from a new Christian overseeing mature Christians.</w:t>
      </w:r>
      <w:r w:rsidR="00BD1C03">
        <w:rPr>
          <w:bCs/>
        </w:rPr>
        <w:t xml:space="preserve"> The consequence of </w:t>
      </w:r>
      <w:r w:rsidR="007D4146">
        <w:rPr>
          <w:bCs/>
        </w:rPr>
        <w:t>being puffed-up</w:t>
      </w:r>
      <w:r w:rsidR="00BD1C03">
        <w:rPr>
          <w:bCs/>
        </w:rPr>
        <w:t xml:space="preserve"> is established at the end of v. 6: the conceited overseer would </w:t>
      </w:r>
      <w:r w:rsidR="00D541C8">
        <w:rPr>
          <w:bCs/>
          <w:i/>
        </w:rPr>
        <w:t>fall into the condemnation of the devil</w:t>
      </w:r>
      <w:r w:rsidR="00D541C8" w:rsidRPr="005362F7">
        <w:rPr>
          <w:bCs/>
          <w:lang w:val="el-GR"/>
        </w:rPr>
        <w:t xml:space="preserve"> </w:t>
      </w:r>
      <w:r w:rsidR="00D541C8">
        <w:rPr>
          <w:bCs/>
        </w:rPr>
        <w:t>(</w:t>
      </w:r>
      <w:r w:rsidR="00BD1C03" w:rsidRPr="005362F7">
        <w:rPr>
          <w:bCs/>
          <w:lang w:val="el-GR"/>
        </w:rPr>
        <w:t>εἰς κρίμα ἐμπέσῃ τοῦ διαβόλου</w:t>
      </w:r>
      <w:r w:rsidR="00D541C8">
        <w:rPr>
          <w:bCs/>
        </w:rPr>
        <w:t>)</w:t>
      </w:r>
      <w:r w:rsidR="00BD1C03">
        <w:rPr>
          <w:bCs/>
          <w:i/>
        </w:rPr>
        <w:t>.</w:t>
      </w:r>
      <w:r w:rsidR="004861DD">
        <w:rPr>
          <w:bCs/>
        </w:rPr>
        <w:t xml:space="preserve"> </w:t>
      </w:r>
      <w:r w:rsidR="006D6672">
        <w:rPr>
          <w:bCs/>
        </w:rPr>
        <w:t xml:space="preserve">The </w:t>
      </w:r>
      <w:r w:rsidR="006D6672">
        <w:rPr>
          <w:bCs/>
          <w:i/>
        </w:rPr>
        <w:t>condemnation</w:t>
      </w:r>
      <w:r w:rsidR="006D6672">
        <w:rPr>
          <w:bCs/>
        </w:rPr>
        <w:t xml:space="preserve"> or </w:t>
      </w:r>
      <w:r w:rsidR="006D6672">
        <w:rPr>
          <w:bCs/>
          <w:i/>
        </w:rPr>
        <w:t>judgment</w:t>
      </w:r>
      <w:r w:rsidR="006D6672">
        <w:rPr>
          <w:bCs/>
        </w:rPr>
        <w:t xml:space="preserve"> in view is a reckoning from the sin of pride in the overseer’s life. However, the phrase </w:t>
      </w:r>
      <w:r w:rsidR="006D6672" w:rsidRPr="005362F7">
        <w:rPr>
          <w:bCs/>
          <w:lang w:val="el-GR"/>
        </w:rPr>
        <w:t>τοῦ διαβόλου</w:t>
      </w:r>
      <w:r w:rsidR="006D6672">
        <w:rPr>
          <w:bCs/>
          <w:i/>
        </w:rPr>
        <w:t>,</w:t>
      </w:r>
      <w:r w:rsidR="005B11A8">
        <w:rPr>
          <w:bCs/>
        </w:rPr>
        <w:t xml:space="preserve"> literally translated</w:t>
      </w:r>
      <w:r w:rsidR="006D6672">
        <w:rPr>
          <w:bCs/>
          <w:i/>
        </w:rPr>
        <w:t xml:space="preserve"> of the devil</w:t>
      </w:r>
      <w:r w:rsidR="006D6672">
        <w:rPr>
          <w:bCs/>
        </w:rPr>
        <w:t xml:space="preserve">, is rather ambiguous. Philip Towner offers two options for </w:t>
      </w:r>
      <w:r w:rsidR="005B11A8">
        <w:rPr>
          <w:bCs/>
        </w:rPr>
        <w:t>interpretation</w:t>
      </w:r>
      <w:r w:rsidR="006D6672">
        <w:rPr>
          <w:bCs/>
        </w:rPr>
        <w:t xml:space="preserve">: 1) using the </w:t>
      </w:r>
      <w:r w:rsidR="005B11A8">
        <w:rPr>
          <w:bCs/>
        </w:rPr>
        <w:t>objective genitive, the “conceited overseer is headed from the same condemnation ‘as the devil’</w:t>
      </w:r>
      <w:r w:rsidR="005E0B72">
        <w:rPr>
          <w:bCs/>
        </w:rPr>
        <w:t>,</w:t>
      </w:r>
      <w:r w:rsidR="005B11A8">
        <w:rPr>
          <w:bCs/>
        </w:rPr>
        <w:t>” or 2) using the subjective genitive</w:t>
      </w:r>
      <w:r w:rsidR="004333D8">
        <w:rPr>
          <w:bCs/>
        </w:rPr>
        <w:t>, the devil pronounces condemnation after</w:t>
      </w:r>
      <w:r w:rsidR="005B11A8">
        <w:rPr>
          <w:bCs/>
        </w:rPr>
        <w:t xml:space="preserve"> “having successfully tempted the overseer</w:t>
      </w:r>
      <w:r w:rsidR="004333D8">
        <w:rPr>
          <w:bCs/>
        </w:rPr>
        <w:t>.</w:t>
      </w:r>
      <w:r w:rsidR="005B11A8">
        <w:rPr>
          <w:bCs/>
        </w:rPr>
        <w:t>”</w:t>
      </w:r>
      <w:r w:rsidR="005B11A8">
        <w:rPr>
          <w:rStyle w:val="FootnoteReference"/>
          <w:bCs/>
        </w:rPr>
        <w:footnoteReference w:id="58"/>
      </w:r>
      <w:r w:rsidR="0046631D">
        <w:rPr>
          <w:bCs/>
        </w:rPr>
        <w:t xml:space="preserve"> </w:t>
      </w:r>
      <w:r w:rsidR="00904FFF">
        <w:rPr>
          <w:bCs/>
        </w:rPr>
        <w:t>Considering the devil’s active role in v. 7, option 2</w:t>
      </w:r>
      <w:r w:rsidR="00572D5A">
        <w:rPr>
          <w:bCs/>
        </w:rPr>
        <w:t>)</w:t>
      </w:r>
      <w:r w:rsidR="00904FFF">
        <w:rPr>
          <w:bCs/>
        </w:rPr>
        <w:t xml:space="preserve"> seems to be the best reading</w:t>
      </w:r>
      <w:r w:rsidR="00990374">
        <w:rPr>
          <w:bCs/>
        </w:rPr>
        <w:t>.</w:t>
      </w:r>
    </w:p>
    <w:p w14:paraId="727C6BA9" w14:textId="77777777" w:rsidR="00990374" w:rsidRDefault="00BE20D6" w:rsidP="008345B7">
      <w:pPr>
        <w:pStyle w:val="NormalIndent"/>
      </w:pPr>
      <w:r>
        <w:rPr>
          <w:bCs/>
        </w:rPr>
        <w:lastRenderedPageBreak/>
        <w:t xml:space="preserve">While </w:t>
      </w:r>
      <w:r w:rsidR="00AF53B2">
        <w:rPr>
          <w:bCs/>
        </w:rPr>
        <w:t>v. 6</w:t>
      </w:r>
      <w:r w:rsidR="005E0B72">
        <w:rPr>
          <w:bCs/>
        </w:rPr>
        <w:t xml:space="preserve"> requires that overseers cannot be new converts, v. 7 offers</w:t>
      </w:r>
      <w:r w:rsidR="00AF53B2">
        <w:rPr>
          <w:bCs/>
        </w:rPr>
        <w:t xml:space="preserve"> a counter-point which maintains that the</w:t>
      </w:r>
      <w:r w:rsidR="008F08EA">
        <w:rPr>
          <w:bCs/>
        </w:rPr>
        <w:t xml:space="preserve"> candidate must still have a good witness with non-Christians, even though he has been a Christian for some time.</w:t>
      </w:r>
      <w:r w:rsidR="00107025">
        <w:rPr>
          <w:bCs/>
        </w:rPr>
        <w:t xml:space="preserve"> </w:t>
      </w:r>
      <w:r w:rsidR="004F10B6">
        <w:rPr>
          <w:bCs/>
        </w:rPr>
        <w:t>Sharing a similar format to v. 5,</w:t>
      </w:r>
      <w:r w:rsidR="00107025">
        <w:rPr>
          <w:bCs/>
        </w:rPr>
        <w:t xml:space="preserve"> </w:t>
      </w:r>
      <w:r w:rsidR="004F10B6">
        <w:rPr>
          <w:bCs/>
        </w:rPr>
        <w:t>v.</w:t>
      </w:r>
      <w:r w:rsidR="00D64BF7">
        <w:rPr>
          <w:bCs/>
        </w:rPr>
        <w:t xml:space="preserve"> </w:t>
      </w:r>
      <w:r w:rsidR="004F10B6">
        <w:rPr>
          <w:bCs/>
        </w:rPr>
        <w:t>7 i</w:t>
      </w:r>
      <w:r w:rsidR="00107025">
        <w:rPr>
          <w:bCs/>
        </w:rPr>
        <w:t xml:space="preserve">s an aside because it does not fit </w:t>
      </w:r>
      <w:r w:rsidR="00107025" w:rsidRPr="00D76806">
        <w:rPr>
          <w:bCs/>
        </w:rPr>
        <w:t xml:space="preserve">into the </w:t>
      </w:r>
      <w:r w:rsidR="00107025" w:rsidRPr="00D76806">
        <w:rPr>
          <w:lang w:val="el-GR"/>
        </w:rPr>
        <w:t>δεῖ</w:t>
      </w:r>
      <w:r w:rsidR="00107025" w:rsidRPr="00D76806">
        <w:t xml:space="preserve"> </w:t>
      </w:r>
      <w:r w:rsidR="00107025" w:rsidRPr="00D76806">
        <w:rPr>
          <w:lang w:val="el-GR"/>
        </w:rPr>
        <w:t>εἶναι</w:t>
      </w:r>
      <w:r w:rsidR="00107025" w:rsidRPr="00D76806">
        <w:t xml:space="preserve">, </w:t>
      </w:r>
      <w:r w:rsidR="00107025" w:rsidRPr="00D76806">
        <w:rPr>
          <w:i/>
        </w:rPr>
        <w:t>must be</w:t>
      </w:r>
      <w:r w:rsidR="00107025" w:rsidRPr="00D76806">
        <w:t>, structure which governs v. 6 and continues into v. 8</w:t>
      </w:r>
      <w:r w:rsidR="004F10B6" w:rsidRPr="00D76806">
        <w:t>.</w:t>
      </w:r>
      <w:r w:rsidR="0090382B" w:rsidRPr="00D76806">
        <w:t xml:space="preserve"> </w:t>
      </w:r>
      <w:r w:rsidR="00E96274">
        <w:t xml:space="preserve">Because v. 7 is an aside, vv. 6-7 are tightly coupled by necessity. The logical connective between the two phrases is </w:t>
      </w:r>
      <w:r w:rsidR="00D76806" w:rsidRPr="00D76806">
        <w:rPr>
          <w:lang w:val="el-GR"/>
        </w:rPr>
        <w:t>δὲ</w:t>
      </w:r>
      <w:r w:rsidR="00DD3124">
        <w:t>,</w:t>
      </w:r>
      <w:r w:rsidR="00D76806" w:rsidRPr="00D76806">
        <w:t xml:space="preserve"> </w:t>
      </w:r>
      <w:r w:rsidR="00E96274">
        <w:t>which</w:t>
      </w:r>
      <w:r w:rsidR="00D76806">
        <w:t xml:space="preserve"> </w:t>
      </w:r>
      <w:r w:rsidR="00796F3D">
        <w:t xml:space="preserve">can be used to connect clauses </w:t>
      </w:r>
      <w:r w:rsidR="008345B7">
        <w:t xml:space="preserve">to express a </w:t>
      </w:r>
      <w:r w:rsidR="00796F3D">
        <w:t xml:space="preserve">simple </w:t>
      </w:r>
      <w:r w:rsidR="00A8572D">
        <w:t>continuation</w:t>
      </w:r>
      <w:r w:rsidR="00796F3D">
        <w:t xml:space="preserve"> or a “scarcely discernable” contrast</w:t>
      </w:r>
      <w:r w:rsidR="00D76806">
        <w:t>.</w:t>
      </w:r>
      <w:r w:rsidR="00796F3D">
        <w:rPr>
          <w:rStyle w:val="FootnoteReference"/>
        </w:rPr>
        <w:footnoteReference w:id="59"/>
      </w:r>
      <w:r w:rsidR="00D76806">
        <w:t xml:space="preserve"> </w:t>
      </w:r>
      <w:r w:rsidR="00BC7421">
        <w:t>In this instance,</w:t>
      </w:r>
      <w:r w:rsidR="005356A5">
        <w:t xml:space="preserve"> </w:t>
      </w:r>
      <w:r w:rsidR="00BC7421" w:rsidRPr="00D76806">
        <w:rPr>
          <w:lang w:val="el-GR"/>
        </w:rPr>
        <w:t>δὲ</w:t>
      </w:r>
      <w:r w:rsidR="00BC7421">
        <w:t xml:space="preserve"> </w:t>
      </w:r>
      <w:r w:rsidR="00A07505">
        <w:t>is contrastive</w:t>
      </w:r>
      <w:r w:rsidR="009B6B91">
        <w:t xml:space="preserve"> because</w:t>
      </w:r>
      <w:r w:rsidR="00A07505">
        <w:t xml:space="preserve"> a mature Christian might have to make a concerted effort to </w:t>
      </w:r>
      <w:r w:rsidR="00426324">
        <w:t>create</w:t>
      </w:r>
      <w:r w:rsidR="00A07505">
        <w:t xml:space="preserve"> relationships with </w:t>
      </w:r>
      <w:r w:rsidR="00426324">
        <w:t>outsiders</w:t>
      </w:r>
      <w:r w:rsidR="00A703B7">
        <w:t>,</w:t>
      </w:r>
      <w:r w:rsidR="009B6B91">
        <w:t xml:space="preserve"> while a new Christian would easily be able </w:t>
      </w:r>
      <w:r w:rsidR="00426324">
        <w:t xml:space="preserve">to </w:t>
      </w:r>
      <w:r w:rsidR="009B6B91">
        <w:t>maintain prior relationships with non-Christians and have a good</w:t>
      </w:r>
      <w:r w:rsidR="00164415">
        <w:t>, new</w:t>
      </w:r>
      <w:r w:rsidR="009B6B91">
        <w:t xml:space="preserve"> witness with them</w:t>
      </w:r>
      <w:r w:rsidR="00A07505">
        <w:t>.</w:t>
      </w:r>
      <w:r w:rsidR="00BC7421">
        <w:t xml:space="preserve"> The contrast </w:t>
      </w:r>
      <w:r w:rsidR="00426324">
        <w:t xml:space="preserve">is </w:t>
      </w:r>
      <w:r w:rsidR="00571EE9">
        <w:t xml:space="preserve">perhaps </w:t>
      </w:r>
      <w:r w:rsidR="00BC7421">
        <w:t>difficult to discern</w:t>
      </w:r>
      <w:r w:rsidR="00426324">
        <w:t xml:space="preserve"> </w:t>
      </w:r>
      <w:r w:rsidR="00BC7421">
        <w:t xml:space="preserve">because </w:t>
      </w:r>
      <w:r w:rsidR="00571EE9">
        <w:t xml:space="preserve">the impetus of v. 7 is </w:t>
      </w:r>
      <w:r w:rsidR="008345B7">
        <w:t xml:space="preserve">on the character witness, rather than the creation and maintenance of outside relationships. </w:t>
      </w:r>
      <w:r w:rsidR="00164415">
        <w:t>Next, t</w:t>
      </w:r>
      <w:r w:rsidR="00906B23">
        <w:t xml:space="preserve">he term </w:t>
      </w:r>
      <w:r w:rsidR="00906B23" w:rsidRPr="005362F7">
        <w:rPr>
          <w:bCs/>
          <w:lang w:val="el-GR"/>
        </w:rPr>
        <w:t>μαρτυρίαν</w:t>
      </w:r>
      <w:r w:rsidR="00906B23">
        <w:rPr>
          <w:bCs/>
        </w:rPr>
        <w:t xml:space="preserve"> has several definitions in various contexts, including </w:t>
      </w:r>
      <w:r w:rsidR="00906B23" w:rsidRPr="00B86B40">
        <w:rPr>
          <w:bCs/>
          <w:i/>
        </w:rPr>
        <w:t>testimony</w:t>
      </w:r>
      <w:r w:rsidR="00906B23">
        <w:rPr>
          <w:bCs/>
        </w:rPr>
        <w:t xml:space="preserve">, </w:t>
      </w:r>
      <w:r w:rsidR="00906B23" w:rsidRPr="00B86B40">
        <w:rPr>
          <w:bCs/>
          <w:i/>
        </w:rPr>
        <w:t>approval</w:t>
      </w:r>
      <w:r w:rsidR="00906B23">
        <w:rPr>
          <w:bCs/>
        </w:rPr>
        <w:t xml:space="preserve">, and </w:t>
      </w:r>
      <w:r w:rsidR="00906B23">
        <w:rPr>
          <w:bCs/>
          <w:i/>
        </w:rPr>
        <w:t>martyrdom</w:t>
      </w:r>
      <w:r w:rsidR="00906B23">
        <w:rPr>
          <w:bCs/>
        </w:rPr>
        <w:t>. However, in the context of v. 7, the phrase can be clearly defined as an “attestation of character or behavior.”</w:t>
      </w:r>
      <w:r w:rsidR="00906B23">
        <w:rPr>
          <w:rStyle w:val="FootnoteReference"/>
          <w:bCs/>
        </w:rPr>
        <w:footnoteReference w:id="60"/>
      </w:r>
      <w:r w:rsidR="00906B23">
        <w:rPr>
          <w:bCs/>
        </w:rPr>
        <w:t xml:space="preserve"> </w:t>
      </w:r>
      <w:r w:rsidR="00B13974">
        <w:rPr>
          <w:bCs/>
        </w:rPr>
        <w:t>The good character</w:t>
      </w:r>
      <w:r w:rsidR="005C5BA9">
        <w:rPr>
          <w:bCs/>
        </w:rPr>
        <w:t xml:space="preserve"> </w:t>
      </w:r>
      <w:r w:rsidR="00B13974">
        <w:rPr>
          <w:bCs/>
        </w:rPr>
        <w:t xml:space="preserve">witness required </w:t>
      </w:r>
      <w:r w:rsidR="005C5BA9">
        <w:rPr>
          <w:bCs/>
        </w:rPr>
        <w:t xml:space="preserve">comes </w:t>
      </w:r>
      <w:r w:rsidR="00B13974">
        <w:rPr>
          <w:bCs/>
        </w:rPr>
        <w:t xml:space="preserve">from </w:t>
      </w:r>
      <w:r w:rsidR="00B13974" w:rsidRPr="005362F7">
        <w:rPr>
          <w:bCs/>
          <w:lang w:val="el-GR"/>
        </w:rPr>
        <w:t>τῶν ἔξωθεν</w:t>
      </w:r>
      <w:r w:rsidR="00B13974">
        <w:rPr>
          <w:bCs/>
        </w:rPr>
        <w:t xml:space="preserve">, </w:t>
      </w:r>
      <w:r w:rsidR="00B13974">
        <w:rPr>
          <w:bCs/>
          <w:i/>
        </w:rPr>
        <w:t>the outside,</w:t>
      </w:r>
      <w:r w:rsidR="00B13974">
        <w:rPr>
          <w:bCs/>
        </w:rPr>
        <w:t xml:space="preserve"> </w:t>
      </w:r>
      <w:r w:rsidR="005C5BA9">
        <w:rPr>
          <w:bCs/>
        </w:rPr>
        <w:t xml:space="preserve">that is, people </w:t>
      </w:r>
      <w:r w:rsidR="00B13974">
        <w:rPr>
          <w:bCs/>
        </w:rPr>
        <w:t>outside of the Christian community.</w:t>
      </w:r>
      <w:r w:rsidR="007A0E4A">
        <w:rPr>
          <w:bCs/>
        </w:rPr>
        <w:t xml:space="preserve"> The outside world will disagree with a Christian on many issues, but the qualified </w:t>
      </w:r>
      <w:r w:rsidR="005A3475">
        <w:rPr>
          <w:bCs/>
        </w:rPr>
        <w:t>overseer</w:t>
      </w:r>
      <w:r w:rsidR="007A0E4A">
        <w:rPr>
          <w:bCs/>
        </w:rPr>
        <w:t xml:space="preserve"> </w:t>
      </w:r>
      <w:r w:rsidR="00F80C96">
        <w:rPr>
          <w:bCs/>
        </w:rPr>
        <w:t>is</w:t>
      </w:r>
      <w:r w:rsidR="005A3475">
        <w:rPr>
          <w:bCs/>
        </w:rPr>
        <w:t xml:space="preserve"> </w:t>
      </w:r>
      <w:r w:rsidR="007A0E4A">
        <w:rPr>
          <w:bCs/>
        </w:rPr>
        <w:t xml:space="preserve">known for his good character and not </w:t>
      </w:r>
      <w:r w:rsidR="00026004">
        <w:rPr>
          <w:bCs/>
        </w:rPr>
        <w:t xml:space="preserve">merely </w:t>
      </w:r>
      <w:r w:rsidR="007A0E4A">
        <w:rPr>
          <w:bCs/>
        </w:rPr>
        <w:t xml:space="preserve">his </w:t>
      </w:r>
      <w:r w:rsidR="00584969">
        <w:rPr>
          <w:bCs/>
        </w:rPr>
        <w:t>beliefs</w:t>
      </w:r>
      <w:r w:rsidR="007A0E4A">
        <w:rPr>
          <w:bCs/>
        </w:rPr>
        <w:t>.</w:t>
      </w:r>
      <w:r w:rsidR="006C20F5">
        <w:rPr>
          <w:bCs/>
        </w:rPr>
        <w:t xml:space="preserve"> The purpose for this requirement is established in v. 7b, </w:t>
      </w:r>
      <w:r w:rsidR="006C20F5" w:rsidRPr="005362F7">
        <w:rPr>
          <w:bCs/>
          <w:lang w:val="el-GR"/>
        </w:rPr>
        <w:t>ἵνα μὴ εἰς ὀνειδισμὸν ἐμπέσῃ καὶ παγίδα τοῦ διαβόλου</w:t>
      </w:r>
      <w:r w:rsidR="006C20F5">
        <w:rPr>
          <w:bCs/>
        </w:rPr>
        <w:t>,</w:t>
      </w:r>
      <w:r w:rsidR="006C20F5" w:rsidRPr="006C20F5">
        <w:rPr>
          <w:bCs/>
          <w:i/>
        </w:rPr>
        <w:t xml:space="preserve"> </w:t>
      </w:r>
      <w:r w:rsidR="006C20F5" w:rsidRPr="006C20F5">
        <w:rPr>
          <w:i/>
        </w:rPr>
        <w:t>so that he may not fall into disgrace, also a snare of the devil</w:t>
      </w:r>
      <w:r w:rsidR="006C20F5">
        <w:t>.</w:t>
      </w:r>
      <w:r w:rsidR="003571FE">
        <w:t xml:space="preserve"> </w:t>
      </w:r>
      <w:r w:rsidR="00157CF8">
        <w:t xml:space="preserve">The disgrace in view </w:t>
      </w:r>
      <w:r w:rsidR="005C5BA9">
        <w:t xml:space="preserve">is </w:t>
      </w:r>
      <w:r w:rsidR="00157CF8">
        <w:t xml:space="preserve">the </w:t>
      </w:r>
      <w:r w:rsidR="005C5BA9">
        <w:t xml:space="preserve">sort </w:t>
      </w:r>
      <w:r w:rsidR="00157CF8">
        <w:t>that comes from a Christian leader being known to have poor Christian character—a problem experienced both</w:t>
      </w:r>
      <w:r w:rsidR="00C95B42">
        <w:t xml:space="preserve"> in Ephesus and</w:t>
      </w:r>
      <w:r w:rsidR="00157CF8">
        <w:t xml:space="preserve"> today.</w:t>
      </w:r>
      <w:r w:rsidR="00CC0544">
        <w:t xml:space="preserve"> </w:t>
      </w:r>
      <w:r w:rsidR="00A13D73">
        <w:t xml:space="preserve">Just as </w:t>
      </w:r>
      <w:r w:rsidR="00A13D73" w:rsidRPr="00A13D73">
        <w:t>conceit</w:t>
      </w:r>
      <w:r w:rsidR="00A13D73">
        <w:t xml:space="preserve"> is a temptation from the devil</w:t>
      </w:r>
      <w:r w:rsidR="004A7AC3">
        <w:t xml:space="preserve"> (in v. 6)</w:t>
      </w:r>
      <w:r w:rsidR="00A13D73">
        <w:t xml:space="preserve">, public disgrace </w:t>
      </w:r>
      <w:r w:rsidR="00E522FC">
        <w:t xml:space="preserve">from </w:t>
      </w:r>
      <w:r w:rsidR="00E522FC">
        <w:lastRenderedPageBreak/>
        <w:t xml:space="preserve">poor character </w:t>
      </w:r>
      <w:r w:rsidR="00A13D73">
        <w:t xml:space="preserve">is </w:t>
      </w:r>
      <w:r w:rsidR="00812F88">
        <w:t xml:space="preserve">also </w:t>
      </w:r>
      <w:r w:rsidR="00A13D73">
        <w:t xml:space="preserve">a snare of the </w:t>
      </w:r>
      <w:r w:rsidR="00417A99">
        <w:t>devil.</w:t>
      </w:r>
      <w:r w:rsidR="004A7AC3">
        <w:t xml:space="preserve"> </w:t>
      </w:r>
      <w:r w:rsidR="00D53346">
        <w:t xml:space="preserve">The public </w:t>
      </w:r>
      <w:r w:rsidR="00755BB1">
        <w:t xml:space="preserve">sin </w:t>
      </w:r>
      <w:r w:rsidR="00D53346">
        <w:t xml:space="preserve">of an overseer </w:t>
      </w:r>
      <w:r w:rsidR="00755BB1">
        <w:t>heaps disgrace upon both the overseer and the Church.</w:t>
      </w:r>
    </w:p>
    <w:p w14:paraId="2A3B1826" w14:textId="77777777" w:rsidR="00E430B6" w:rsidRDefault="00E430B6" w:rsidP="00E21077">
      <w:pPr>
        <w:pStyle w:val="Heading1"/>
      </w:pPr>
      <w:r>
        <w:t>Conclusion</w:t>
      </w:r>
    </w:p>
    <w:p w14:paraId="381A370E" w14:textId="77777777" w:rsidR="00E430B6" w:rsidRDefault="00206FCB" w:rsidP="00E430B6">
      <w:pPr>
        <w:pStyle w:val="NormalIndent"/>
      </w:pPr>
      <w:r>
        <w:t>First</w:t>
      </w:r>
      <w:r w:rsidR="005B2E85">
        <w:t xml:space="preserve"> Timothy 3:1-7 offers a n</w:t>
      </w:r>
      <w:r w:rsidR="00A21BD7">
        <w:t>on-exhaustive list of qualifications for an overseer in a church within a mature Christian community.</w:t>
      </w:r>
      <w:r w:rsidR="001326E3">
        <w:t xml:space="preserve"> The passage </w:t>
      </w:r>
      <w:r>
        <w:t xml:space="preserve">focuses </w:t>
      </w:r>
      <w:r w:rsidR="001326E3">
        <w:t xml:space="preserve">on the person, rather than the office, and </w:t>
      </w:r>
      <w:r>
        <w:t xml:space="preserve">accordingly </w:t>
      </w:r>
      <w:r w:rsidR="001326E3">
        <w:t xml:space="preserve">on character </w:t>
      </w:r>
      <w:r w:rsidR="00933306">
        <w:t>attributes</w:t>
      </w:r>
      <w:r w:rsidR="001326E3">
        <w:t>, rather than duties and abilities.</w:t>
      </w:r>
      <w:r w:rsidR="00933306">
        <w:t xml:space="preserve"> </w:t>
      </w:r>
      <w:r w:rsidR="0086628B" w:rsidRPr="00D43904">
        <w:t xml:space="preserve">The majority of the passage is governed by the </w:t>
      </w:r>
      <w:r w:rsidR="0086628B" w:rsidRPr="00D43904">
        <w:rPr>
          <w:lang w:val="el-GR"/>
        </w:rPr>
        <w:t>δεῖ εἶναι</w:t>
      </w:r>
      <w:r w:rsidR="0086628B" w:rsidRPr="00D43904">
        <w:t>,</w:t>
      </w:r>
      <w:r w:rsidR="00662708">
        <w:rPr>
          <w:rStyle w:val="FootnoteReference"/>
        </w:rPr>
        <w:footnoteReference w:id="61"/>
      </w:r>
      <w:r w:rsidR="0086628B" w:rsidRPr="00D43904">
        <w:t xml:space="preserve"> </w:t>
      </w:r>
      <w:r w:rsidR="0086628B" w:rsidRPr="00D43904">
        <w:rPr>
          <w:i/>
        </w:rPr>
        <w:t>must be</w:t>
      </w:r>
      <w:r w:rsidR="0086628B" w:rsidRPr="00D43904">
        <w:t>, of v. 2 and all of the qualifications</w:t>
      </w:r>
      <w:r w:rsidR="00F564A6">
        <w:t xml:space="preserve"> listed</w:t>
      </w:r>
      <w:r w:rsidR="0086628B" w:rsidRPr="00D43904">
        <w:t xml:space="preserve"> explain</w:t>
      </w:r>
      <w:r w:rsidR="003F5C7A" w:rsidRPr="00D43904">
        <w:t xml:space="preserve"> the meaning of</w:t>
      </w:r>
      <w:r w:rsidR="0086628B" w:rsidRPr="00D43904">
        <w:t xml:space="preserve"> </w:t>
      </w:r>
      <w:r w:rsidR="0086628B" w:rsidRPr="00D43904">
        <w:rPr>
          <w:lang w:val="el-GR"/>
        </w:rPr>
        <w:t>ἀνεπίλημπτον</w:t>
      </w:r>
      <w:r w:rsidR="0086628B" w:rsidRPr="00D43904">
        <w:rPr>
          <w:i/>
        </w:rPr>
        <w:t>, irreproachable</w:t>
      </w:r>
      <w:r w:rsidR="0086628B" w:rsidRPr="00D43904">
        <w:t>.</w:t>
      </w:r>
      <w:r w:rsidR="00D43904" w:rsidRPr="00D43904">
        <w:t xml:space="preserve"> </w:t>
      </w:r>
      <w:r w:rsidR="00C717BB">
        <w:t xml:space="preserve">Of the </w:t>
      </w:r>
      <w:r w:rsidR="008B4D84">
        <w:t>13 qualifications for overseer</w:t>
      </w:r>
      <w:r>
        <w:t>s</w:t>
      </w:r>
      <w:r w:rsidR="008B4D84">
        <w:t xml:space="preserve">, only two </w:t>
      </w:r>
      <w:r w:rsidR="00D12EC2">
        <w:t>contain explicit explanations and statements of purpose</w:t>
      </w:r>
      <w:r w:rsidR="008B4D84">
        <w:t>.</w:t>
      </w:r>
      <w:r w:rsidR="00D12EC2">
        <w:t xml:space="preserve"> The requirements in this list overwhelmingly </w:t>
      </w:r>
      <w:r w:rsidR="00D12EC2" w:rsidRPr="000F2AD1">
        <w:t xml:space="preserve">describe positive </w:t>
      </w:r>
      <w:r w:rsidR="00776CEA" w:rsidRPr="000F2AD1">
        <w:t>characteristics</w:t>
      </w:r>
      <w:r w:rsidR="00660028" w:rsidRPr="000F2AD1">
        <w:t>, with only two negatives</w:t>
      </w:r>
      <w:r w:rsidR="00556B53" w:rsidRPr="000F2AD1">
        <w:t xml:space="preserve"> mentioned</w:t>
      </w:r>
      <w:r w:rsidR="00660028" w:rsidRPr="000F2AD1">
        <w:t xml:space="preserve"> (</w:t>
      </w:r>
      <w:r w:rsidR="00660028" w:rsidRPr="000F2AD1">
        <w:rPr>
          <w:lang w:val="el-GR"/>
        </w:rPr>
        <w:t>μὴ πάροινον μὴ πλήκτην</w:t>
      </w:r>
      <w:r w:rsidR="00660028" w:rsidRPr="000F2AD1">
        <w:t xml:space="preserve">, </w:t>
      </w:r>
      <w:r w:rsidR="00660028" w:rsidRPr="000F2AD1">
        <w:rPr>
          <w:i/>
        </w:rPr>
        <w:t>not a drunkard, nor a bully</w:t>
      </w:r>
      <w:r w:rsidR="00660028" w:rsidRPr="000F2AD1">
        <w:t>)</w:t>
      </w:r>
      <w:r w:rsidR="00556B53" w:rsidRPr="000F2AD1">
        <w:t>.</w:t>
      </w:r>
      <w:r w:rsidR="009E703E" w:rsidRPr="000F2AD1">
        <w:t xml:space="preserve"> </w:t>
      </w:r>
      <w:r w:rsidR="00597FCE">
        <w:t xml:space="preserve">Furthermore, </w:t>
      </w:r>
      <w:r w:rsidR="000F2AD1">
        <w:t xml:space="preserve">the </w:t>
      </w:r>
      <w:r w:rsidR="00597FCE">
        <w:t xml:space="preserve">character qualifications </w:t>
      </w:r>
      <w:r>
        <w:t xml:space="preserve">for </w:t>
      </w:r>
      <w:r w:rsidR="000F2AD1">
        <w:t>overseer</w:t>
      </w:r>
      <w:r>
        <w:t>s</w:t>
      </w:r>
      <w:r w:rsidR="000F2AD1">
        <w:t xml:space="preserve"> describe mature Christian</w:t>
      </w:r>
      <w:r>
        <w:t>s as well</w:t>
      </w:r>
      <w:r w:rsidR="00972AFB">
        <w:t>,</w:t>
      </w:r>
      <w:r w:rsidR="0034372F">
        <w:rPr>
          <w:rStyle w:val="FootnoteReference"/>
        </w:rPr>
        <w:footnoteReference w:id="62"/>
      </w:r>
      <w:r w:rsidR="00972AFB">
        <w:t xml:space="preserve"> </w:t>
      </w:r>
      <w:r>
        <w:t xml:space="preserve">indicating </w:t>
      </w:r>
      <w:r w:rsidR="00972AFB">
        <w:t>that the overseer is not a super-Christ</w:t>
      </w:r>
      <w:r w:rsidR="009818EB">
        <w:t xml:space="preserve">ian but </w:t>
      </w:r>
      <w:r w:rsidR="00084650">
        <w:t>rather</w:t>
      </w:r>
      <w:r w:rsidR="009818EB">
        <w:t xml:space="preserve"> a </w:t>
      </w:r>
      <w:r w:rsidR="00A42CA3">
        <w:t xml:space="preserve">faithful </w:t>
      </w:r>
      <w:r w:rsidR="009818EB">
        <w:t>Christian</w:t>
      </w:r>
      <w:r w:rsidR="000F2AD1">
        <w:t xml:space="preserve">. </w:t>
      </w:r>
      <w:r w:rsidR="002A6CC5">
        <w:t>Indeed</w:t>
      </w:r>
      <w:r w:rsidR="000C33AC">
        <w:t xml:space="preserve">, the introduction of this passage </w:t>
      </w:r>
      <w:r>
        <w:t xml:space="preserve">recommends </w:t>
      </w:r>
      <w:r w:rsidR="002A6CC5">
        <w:t>that mature Christian men be inclined to become overseers.</w:t>
      </w:r>
      <w:r w:rsidR="00702AC7">
        <w:t xml:space="preserve"> Overall, the qualified overseer should be a mature, honorable, and respected man who is actively living a healthy Christian life.</w:t>
      </w:r>
    </w:p>
    <w:p w14:paraId="60BEF857" w14:textId="77777777" w:rsidR="000610C1" w:rsidRDefault="000610C1" w:rsidP="000610C1">
      <w:pPr>
        <w:pStyle w:val="NormalIndent"/>
        <w:ind w:firstLine="0"/>
      </w:pPr>
    </w:p>
    <w:p w14:paraId="1949FCCC" w14:textId="77777777" w:rsidR="000610C1" w:rsidRPr="00040310" w:rsidRDefault="000610C1" w:rsidP="000610C1">
      <w:pPr>
        <w:pStyle w:val="NormalIndent"/>
        <w:sectPr w:rsidR="000610C1" w:rsidRPr="00040310" w:rsidSect="00894482">
          <w:headerReference w:type="first" r:id="rId13"/>
          <w:footerReference w:type="first" r:id="rId14"/>
          <w:pgSz w:w="12240" w:h="15840" w:code="1"/>
          <w:pgMar w:top="1440" w:right="1440" w:bottom="1440" w:left="1440" w:header="1008" w:footer="771" w:gutter="0"/>
          <w:pgNumType w:start="1"/>
          <w:cols w:space="720"/>
          <w:titlePg/>
          <w:docGrid w:linePitch="360"/>
        </w:sectPr>
      </w:pPr>
    </w:p>
    <w:p w14:paraId="4673D3C2" w14:textId="77777777" w:rsidR="003C1F6B" w:rsidRDefault="000610C1" w:rsidP="00894482">
      <w:pPr>
        <w:pStyle w:val="BIBLIOGRAPHYHEADING"/>
        <w:spacing w:before="1120" w:after="480"/>
        <w:ind w:firstLine="0"/>
      </w:pPr>
      <w:r>
        <w:lastRenderedPageBreak/>
        <w:t>APPENDIX</w:t>
      </w:r>
    </w:p>
    <w:p w14:paraId="648F9569" w14:textId="77777777" w:rsidR="00040310" w:rsidRDefault="00084E13" w:rsidP="004816CE">
      <w:pPr>
        <w:pStyle w:val="Bibliography"/>
        <w:jc w:val="center"/>
      </w:pPr>
      <w:r>
        <w:t>STRUCTURAL OUTLINE</w:t>
      </w:r>
    </w:p>
    <w:p w14:paraId="7363D879" w14:textId="77777777" w:rsidR="004816CE" w:rsidRDefault="004816CE" w:rsidP="004816CE">
      <w:pPr>
        <w:spacing w:line="240" w:lineRule="auto"/>
        <w:ind w:left="1350"/>
        <w:rPr>
          <w:u w:val="single"/>
        </w:rPr>
      </w:pPr>
    </w:p>
    <w:p w14:paraId="58749969" w14:textId="77777777" w:rsidR="004816CE" w:rsidRPr="004816CE" w:rsidRDefault="007777C8" w:rsidP="004816CE">
      <w:pPr>
        <w:spacing w:line="240" w:lineRule="auto"/>
        <w:ind w:left="1350"/>
      </w:pPr>
      <w:r>
        <w:rPr>
          <w:b/>
        </w:rPr>
        <w:t>1</w:t>
      </w:r>
      <w:r w:rsidR="00982FB5" w:rsidRPr="004816CE">
        <w:rPr>
          <w:b/>
          <w:lang w:val="el-GR"/>
        </w:rPr>
        <w:t xml:space="preserve"> </w:t>
      </w:r>
      <w:r w:rsidR="004816CE" w:rsidRPr="004816CE">
        <w:rPr>
          <w:u w:val="single"/>
          <w:lang w:val="el-GR"/>
        </w:rPr>
        <w:t>Εἴ</w:t>
      </w:r>
      <w:r w:rsidR="004816CE" w:rsidRPr="004816CE">
        <w:rPr>
          <w:lang w:val="el-GR"/>
        </w:rPr>
        <w:t xml:space="preserve"> τις ἐπισκοπῆς </w:t>
      </w:r>
      <w:r w:rsidR="004816CE" w:rsidRPr="004816CE">
        <w:rPr>
          <w:u w:val="single"/>
          <w:lang w:val="el-GR"/>
        </w:rPr>
        <w:t>ὀρέγεται</w:t>
      </w:r>
      <w:r w:rsidR="004816CE" w:rsidRPr="004816CE">
        <w:rPr>
          <w:lang w:val="el-GR"/>
        </w:rPr>
        <w:t xml:space="preserve">, </w:t>
      </w:r>
    </w:p>
    <w:p w14:paraId="0C2E29F0" w14:textId="77777777" w:rsidR="004816CE" w:rsidRPr="004816CE" w:rsidRDefault="004816CE" w:rsidP="004816CE">
      <w:pPr>
        <w:spacing w:line="240" w:lineRule="auto"/>
        <w:ind w:left="1350"/>
      </w:pPr>
      <w:r w:rsidRPr="004816CE">
        <w:t xml:space="preserve">If anyone aspires to a position of responsibility, </w:t>
      </w:r>
    </w:p>
    <w:p w14:paraId="620B9907" w14:textId="77777777" w:rsidR="004816CE" w:rsidRPr="004816CE" w:rsidRDefault="004816CE" w:rsidP="004816CE">
      <w:pPr>
        <w:spacing w:line="240" w:lineRule="auto"/>
      </w:pPr>
    </w:p>
    <w:p w14:paraId="71FA8E43" w14:textId="77777777" w:rsidR="004816CE" w:rsidRPr="004816CE" w:rsidRDefault="004816CE" w:rsidP="004816CE">
      <w:pPr>
        <w:spacing w:line="240" w:lineRule="auto"/>
      </w:pPr>
      <w:r w:rsidRPr="004816CE">
        <w:rPr>
          <w:lang w:val="el-GR"/>
        </w:rPr>
        <w:t xml:space="preserve">καλοῦ ἔργου </w:t>
      </w:r>
      <w:r w:rsidRPr="004816CE">
        <w:rPr>
          <w:u w:val="single"/>
          <w:lang w:val="el-GR"/>
        </w:rPr>
        <w:t>ἐπιθυμεῖ</w:t>
      </w:r>
      <w:r w:rsidRPr="004816CE">
        <w:rPr>
          <w:lang w:val="el-GR"/>
        </w:rPr>
        <w:t xml:space="preserve">. </w:t>
      </w:r>
    </w:p>
    <w:p w14:paraId="34308FAF" w14:textId="77777777" w:rsidR="004816CE" w:rsidRPr="004816CE" w:rsidRDefault="004816CE" w:rsidP="004816CE">
      <w:pPr>
        <w:spacing w:line="240" w:lineRule="auto"/>
      </w:pPr>
      <w:r w:rsidRPr="004816CE">
        <w:t>he desires important work.</w:t>
      </w:r>
    </w:p>
    <w:p w14:paraId="4605036B" w14:textId="77777777" w:rsidR="004816CE" w:rsidRPr="004816CE" w:rsidRDefault="004816CE" w:rsidP="004816CE">
      <w:pPr>
        <w:spacing w:line="240" w:lineRule="auto"/>
      </w:pPr>
    </w:p>
    <w:p w14:paraId="4960E75A" w14:textId="77777777" w:rsidR="004816CE" w:rsidRPr="004816CE" w:rsidRDefault="004816CE" w:rsidP="004816CE">
      <w:pPr>
        <w:spacing w:line="240" w:lineRule="auto"/>
      </w:pPr>
      <w:r w:rsidRPr="004816CE">
        <w:rPr>
          <w:b/>
          <w:lang w:val="el-GR"/>
        </w:rPr>
        <w:t xml:space="preserve">2 </w:t>
      </w:r>
      <w:r w:rsidRPr="004816CE">
        <w:rPr>
          <w:u w:val="single"/>
          <w:lang w:val="el-GR"/>
        </w:rPr>
        <w:t>δεῖ</w:t>
      </w:r>
      <w:r w:rsidRPr="004816CE">
        <w:rPr>
          <w:lang w:val="el-GR"/>
        </w:rPr>
        <w:t xml:space="preserve"> οὖν τὸν ἐπίσκοπον ἀνεπίλημπτον </w:t>
      </w:r>
      <w:r w:rsidRPr="004816CE">
        <w:rPr>
          <w:u w:val="single"/>
          <w:lang w:val="el-GR"/>
        </w:rPr>
        <w:t>εἶναι</w:t>
      </w:r>
      <w:r w:rsidRPr="004816CE">
        <w:rPr>
          <w:lang w:val="el-GR"/>
        </w:rPr>
        <w:t xml:space="preserve">, </w:t>
      </w:r>
    </w:p>
    <w:p w14:paraId="25984C7A" w14:textId="77777777" w:rsidR="004816CE" w:rsidRPr="004816CE" w:rsidRDefault="00303DDB" w:rsidP="004816CE">
      <w:pPr>
        <w:spacing w:line="240" w:lineRule="auto"/>
      </w:pPr>
      <w:r>
        <w:rPr>
          <w:b/>
          <w:noProof/>
        </w:rPr>
        <mc:AlternateContent>
          <mc:Choice Requires="wps">
            <w:drawing>
              <wp:anchor distT="0" distB="0" distL="114300" distR="114300" simplePos="0" relativeHeight="251658752" behindDoc="0" locked="0" layoutInCell="1" allowOverlap="1" wp14:anchorId="249ADA4D" wp14:editId="63B57C69">
                <wp:simplePos x="0" y="0"/>
                <wp:positionH relativeFrom="column">
                  <wp:posOffset>196850</wp:posOffset>
                </wp:positionH>
                <wp:positionV relativeFrom="paragraph">
                  <wp:posOffset>171450</wp:posOffset>
                </wp:positionV>
                <wp:extent cx="0" cy="5016500"/>
                <wp:effectExtent l="0" t="0" r="19050" b="12700"/>
                <wp:wrapNone/>
                <wp:docPr id="6" name="Straight Connector 6"/>
                <wp:cNvGraphicFramePr/>
                <a:graphic xmlns:a="http://schemas.openxmlformats.org/drawingml/2006/main">
                  <a:graphicData uri="http://schemas.microsoft.com/office/word/2010/wordprocessingShape">
                    <wps:wsp>
                      <wps:cNvCnPr/>
                      <wps:spPr>
                        <a:xfrm>
                          <a:off x="0" y="0"/>
                          <a:ext cx="0" cy="5016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13.5pt" to="15.5pt,40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" strokecolor="black [3040]"/>
            </w:pict>
          </mc:Fallback>
        </mc:AlternateContent>
      </w:r>
      <w:r w:rsidR="004816CE" w:rsidRPr="004816CE">
        <w:t>Accordingly, the overseer must be irreproachable:</w:t>
      </w:r>
    </w:p>
    <w:p w14:paraId="5EBAA38F" w14:textId="77777777" w:rsidR="004816CE" w:rsidRPr="004816CE" w:rsidRDefault="004816CE" w:rsidP="004816CE">
      <w:pPr>
        <w:spacing w:line="240" w:lineRule="auto"/>
      </w:pPr>
    </w:p>
    <w:p w14:paraId="39218A7A" w14:textId="77777777" w:rsidR="004816CE" w:rsidRPr="004816CE" w:rsidRDefault="004816CE" w:rsidP="004816CE">
      <w:pPr>
        <w:spacing w:line="240" w:lineRule="auto"/>
        <w:ind w:left="360"/>
      </w:pPr>
      <w:r w:rsidRPr="004816CE">
        <w:rPr>
          <w:lang w:val="el-GR"/>
        </w:rPr>
        <w:t xml:space="preserve">μιᾶς γυναικὸς ἄνδρα, </w:t>
      </w:r>
    </w:p>
    <w:p w14:paraId="56CA48E1" w14:textId="77777777" w:rsidR="004816CE" w:rsidRPr="004816CE" w:rsidRDefault="004816CE" w:rsidP="004816CE">
      <w:pPr>
        <w:spacing w:line="240" w:lineRule="auto"/>
        <w:ind w:left="360"/>
      </w:pPr>
      <w:r w:rsidRPr="004816CE">
        <w:t>faithful to his wife,</w:t>
      </w:r>
    </w:p>
    <w:p w14:paraId="295AC26C" w14:textId="77777777" w:rsidR="004816CE" w:rsidRPr="004816CE" w:rsidRDefault="004816CE" w:rsidP="004816CE">
      <w:pPr>
        <w:spacing w:line="240" w:lineRule="auto"/>
        <w:ind w:left="360"/>
      </w:pPr>
    </w:p>
    <w:p w14:paraId="19E1652E" w14:textId="77777777" w:rsidR="004816CE" w:rsidRPr="004816CE" w:rsidRDefault="004816CE" w:rsidP="004816CE">
      <w:pPr>
        <w:spacing w:line="240" w:lineRule="auto"/>
        <w:ind w:left="360"/>
      </w:pPr>
      <w:r w:rsidRPr="004816CE">
        <w:rPr>
          <w:lang w:val="el-GR"/>
        </w:rPr>
        <w:t xml:space="preserve">νηφάλιον </w:t>
      </w:r>
    </w:p>
    <w:p w14:paraId="76F3552C" w14:textId="77777777" w:rsidR="004816CE" w:rsidRPr="004816CE" w:rsidRDefault="004816CE" w:rsidP="004816CE">
      <w:pPr>
        <w:spacing w:line="240" w:lineRule="auto"/>
        <w:ind w:left="360"/>
      </w:pPr>
      <w:r w:rsidRPr="004816CE">
        <w:t xml:space="preserve">self-controlled, </w:t>
      </w:r>
    </w:p>
    <w:p w14:paraId="7017736A" w14:textId="77777777" w:rsidR="004816CE" w:rsidRPr="004816CE" w:rsidRDefault="004816CE" w:rsidP="004816CE">
      <w:pPr>
        <w:spacing w:line="240" w:lineRule="auto"/>
        <w:ind w:left="360"/>
      </w:pPr>
    </w:p>
    <w:p w14:paraId="4EB3A237" w14:textId="77777777" w:rsidR="004816CE" w:rsidRPr="004816CE" w:rsidRDefault="004816CE" w:rsidP="004816CE">
      <w:pPr>
        <w:spacing w:line="240" w:lineRule="auto"/>
        <w:ind w:left="360"/>
      </w:pPr>
      <w:r w:rsidRPr="004816CE">
        <w:rPr>
          <w:lang w:val="el-GR"/>
        </w:rPr>
        <w:t xml:space="preserve">σώφρονα </w:t>
      </w:r>
    </w:p>
    <w:p w14:paraId="5C6309CC" w14:textId="77777777" w:rsidR="004816CE" w:rsidRPr="004816CE" w:rsidRDefault="004816CE" w:rsidP="004816CE">
      <w:pPr>
        <w:spacing w:line="240" w:lineRule="auto"/>
        <w:ind w:left="360"/>
      </w:pPr>
      <w:r w:rsidRPr="004816CE">
        <w:t>thoughtful,</w:t>
      </w:r>
    </w:p>
    <w:p w14:paraId="5E7BAD93" w14:textId="77777777" w:rsidR="004816CE" w:rsidRPr="004816CE" w:rsidRDefault="004816CE" w:rsidP="004816CE">
      <w:pPr>
        <w:spacing w:line="240" w:lineRule="auto"/>
        <w:ind w:left="360"/>
      </w:pPr>
    </w:p>
    <w:p w14:paraId="49BED1C5" w14:textId="77777777" w:rsidR="004816CE" w:rsidRPr="004816CE" w:rsidRDefault="004816CE" w:rsidP="004816CE">
      <w:pPr>
        <w:spacing w:line="240" w:lineRule="auto"/>
        <w:ind w:left="360"/>
      </w:pPr>
      <w:r w:rsidRPr="004816CE">
        <w:rPr>
          <w:lang w:val="el-GR"/>
        </w:rPr>
        <w:t xml:space="preserve">κόσμιον </w:t>
      </w:r>
    </w:p>
    <w:p w14:paraId="38824596" w14:textId="77777777" w:rsidR="004816CE" w:rsidRPr="004816CE" w:rsidRDefault="004816CE" w:rsidP="004816CE">
      <w:pPr>
        <w:spacing w:line="240" w:lineRule="auto"/>
        <w:ind w:left="360"/>
      </w:pPr>
      <w:r w:rsidRPr="004816CE">
        <w:t>honorable,</w:t>
      </w:r>
    </w:p>
    <w:p w14:paraId="78B46F38" w14:textId="77777777" w:rsidR="004816CE" w:rsidRPr="004816CE" w:rsidRDefault="004816CE" w:rsidP="004816CE">
      <w:pPr>
        <w:spacing w:line="240" w:lineRule="auto"/>
        <w:ind w:left="360"/>
      </w:pPr>
    </w:p>
    <w:p w14:paraId="3D1BAE7B" w14:textId="77777777" w:rsidR="004816CE" w:rsidRPr="004816CE" w:rsidRDefault="00AF7385" w:rsidP="004816CE">
      <w:pPr>
        <w:spacing w:line="240" w:lineRule="auto"/>
        <w:ind w:left="360"/>
      </w:pPr>
      <w:r>
        <w:rPr>
          <w:noProof/>
        </w:rPr>
        <mc:AlternateContent>
          <mc:Choice Requires="wps">
            <w:drawing>
              <wp:anchor distT="0" distB="0" distL="114300" distR="114300" simplePos="0" relativeHeight="251660800" behindDoc="0" locked="0" layoutInCell="1" allowOverlap="1" wp14:anchorId="4472AA13" wp14:editId="7DF38440">
                <wp:simplePos x="0" y="0"/>
                <wp:positionH relativeFrom="column">
                  <wp:posOffset>-457835</wp:posOffset>
                </wp:positionH>
                <wp:positionV relativeFrom="paragraph">
                  <wp:posOffset>97155</wp:posOffset>
                </wp:positionV>
                <wp:extent cx="1156335" cy="245110"/>
                <wp:effectExtent l="0" t="1587" r="23177" b="23178"/>
                <wp:wrapNone/>
                <wp:docPr id="8" name="Text Box 8"/>
                <wp:cNvGraphicFramePr/>
                <a:graphic xmlns:a="http://schemas.openxmlformats.org/drawingml/2006/main">
                  <a:graphicData uri="http://schemas.microsoft.com/office/word/2010/wordprocessingShape">
                    <wps:wsp>
                      <wps:cNvSpPr txBox="1"/>
                      <wps:spPr>
                        <a:xfrm rot="16200000">
                          <a:off x="0" y="0"/>
                          <a:ext cx="1156335" cy="2451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B049CEA" w14:textId="77777777" w:rsidR="00AF7385" w:rsidRPr="00D85D7E" w:rsidRDefault="00AF7385" w:rsidP="00AF7385">
                            <w:r w:rsidRPr="00D85D7E">
                              <w:rPr>
                                <w:lang w:val="el-GR"/>
                              </w:rPr>
                              <w:t>δεῖ εἶναι</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8" o:spid="_x0000_s1026" type="#_x0000_t202" style="position:absolute;left:0;text-align:left;margin-left:-36pt;margin-top:7.65pt;width:91.05pt;height:19.3pt;rotation:-90;z-index:2516608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" fillcolor="white [3201]" strokeweight=".5pt">
                <v:textbox>
                  <w:txbxContent>
                    <w:p w14:paraId="1B049CEA" w14:textId="77777777" w:rsidR="00AF7385" w:rsidRPr="00D85D7E" w:rsidRDefault="00AF7385" w:rsidP="00AF7385">
                      <w:r w:rsidRPr="00D85D7E">
                        <w:rPr>
                          <w:lang w:val="el-GR"/>
                        </w:rPr>
                        <w:t>δεῖ εἶναι</w:t>
                      </w:r>
                    </w:p>
                  </w:txbxContent>
                </v:textbox>
              </v:shape>
            </w:pict>
          </mc:Fallback>
        </mc:AlternateContent>
      </w:r>
      <w:r w:rsidR="004816CE" w:rsidRPr="004816CE">
        <w:rPr>
          <w:lang w:val="el-GR"/>
        </w:rPr>
        <w:t xml:space="preserve">φιλόξενον </w:t>
      </w:r>
    </w:p>
    <w:p w14:paraId="6A017754" w14:textId="77777777" w:rsidR="004816CE" w:rsidRPr="004816CE" w:rsidRDefault="004816CE" w:rsidP="004816CE">
      <w:pPr>
        <w:spacing w:line="240" w:lineRule="auto"/>
        <w:ind w:left="360"/>
      </w:pPr>
      <w:r w:rsidRPr="004816CE">
        <w:t>hospitable,</w:t>
      </w:r>
    </w:p>
    <w:p w14:paraId="554BB8C4" w14:textId="77777777" w:rsidR="004816CE" w:rsidRPr="004816CE" w:rsidRDefault="004816CE" w:rsidP="004816CE">
      <w:pPr>
        <w:spacing w:line="240" w:lineRule="auto"/>
        <w:ind w:left="360"/>
      </w:pPr>
    </w:p>
    <w:p w14:paraId="54FC1C95" w14:textId="77777777" w:rsidR="004816CE" w:rsidRPr="004816CE" w:rsidRDefault="004816CE" w:rsidP="004816CE">
      <w:pPr>
        <w:spacing w:line="240" w:lineRule="auto"/>
        <w:ind w:left="360"/>
      </w:pPr>
      <w:r w:rsidRPr="004816CE">
        <w:rPr>
          <w:lang w:val="el-GR"/>
        </w:rPr>
        <w:t xml:space="preserve">διδακτικόν, </w:t>
      </w:r>
    </w:p>
    <w:p w14:paraId="66E150C0" w14:textId="77777777" w:rsidR="004816CE" w:rsidRPr="004816CE" w:rsidRDefault="004816CE" w:rsidP="004816CE">
      <w:pPr>
        <w:spacing w:line="240" w:lineRule="auto"/>
        <w:ind w:left="360"/>
      </w:pPr>
      <w:r w:rsidRPr="004816CE">
        <w:t>able to teach,</w:t>
      </w:r>
    </w:p>
    <w:p w14:paraId="6CE3C0AC" w14:textId="77777777" w:rsidR="004816CE" w:rsidRPr="004816CE" w:rsidRDefault="004816CE" w:rsidP="004816CE">
      <w:pPr>
        <w:spacing w:line="240" w:lineRule="auto"/>
        <w:ind w:left="360"/>
      </w:pPr>
    </w:p>
    <w:p w14:paraId="7863680A" w14:textId="77777777" w:rsidR="004816CE" w:rsidRPr="004816CE" w:rsidRDefault="004816CE" w:rsidP="004816CE">
      <w:pPr>
        <w:spacing w:line="240" w:lineRule="auto"/>
        <w:ind w:left="360"/>
      </w:pPr>
      <w:r w:rsidRPr="004816CE">
        <w:rPr>
          <w:b/>
          <w:lang w:val="el-GR"/>
        </w:rPr>
        <w:t xml:space="preserve">3 </w:t>
      </w:r>
      <w:r w:rsidRPr="004816CE">
        <w:rPr>
          <w:lang w:val="el-GR"/>
        </w:rPr>
        <w:t xml:space="preserve">μὴ πάροινον </w:t>
      </w:r>
    </w:p>
    <w:p w14:paraId="189B34A8" w14:textId="77777777" w:rsidR="004816CE" w:rsidRPr="004816CE" w:rsidRDefault="004816CE" w:rsidP="004816CE">
      <w:pPr>
        <w:spacing w:line="240" w:lineRule="auto"/>
        <w:ind w:left="360"/>
      </w:pPr>
      <w:r w:rsidRPr="004816CE">
        <w:t>not a drunkard,</w:t>
      </w:r>
    </w:p>
    <w:p w14:paraId="153FCF99" w14:textId="77777777" w:rsidR="004816CE" w:rsidRPr="004816CE" w:rsidRDefault="004816CE" w:rsidP="004816CE">
      <w:pPr>
        <w:spacing w:line="240" w:lineRule="auto"/>
        <w:ind w:left="360"/>
      </w:pPr>
    </w:p>
    <w:p w14:paraId="4C0BEDC2" w14:textId="77777777" w:rsidR="004816CE" w:rsidRPr="004816CE" w:rsidRDefault="004816CE" w:rsidP="004816CE">
      <w:pPr>
        <w:spacing w:line="240" w:lineRule="auto"/>
        <w:ind w:left="360"/>
      </w:pPr>
      <w:r w:rsidRPr="004816CE">
        <w:rPr>
          <w:lang w:val="el-GR"/>
        </w:rPr>
        <w:t xml:space="preserve">μὴ πλήκτην, </w:t>
      </w:r>
    </w:p>
    <w:p w14:paraId="00AD08C4" w14:textId="77777777" w:rsidR="004816CE" w:rsidRPr="004816CE" w:rsidRDefault="004816CE" w:rsidP="004816CE">
      <w:pPr>
        <w:spacing w:line="240" w:lineRule="auto"/>
        <w:ind w:left="360"/>
      </w:pPr>
      <w:r w:rsidRPr="004816CE">
        <w:t>nor a bully,</w:t>
      </w:r>
    </w:p>
    <w:p w14:paraId="09360027" w14:textId="77777777" w:rsidR="004816CE" w:rsidRPr="004816CE" w:rsidRDefault="004816CE" w:rsidP="004816CE">
      <w:pPr>
        <w:spacing w:line="240" w:lineRule="auto"/>
        <w:ind w:left="360"/>
      </w:pPr>
    </w:p>
    <w:p w14:paraId="77B08D71" w14:textId="77777777" w:rsidR="004816CE" w:rsidRPr="004816CE" w:rsidRDefault="004816CE" w:rsidP="004816CE">
      <w:pPr>
        <w:spacing w:line="240" w:lineRule="auto"/>
        <w:ind w:left="360"/>
      </w:pPr>
      <w:r w:rsidRPr="004816CE">
        <w:rPr>
          <w:lang w:val="el-GR"/>
        </w:rPr>
        <w:t xml:space="preserve">ἀλλὰ ἐπιεικῆ </w:t>
      </w:r>
    </w:p>
    <w:p w14:paraId="4B2F1303" w14:textId="77777777" w:rsidR="004816CE" w:rsidRPr="004816CE" w:rsidRDefault="004816CE" w:rsidP="004816CE">
      <w:pPr>
        <w:spacing w:line="240" w:lineRule="auto"/>
        <w:ind w:left="360"/>
      </w:pPr>
      <w:r w:rsidRPr="004816CE">
        <w:t>but yielding,</w:t>
      </w:r>
    </w:p>
    <w:p w14:paraId="67F92BFC" w14:textId="77777777" w:rsidR="004816CE" w:rsidRPr="004816CE" w:rsidRDefault="004816CE" w:rsidP="004816CE">
      <w:pPr>
        <w:spacing w:line="240" w:lineRule="auto"/>
        <w:ind w:left="360"/>
      </w:pPr>
    </w:p>
    <w:p w14:paraId="5D1950D7" w14:textId="77777777" w:rsidR="004816CE" w:rsidRPr="004816CE" w:rsidRDefault="0083214E" w:rsidP="004816CE">
      <w:pPr>
        <w:spacing w:line="240" w:lineRule="auto"/>
        <w:ind w:left="360"/>
      </w:pPr>
      <w:r>
        <w:rPr>
          <w:b/>
          <w:noProof/>
        </w:rPr>
        <w:lastRenderedPageBreak/>
        <mc:AlternateContent>
          <mc:Choice Requires="wps">
            <w:drawing>
              <wp:anchor distT="0" distB="0" distL="114300" distR="114300" simplePos="0" relativeHeight="251657728" behindDoc="0" locked="0" layoutInCell="1" allowOverlap="1" wp14:anchorId="022573EE" wp14:editId="71DD1B7E">
                <wp:simplePos x="0" y="0"/>
                <wp:positionH relativeFrom="column">
                  <wp:posOffset>184150</wp:posOffset>
                </wp:positionH>
                <wp:positionV relativeFrom="paragraph">
                  <wp:posOffset>-31750</wp:posOffset>
                </wp:positionV>
                <wp:extent cx="0" cy="3232150"/>
                <wp:effectExtent l="0" t="0" r="19050" b="25400"/>
                <wp:wrapNone/>
                <wp:docPr id="5" name="Straight Connector 5"/>
                <wp:cNvGraphicFramePr/>
                <a:graphic xmlns:a="http://schemas.openxmlformats.org/drawingml/2006/main">
                  <a:graphicData uri="http://schemas.microsoft.com/office/word/2010/wordprocessingShape">
                    <wps:wsp>
                      <wps:cNvCnPr/>
                      <wps:spPr>
                        <a:xfrm>
                          <a:off x="0" y="0"/>
                          <a:ext cx="0" cy="3232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pt,-2.45pt" to="14.5pt,252.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" strokecolor="black [3040]"/>
            </w:pict>
          </mc:Fallback>
        </mc:AlternateContent>
      </w:r>
      <w:r w:rsidR="004816CE" w:rsidRPr="004816CE">
        <w:rPr>
          <w:lang w:val="el-GR"/>
        </w:rPr>
        <w:t xml:space="preserve">ἄμαχον </w:t>
      </w:r>
    </w:p>
    <w:p w14:paraId="2F3F3055" w14:textId="77777777" w:rsidR="004816CE" w:rsidRPr="004816CE" w:rsidRDefault="004816CE" w:rsidP="004816CE">
      <w:pPr>
        <w:spacing w:line="240" w:lineRule="auto"/>
        <w:ind w:left="360"/>
      </w:pPr>
      <w:r w:rsidRPr="004816CE">
        <w:t>peaceable,</w:t>
      </w:r>
    </w:p>
    <w:p w14:paraId="262DF9C2" w14:textId="77777777" w:rsidR="004816CE" w:rsidRPr="004816CE" w:rsidRDefault="004816CE" w:rsidP="004816CE">
      <w:pPr>
        <w:spacing w:line="240" w:lineRule="auto"/>
        <w:ind w:left="360"/>
      </w:pPr>
    </w:p>
    <w:p w14:paraId="4CD348E3" w14:textId="77777777" w:rsidR="004816CE" w:rsidRPr="004816CE" w:rsidRDefault="004816CE" w:rsidP="004816CE">
      <w:pPr>
        <w:spacing w:line="240" w:lineRule="auto"/>
        <w:ind w:left="360"/>
      </w:pPr>
      <w:r w:rsidRPr="004816CE">
        <w:rPr>
          <w:lang w:val="el-GR"/>
        </w:rPr>
        <w:t xml:space="preserve">ἀφιλάργυρον, </w:t>
      </w:r>
    </w:p>
    <w:p w14:paraId="60A01C42" w14:textId="77777777" w:rsidR="004816CE" w:rsidRPr="004816CE" w:rsidRDefault="004816CE" w:rsidP="004816CE">
      <w:pPr>
        <w:spacing w:line="240" w:lineRule="auto"/>
        <w:ind w:left="360"/>
      </w:pPr>
      <w:r w:rsidRPr="004816CE">
        <w:t>generous with money,</w:t>
      </w:r>
    </w:p>
    <w:p w14:paraId="7968EA1D" w14:textId="77777777" w:rsidR="004816CE" w:rsidRPr="004816CE" w:rsidRDefault="004816CE" w:rsidP="004816CE">
      <w:pPr>
        <w:spacing w:line="240" w:lineRule="auto"/>
        <w:ind w:left="360"/>
      </w:pPr>
    </w:p>
    <w:p w14:paraId="48EA4815" w14:textId="77777777" w:rsidR="004816CE" w:rsidRPr="004816CE" w:rsidRDefault="004816CE" w:rsidP="004816CE">
      <w:pPr>
        <w:spacing w:line="240" w:lineRule="auto"/>
        <w:ind w:left="360"/>
      </w:pPr>
      <w:r w:rsidRPr="004816CE">
        <w:rPr>
          <w:b/>
          <w:lang w:val="el-GR"/>
        </w:rPr>
        <w:t xml:space="preserve">4 </w:t>
      </w:r>
      <w:r w:rsidRPr="004816CE">
        <w:rPr>
          <w:lang w:val="el-GR"/>
        </w:rPr>
        <w:t xml:space="preserve">τοῦ ἰδίου οἴκου καλῶς </w:t>
      </w:r>
      <w:r w:rsidRPr="004816CE">
        <w:rPr>
          <w:u w:val="single"/>
          <w:lang w:val="el-GR"/>
        </w:rPr>
        <w:t>προϊστάμενον</w:t>
      </w:r>
      <w:r w:rsidRPr="004816CE">
        <w:rPr>
          <w:lang w:val="el-GR"/>
        </w:rPr>
        <w:t xml:space="preserve">, </w:t>
      </w:r>
    </w:p>
    <w:p w14:paraId="5EDC16AF" w14:textId="77777777" w:rsidR="004816CE" w:rsidRPr="004816CE" w:rsidRDefault="00AF7385" w:rsidP="004816CE">
      <w:pPr>
        <w:spacing w:line="240" w:lineRule="auto"/>
        <w:ind w:left="360"/>
      </w:pPr>
      <w:r>
        <w:rPr>
          <w:noProof/>
        </w:rPr>
        <mc:AlternateContent>
          <mc:Choice Requires="wps">
            <w:drawing>
              <wp:anchor distT="0" distB="0" distL="114300" distR="114300" simplePos="0" relativeHeight="251659776" behindDoc="0" locked="0" layoutInCell="1" allowOverlap="1" wp14:anchorId="4A74AD28" wp14:editId="7923B62A">
                <wp:simplePos x="0" y="0"/>
                <wp:positionH relativeFrom="column">
                  <wp:posOffset>-444500</wp:posOffset>
                </wp:positionH>
                <wp:positionV relativeFrom="paragraph">
                  <wp:posOffset>46990</wp:posOffset>
                </wp:positionV>
                <wp:extent cx="1156335" cy="245110"/>
                <wp:effectExtent l="6033" t="0" r="15557" b="15558"/>
                <wp:wrapNone/>
                <wp:docPr id="7" name="Text Box 7"/>
                <wp:cNvGraphicFramePr/>
                <a:graphic xmlns:a="http://schemas.openxmlformats.org/drawingml/2006/main">
                  <a:graphicData uri="http://schemas.microsoft.com/office/word/2010/wordprocessingShape">
                    <wps:wsp>
                      <wps:cNvSpPr txBox="1"/>
                      <wps:spPr>
                        <a:xfrm rot="16200000">
                          <a:off x="0" y="0"/>
                          <a:ext cx="1156335" cy="2451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70DF7AF" w14:textId="77777777" w:rsidR="00AF7385" w:rsidRPr="00D85D7E" w:rsidRDefault="00AF7385" w:rsidP="00AF7385">
                            <w:r w:rsidRPr="00D85D7E">
                              <w:rPr>
                                <w:lang w:val="el-GR"/>
                              </w:rPr>
                              <w:t>δεῖ εἶναι</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o:spid="_x0000_s1027" type="#_x0000_t202" style="position:absolute;left:0;text-align:left;margin-left:-34.95pt;margin-top:3.7pt;width:91.05pt;height:19.3pt;rotation:-90;z-index:2516597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" fillcolor="white [3201]" strokeweight=".5pt">
                <v:textbox>
                  <w:txbxContent>
                    <w:p w14:paraId="170DF7AF" w14:textId="77777777" w:rsidR="00AF7385" w:rsidRPr="00D85D7E" w:rsidRDefault="00AF7385" w:rsidP="00AF7385">
                      <w:r w:rsidRPr="00D85D7E">
                        <w:rPr>
                          <w:lang w:val="el-GR"/>
                        </w:rPr>
                        <w:t>δεῖ εἶναι</w:t>
                      </w:r>
                    </w:p>
                  </w:txbxContent>
                </v:textbox>
              </v:shape>
            </w:pict>
          </mc:Fallback>
        </mc:AlternateContent>
      </w:r>
      <w:r w:rsidR="004816CE" w:rsidRPr="004816CE">
        <w:t>leading his own family well</w:t>
      </w:r>
    </w:p>
    <w:p w14:paraId="3C5F153C" w14:textId="77777777" w:rsidR="004816CE" w:rsidRPr="004816CE" w:rsidRDefault="004816CE" w:rsidP="004816CE">
      <w:pPr>
        <w:spacing w:line="240" w:lineRule="auto"/>
        <w:ind w:left="450"/>
      </w:pPr>
    </w:p>
    <w:p w14:paraId="26BE7A96" w14:textId="77777777" w:rsidR="004816CE" w:rsidRPr="004816CE" w:rsidRDefault="004816CE" w:rsidP="004816CE">
      <w:pPr>
        <w:spacing w:line="240" w:lineRule="auto"/>
        <w:ind w:left="2790"/>
      </w:pPr>
      <w:r w:rsidRPr="004816CE">
        <w:rPr>
          <w:lang w:val="el-GR"/>
        </w:rPr>
        <w:t xml:space="preserve">τέκνα </w:t>
      </w:r>
      <w:r w:rsidRPr="004816CE">
        <w:rPr>
          <w:u w:val="single"/>
          <w:lang w:val="el-GR"/>
        </w:rPr>
        <w:t>ἔχοντα</w:t>
      </w:r>
      <w:r w:rsidRPr="004816CE">
        <w:rPr>
          <w:lang w:val="el-GR"/>
        </w:rPr>
        <w:t xml:space="preserve"> ἐν ὑποταγῇ, </w:t>
      </w:r>
    </w:p>
    <w:p w14:paraId="74719385" w14:textId="77777777" w:rsidR="004816CE" w:rsidRPr="004816CE" w:rsidRDefault="004816CE" w:rsidP="004816CE">
      <w:pPr>
        <w:spacing w:line="240" w:lineRule="auto"/>
        <w:ind w:left="2790"/>
      </w:pPr>
      <w:r w:rsidRPr="004816CE">
        <w:t>by holding his children in submission,</w:t>
      </w:r>
    </w:p>
    <w:p w14:paraId="44355D03" w14:textId="77777777" w:rsidR="004816CE" w:rsidRPr="004816CE" w:rsidRDefault="004816CE" w:rsidP="004816CE">
      <w:pPr>
        <w:spacing w:line="240" w:lineRule="auto"/>
        <w:ind w:left="450"/>
      </w:pPr>
    </w:p>
    <w:p w14:paraId="4E3E1421" w14:textId="77777777" w:rsidR="004816CE" w:rsidRPr="004816CE" w:rsidRDefault="004816CE" w:rsidP="004816CE">
      <w:pPr>
        <w:spacing w:line="240" w:lineRule="auto"/>
        <w:ind w:left="3420"/>
      </w:pPr>
      <w:r w:rsidRPr="004816CE">
        <w:rPr>
          <w:lang w:val="el-GR"/>
        </w:rPr>
        <w:t xml:space="preserve">μετὰ πάσης σεμνότητος </w:t>
      </w:r>
    </w:p>
    <w:p w14:paraId="3E97203D" w14:textId="77777777" w:rsidR="004816CE" w:rsidRPr="004816CE" w:rsidRDefault="000C219D" w:rsidP="004816CE">
      <w:pPr>
        <w:spacing w:line="240" w:lineRule="auto"/>
        <w:ind w:left="3420"/>
      </w:pPr>
      <w:r>
        <w:t>with all dignity</w:t>
      </w:r>
      <w:r w:rsidR="002A0C24">
        <w:t>,</w:t>
      </w:r>
    </w:p>
    <w:p w14:paraId="46BC8D5D" w14:textId="77777777" w:rsidR="004816CE" w:rsidRPr="004816CE" w:rsidRDefault="004816CE" w:rsidP="004816CE">
      <w:pPr>
        <w:spacing w:line="240" w:lineRule="auto"/>
        <w:ind w:left="450"/>
      </w:pPr>
    </w:p>
    <w:p w14:paraId="4A881462" w14:textId="77777777" w:rsidR="004816CE" w:rsidRPr="004816CE" w:rsidRDefault="004816CE" w:rsidP="004816CE">
      <w:pPr>
        <w:spacing w:line="240" w:lineRule="auto"/>
        <w:ind w:left="2070"/>
      </w:pPr>
      <w:r w:rsidRPr="004816CE">
        <w:rPr>
          <w:noProof/>
        </w:rPr>
        <mc:AlternateContent>
          <mc:Choice Requires="wps">
            <w:drawing>
              <wp:anchor distT="0" distB="0" distL="114300" distR="114300" simplePos="0" relativeHeight="251653632" behindDoc="0" locked="0" layoutInCell="1" allowOverlap="1" wp14:anchorId="6A1052E8" wp14:editId="0F496C9F">
                <wp:simplePos x="0" y="0"/>
                <wp:positionH relativeFrom="column">
                  <wp:posOffset>-283674</wp:posOffset>
                </wp:positionH>
                <wp:positionV relativeFrom="paragraph">
                  <wp:posOffset>24130</wp:posOffset>
                </wp:positionV>
                <wp:extent cx="230505" cy="866140"/>
                <wp:effectExtent l="0" t="0" r="17145" b="10160"/>
                <wp:wrapNone/>
                <wp:docPr id="1" name="Left Brace 1"/>
                <wp:cNvGraphicFramePr/>
                <a:graphic xmlns:a="http://schemas.openxmlformats.org/drawingml/2006/main">
                  <a:graphicData uri="http://schemas.microsoft.com/office/word/2010/wordprocessingShape">
                    <wps:wsp>
                      <wps:cNvSpPr/>
                      <wps:spPr>
                        <a:xfrm>
                          <a:off x="0" y="0"/>
                          <a:ext cx="230505" cy="86614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87" coordsize="21600,21600" o:spt="87" adj="1800,10800" path="m2160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 o:spid="_x0000_s1026" type="#_x0000_t87" style="position:absolute;margin-left:-22.3pt;margin-top:1.9pt;width:18.15pt;height:68.2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" adj="479" strokecolor="black [3040]"/>
            </w:pict>
          </mc:Fallback>
        </mc:AlternateContent>
      </w:r>
      <w:r w:rsidRPr="004816CE">
        <w:rPr>
          <w:lang w:val="el-GR"/>
        </w:rPr>
        <w:t>(</w:t>
      </w:r>
      <w:r w:rsidRPr="004816CE">
        <w:rPr>
          <w:b/>
          <w:lang w:val="el-GR"/>
        </w:rPr>
        <w:t xml:space="preserve">5 </w:t>
      </w:r>
      <w:r w:rsidRPr="004816CE">
        <w:rPr>
          <w:lang w:val="el-GR"/>
        </w:rPr>
        <w:t xml:space="preserve">εἰ δέ τις τοῦ ἰδίου οἴκου προστῆναι οὐκ </w:t>
      </w:r>
      <w:r w:rsidRPr="004816CE">
        <w:rPr>
          <w:u w:val="single"/>
          <w:lang w:val="el-GR"/>
        </w:rPr>
        <w:t>οἶδεν</w:t>
      </w:r>
      <w:r w:rsidRPr="004816CE">
        <w:rPr>
          <w:lang w:val="el-GR"/>
        </w:rPr>
        <w:t xml:space="preserve">, </w:t>
      </w:r>
    </w:p>
    <w:p w14:paraId="6182C725" w14:textId="77777777" w:rsidR="004816CE" w:rsidRPr="004816CE" w:rsidRDefault="000C219D" w:rsidP="004816CE">
      <w:pPr>
        <w:spacing w:line="240" w:lineRule="auto"/>
        <w:ind w:left="2070"/>
      </w:pPr>
      <w:r>
        <w:t>(f</w:t>
      </w:r>
      <w:r w:rsidR="004816CE" w:rsidRPr="004816CE">
        <w:t>or if someone does not know how to lead his own family,</w:t>
      </w:r>
    </w:p>
    <w:p w14:paraId="711EC495" w14:textId="77777777" w:rsidR="004816CE" w:rsidRPr="004816CE" w:rsidRDefault="004816CE" w:rsidP="004816CE">
      <w:pPr>
        <w:spacing w:line="240" w:lineRule="auto"/>
      </w:pPr>
      <w:r>
        <w:rPr>
          <w:noProof/>
        </w:rPr>
        <mc:AlternateContent>
          <mc:Choice Requires="wps">
            <w:drawing>
              <wp:anchor distT="0" distB="0" distL="114300" distR="114300" simplePos="0" relativeHeight="251656704" behindDoc="0" locked="0" layoutInCell="1" allowOverlap="1" wp14:anchorId="0ED8B72D" wp14:editId="2AF801A8">
                <wp:simplePos x="0" y="0"/>
                <wp:positionH relativeFrom="column">
                  <wp:posOffset>-920750</wp:posOffset>
                </wp:positionH>
                <wp:positionV relativeFrom="paragraph">
                  <wp:posOffset>154305</wp:posOffset>
                </wp:positionV>
                <wp:extent cx="1095375" cy="245110"/>
                <wp:effectExtent l="6033" t="0" r="15557" b="15558"/>
                <wp:wrapNone/>
                <wp:docPr id="4" name="Text Box 4"/>
                <wp:cNvGraphicFramePr/>
                <a:graphic xmlns:a="http://schemas.openxmlformats.org/drawingml/2006/main">
                  <a:graphicData uri="http://schemas.microsoft.com/office/word/2010/wordprocessingShape">
                    <wps:wsp>
                      <wps:cNvSpPr txBox="1"/>
                      <wps:spPr>
                        <a:xfrm rot="16200000">
                          <a:off x="0" y="0"/>
                          <a:ext cx="1095375" cy="2451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2E37EAF" w14:textId="77777777" w:rsidR="004816CE" w:rsidRDefault="004816CE" w:rsidP="004816CE">
                            <w:r>
                              <w:t>ASIDE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28" type="#_x0000_t202" style="position:absolute;left:0;text-align:left;margin-left:-72.45pt;margin-top:12.15pt;width:86.25pt;height:19.3pt;rotation:-90;z-index:2516567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" fillcolor="white [3201]" strokeweight=".5pt">
                <v:textbox>
                  <w:txbxContent>
                    <w:p w14:paraId="72E37EAF" w14:textId="77777777" w:rsidR="004816CE" w:rsidRDefault="004816CE" w:rsidP="004816CE">
                      <w:r>
                        <w:t>ASIDE</w:t>
                      </w:r>
                    </w:p>
                  </w:txbxContent>
                </v:textbox>
              </v:shape>
            </w:pict>
          </mc:Fallback>
        </mc:AlternateContent>
      </w:r>
    </w:p>
    <w:p w14:paraId="446888C8" w14:textId="77777777" w:rsidR="004816CE" w:rsidRPr="004816CE" w:rsidRDefault="004816CE" w:rsidP="004816CE">
      <w:pPr>
        <w:spacing w:line="240" w:lineRule="auto"/>
      </w:pPr>
      <w:r w:rsidRPr="004816CE">
        <w:rPr>
          <w:lang w:val="el-GR"/>
        </w:rPr>
        <w:t xml:space="preserve">πῶς ἐκκλησίας θεοῦ </w:t>
      </w:r>
      <w:r w:rsidRPr="004816CE">
        <w:rPr>
          <w:u w:val="single"/>
          <w:lang w:val="el-GR"/>
        </w:rPr>
        <w:t>ἐπιμελήσεται</w:t>
      </w:r>
      <w:r w:rsidRPr="004816CE">
        <w:rPr>
          <w:lang w:val="el-GR"/>
        </w:rPr>
        <w:t xml:space="preserve">;), </w:t>
      </w:r>
    </w:p>
    <w:p w14:paraId="795435D9" w14:textId="77777777" w:rsidR="004816CE" w:rsidRPr="004816CE" w:rsidRDefault="004816CE" w:rsidP="004816CE">
      <w:pPr>
        <w:spacing w:line="240" w:lineRule="auto"/>
      </w:pPr>
      <w:r w:rsidRPr="004816CE">
        <w:t>how will he care for the church of God?)</w:t>
      </w:r>
      <w:r w:rsidR="000C219D">
        <w:t>,</w:t>
      </w:r>
    </w:p>
    <w:p w14:paraId="2EA2B3D4" w14:textId="77777777" w:rsidR="004816CE" w:rsidRPr="004816CE" w:rsidRDefault="00303DDB" w:rsidP="004816CE">
      <w:pPr>
        <w:spacing w:line="240" w:lineRule="auto"/>
        <w:ind w:left="450"/>
      </w:pPr>
      <w:r>
        <w:rPr>
          <w:b/>
          <w:noProof/>
        </w:rPr>
        <mc:AlternateContent>
          <mc:Choice Requires="wps">
            <w:drawing>
              <wp:anchor distT="0" distB="0" distL="114300" distR="114300" simplePos="0" relativeHeight="251661824" behindDoc="0" locked="0" layoutInCell="1" allowOverlap="1" wp14:anchorId="07644860" wp14:editId="2D394326">
                <wp:simplePos x="0" y="0"/>
                <wp:positionH relativeFrom="column">
                  <wp:posOffset>184150</wp:posOffset>
                </wp:positionH>
                <wp:positionV relativeFrom="paragraph">
                  <wp:posOffset>15875</wp:posOffset>
                </wp:positionV>
                <wp:extent cx="0" cy="543560"/>
                <wp:effectExtent l="0" t="0" r="19050" b="27940"/>
                <wp:wrapNone/>
                <wp:docPr id="9" name="Straight Connector 9"/>
                <wp:cNvGraphicFramePr/>
                <a:graphic xmlns:a="http://schemas.openxmlformats.org/drawingml/2006/main">
                  <a:graphicData uri="http://schemas.microsoft.com/office/word/2010/wordprocessingShape">
                    <wps:wsp>
                      <wps:cNvCnPr/>
                      <wps:spPr>
                        <a:xfrm>
                          <a:off x="0" y="0"/>
                          <a:ext cx="0" cy="5435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9" o:spid="_x0000_s1026" style="position:absolute;z-index:251661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5pt,1.25pt" to="14.5pt,44.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" strokecolor="black [3040]"/>
            </w:pict>
          </mc:Fallback>
        </mc:AlternateContent>
      </w:r>
    </w:p>
    <w:p w14:paraId="32D9985E" w14:textId="77777777" w:rsidR="004816CE" w:rsidRPr="004816CE" w:rsidRDefault="004816CE" w:rsidP="004816CE">
      <w:pPr>
        <w:spacing w:line="240" w:lineRule="auto"/>
        <w:ind w:left="360"/>
      </w:pPr>
      <w:r w:rsidRPr="004816CE">
        <w:rPr>
          <w:b/>
          <w:lang w:val="el-GR"/>
        </w:rPr>
        <w:t xml:space="preserve">6 </w:t>
      </w:r>
      <w:r w:rsidRPr="004816CE">
        <w:rPr>
          <w:lang w:val="el-GR"/>
        </w:rPr>
        <w:t xml:space="preserve">μὴ νεόφυτον, </w:t>
      </w:r>
    </w:p>
    <w:p w14:paraId="60B72B82" w14:textId="77777777" w:rsidR="004816CE" w:rsidRPr="004816CE" w:rsidRDefault="004816CE" w:rsidP="004816CE">
      <w:pPr>
        <w:spacing w:line="240" w:lineRule="auto"/>
        <w:ind w:left="360"/>
      </w:pPr>
      <w:r w:rsidRPr="004816CE">
        <w:t>not a recent convert,</w:t>
      </w:r>
    </w:p>
    <w:p w14:paraId="6E0D0080" w14:textId="77777777" w:rsidR="004816CE" w:rsidRPr="004816CE" w:rsidRDefault="004816CE" w:rsidP="004816CE">
      <w:pPr>
        <w:spacing w:line="240" w:lineRule="auto"/>
        <w:ind w:left="450"/>
      </w:pPr>
    </w:p>
    <w:p w14:paraId="03D92C62" w14:textId="77777777" w:rsidR="004816CE" w:rsidRPr="004816CE" w:rsidRDefault="004816CE" w:rsidP="004816CE">
      <w:pPr>
        <w:spacing w:line="240" w:lineRule="auto"/>
        <w:ind w:left="900"/>
      </w:pPr>
      <w:r w:rsidRPr="004816CE">
        <w:rPr>
          <w:u w:val="single"/>
          <w:lang w:val="el-GR"/>
        </w:rPr>
        <w:t>ἵνα</w:t>
      </w:r>
      <w:r w:rsidRPr="004816CE">
        <w:rPr>
          <w:lang w:val="el-GR"/>
        </w:rPr>
        <w:t xml:space="preserve"> μὴ </w:t>
      </w:r>
      <w:r w:rsidRPr="004816CE">
        <w:rPr>
          <w:u w:val="single"/>
          <w:lang w:val="el-GR"/>
        </w:rPr>
        <w:t xml:space="preserve">τυφωθεὶς </w:t>
      </w:r>
      <w:r w:rsidRPr="004816CE">
        <w:rPr>
          <w:lang w:val="el-GR"/>
        </w:rPr>
        <w:t xml:space="preserve">εἰς κρίμα </w:t>
      </w:r>
      <w:r w:rsidRPr="004816CE">
        <w:rPr>
          <w:u w:val="single"/>
          <w:lang w:val="el-GR"/>
        </w:rPr>
        <w:t>ἐμπέσῃ</w:t>
      </w:r>
      <w:r w:rsidRPr="004816CE">
        <w:rPr>
          <w:lang w:val="el-GR"/>
        </w:rPr>
        <w:t xml:space="preserve"> τοῦ διαβόλου. </w:t>
      </w:r>
    </w:p>
    <w:p w14:paraId="3D886512" w14:textId="77777777" w:rsidR="004816CE" w:rsidRPr="004816CE" w:rsidRDefault="004816CE" w:rsidP="004816CE">
      <w:pPr>
        <w:spacing w:line="240" w:lineRule="auto"/>
        <w:ind w:left="900"/>
      </w:pPr>
      <w:r w:rsidRPr="004816CE">
        <w:t>so that he may not be puffed up and then fal</w:t>
      </w:r>
      <w:r w:rsidR="000C219D">
        <w:t>l into the devil’s condemnation</w:t>
      </w:r>
      <w:r w:rsidR="0093747B">
        <w:t>,</w:t>
      </w:r>
    </w:p>
    <w:p w14:paraId="349A4998" w14:textId="77777777" w:rsidR="004816CE" w:rsidRPr="004816CE" w:rsidRDefault="004816CE" w:rsidP="004816CE">
      <w:pPr>
        <w:spacing w:line="240" w:lineRule="auto"/>
      </w:pPr>
    </w:p>
    <w:p w14:paraId="1E060ED5" w14:textId="77777777" w:rsidR="004816CE" w:rsidRPr="004816CE" w:rsidRDefault="004816CE" w:rsidP="004816CE">
      <w:pPr>
        <w:spacing w:line="240" w:lineRule="auto"/>
      </w:pPr>
      <w:r w:rsidRPr="004816CE">
        <w:rPr>
          <w:noProof/>
        </w:rPr>
        <mc:AlternateContent>
          <mc:Choice Requires="wps">
            <w:drawing>
              <wp:anchor distT="0" distB="0" distL="114300" distR="114300" simplePos="0" relativeHeight="251654656" behindDoc="0" locked="0" layoutInCell="1" allowOverlap="1" wp14:anchorId="08D1CC18" wp14:editId="738F6C8A">
                <wp:simplePos x="0" y="0"/>
                <wp:positionH relativeFrom="column">
                  <wp:posOffset>-283210</wp:posOffset>
                </wp:positionH>
                <wp:positionV relativeFrom="paragraph">
                  <wp:posOffset>23495</wp:posOffset>
                </wp:positionV>
                <wp:extent cx="230505" cy="893445"/>
                <wp:effectExtent l="0" t="0" r="17145" b="20955"/>
                <wp:wrapNone/>
                <wp:docPr id="3" name="Left Brace 3"/>
                <wp:cNvGraphicFramePr/>
                <a:graphic xmlns:a="http://schemas.openxmlformats.org/drawingml/2006/main">
                  <a:graphicData uri="http://schemas.microsoft.com/office/word/2010/wordprocessingShape">
                    <wps:wsp>
                      <wps:cNvSpPr/>
                      <wps:spPr>
                        <a:xfrm>
                          <a:off x="0" y="0"/>
                          <a:ext cx="230505" cy="893445"/>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Left Brace 3" o:spid="_x0000_s1026" type="#_x0000_t87" style="position:absolute;margin-left:-22.25pt;margin-top:1.85pt;width:18.15pt;height:70.3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" adj="464" strokecolor="black [3040]"/>
            </w:pict>
          </mc:Fallback>
        </mc:AlternateContent>
      </w:r>
      <w:r w:rsidRPr="004816CE">
        <w:rPr>
          <w:b/>
          <w:lang w:val="el-GR"/>
        </w:rPr>
        <w:t xml:space="preserve">7 </w:t>
      </w:r>
      <w:r w:rsidRPr="004816CE">
        <w:rPr>
          <w:u w:val="single"/>
          <w:lang w:val="el-GR"/>
        </w:rPr>
        <w:t>δεῖ</w:t>
      </w:r>
      <w:r w:rsidRPr="004816CE">
        <w:rPr>
          <w:lang w:val="el-GR"/>
        </w:rPr>
        <w:t xml:space="preserve"> δὲ καὶ μαρτυρίαν καλὴν </w:t>
      </w:r>
      <w:r w:rsidRPr="004816CE">
        <w:rPr>
          <w:u w:val="single"/>
          <w:lang w:val="el-GR"/>
        </w:rPr>
        <w:t>ἔχειν</w:t>
      </w:r>
      <w:r w:rsidRPr="004816CE">
        <w:rPr>
          <w:lang w:val="el-GR"/>
        </w:rPr>
        <w:t xml:space="preserve"> ἀπὸ τῶν ἔξωθεν, </w:t>
      </w:r>
    </w:p>
    <w:p w14:paraId="6973C736" w14:textId="77777777" w:rsidR="004816CE" w:rsidRPr="004816CE" w:rsidRDefault="000C219D" w:rsidP="004816CE">
      <w:pPr>
        <w:spacing w:line="240" w:lineRule="auto"/>
      </w:pPr>
      <w:r>
        <w:t>(b</w:t>
      </w:r>
      <w:r w:rsidR="004816CE" w:rsidRPr="004816CE">
        <w:t>ut he must also possess a confirmation of good character from those on the outside,</w:t>
      </w:r>
    </w:p>
    <w:p w14:paraId="19AE478C" w14:textId="77777777" w:rsidR="004816CE" w:rsidRPr="004816CE" w:rsidRDefault="004816CE" w:rsidP="004816CE">
      <w:pPr>
        <w:spacing w:line="240" w:lineRule="auto"/>
      </w:pPr>
      <w:r>
        <w:rPr>
          <w:noProof/>
        </w:rPr>
        <mc:AlternateContent>
          <mc:Choice Requires="wps">
            <w:drawing>
              <wp:anchor distT="0" distB="0" distL="114300" distR="114300" simplePos="0" relativeHeight="251655680" behindDoc="0" locked="0" layoutInCell="1" allowOverlap="1" wp14:anchorId="6043D055" wp14:editId="249C43CB">
                <wp:simplePos x="0" y="0"/>
                <wp:positionH relativeFrom="column">
                  <wp:posOffset>-918522</wp:posOffset>
                </wp:positionH>
                <wp:positionV relativeFrom="paragraph">
                  <wp:posOffset>143634</wp:posOffset>
                </wp:positionV>
                <wp:extent cx="1095375" cy="245110"/>
                <wp:effectExtent l="6033" t="0" r="15557" b="15558"/>
                <wp:wrapNone/>
                <wp:docPr id="2" name="Text Box 2"/>
                <wp:cNvGraphicFramePr/>
                <a:graphic xmlns:a="http://schemas.openxmlformats.org/drawingml/2006/main">
                  <a:graphicData uri="http://schemas.microsoft.com/office/word/2010/wordprocessingShape">
                    <wps:wsp>
                      <wps:cNvSpPr txBox="1"/>
                      <wps:spPr>
                        <a:xfrm rot="16200000">
                          <a:off x="0" y="0"/>
                          <a:ext cx="1095375" cy="2451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339E16B" w14:textId="77777777" w:rsidR="004816CE" w:rsidRDefault="004816CE">
                            <w:r>
                              <w:t>ASIDE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29" type="#_x0000_t202" style="position:absolute;left:0;text-align:left;margin-left:-72.25pt;margin-top:11.3pt;width:86.25pt;height:19.3pt;rotation:-90;z-index:2516556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" fillcolor="white [3201]" strokeweight=".5pt">
                <v:textbox>
                  <w:txbxContent>
                    <w:p w14:paraId="7339E16B" w14:textId="77777777" w:rsidR="004816CE" w:rsidRDefault="004816CE">
                      <w:r>
                        <w:t>ASIDE</w:t>
                      </w:r>
                    </w:p>
                  </w:txbxContent>
                </v:textbox>
              </v:shape>
            </w:pict>
          </mc:Fallback>
        </mc:AlternateContent>
      </w:r>
    </w:p>
    <w:p w14:paraId="4DFB9309" w14:textId="77777777" w:rsidR="004816CE" w:rsidRPr="004816CE" w:rsidRDefault="004816CE" w:rsidP="004816CE">
      <w:pPr>
        <w:spacing w:line="240" w:lineRule="auto"/>
        <w:ind w:left="450"/>
      </w:pPr>
      <w:r w:rsidRPr="004816CE">
        <w:rPr>
          <w:u w:val="single"/>
          <w:lang w:val="el-GR"/>
        </w:rPr>
        <w:t>ἵνα</w:t>
      </w:r>
      <w:r w:rsidRPr="004816CE">
        <w:rPr>
          <w:lang w:val="el-GR"/>
        </w:rPr>
        <w:t xml:space="preserve"> μὴ εἰς ὀνειδισμὸν </w:t>
      </w:r>
      <w:r w:rsidRPr="004816CE">
        <w:rPr>
          <w:u w:val="single"/>
          <w:lang w:val="el-GR"/>
        </w:rPr>
        <w:t>ἐμπέσῃ</w:t>
      </w:r>
      <w:r w:rsidRPr="004816CE">
        <w:rPr>
          <w:lang w:val="el-GR"/>
        </w:rPr>
        <w:t xml:space="preserve"> καὶ παγίδα τοῦ διαβόλου. </w:t>
      </w:r>
    </w:p>
    <w:p w14:paraId="47449D8E" w14:textId="77777777" w:rsidR="004816CE" w:rsidRPr="004816CE" w:rsidRDefault="004816CE" w:rsidP="004816CE">
      <w:pPr>
        <w:spacing w:line="240" w:lineRule="auto"/>
        <w:ind w:left="450"/>
      </w:pPr>
      <w:r w:rsidRPr="004816CE">
        <w:t>so that he may not fall into disgrace, also a snare of the devil.)</w:t>
      </w:r>
    </w:p>
    <w:p w14:paraId="2E5D2FE5" w14:textId="77777777" w:rsidR="004816CE" w:rsidRDefault="004816CE" w:rsidP="004816CE">
      <w:pPr>
        <w:pStyle w:val="Bibliography"/>
        <w:ind w:left="0" w:firstLine="0"/>
      </w:pPr>
    </w:p>
    <w:p w14:paraId="48033FD4" w14:textId="77777777" w:rsidR="004816CE" w:rsidRDefault="004816CE" w:rsidP="004816CE">
      <w:pPr>
        <w:pStyle w:val="Bibliography"/>
        <w:ind w:left="0" w:firstLine="0"/>
      </w:pPr>
    </w:p>
    <w:p w14:paraId="3FB4877A" w14:textId="77777777" w:rsidR="004816CE" w:rsidRPr="00040310" w:rsidRDefault="004816CE" w:rsidP="004816CE">
      <w:pPr>
        <w:pStyle w:val="Bibliography"/>
        <w:ind w:left="0" w:firstLine="0"/>
        <w:sectPr w:rsidR="004816CE" w:rsidRPr="00040310" w:rsidSect="00894482">
          <w:headerReference w:type="first" r:id="rId15"/>
          <w:footerReference w:type="first" r:id="rId16"/>
          <w:pgSz w:w="12240" w:h="15840" w:code="1"/>
          <w:pgMar w:top="1440" w:right="1440" w:bottom="1440" w:left="1440" w:header="1008" w:footer="771" w:gutter="0"/>
          <w:cols w:space="720"/>
          <w:titlePg/>
          <w:docGrid w:linePitch="360"/>
        </w:sectPr>
      </w:pPr>
    </w:p>
    <w:p w14:paraId="0BBE1689" w14:textId="77777777" w:rsidR="002731FD" w:rsidRPr="0071163B" w:rsidRDefault="002731FD" w:rsidP="00894482">
      <w:pPr>
        <w:pStyle w:val="BIBLIOGRAPHYHEADING"/>
        <w:spacing w:before="1120" w:after="480"/>
        <w:ind w:firstLine="0"/>
      </w:pPr>
      <w:bookmarkStart w:id="1" w:name="_Toc147129716"/>
      <w:bookmarkStart w:id="2" w:name="_Toc252366229"/>
      <w:r w:rsidRPr="0071163B">
        <w:lastRenderedPageBreak/>
        <w:t>Bibliography</w:t>
      </w:r>
      <w:bookmarkEnd w:id="1"/>
      <w:bookmarkEnd w:id="2"/>
    </w:p>
    <w:p w14:paraId="167336A0" w14:textId="77777777" w:rsidR="001C1AAE" w:rsidRPr="0071163B" w:rsidRDefault="001C1AAE" w:rsidP="00894482">
      <w:pPr>
        <w:pStyle w:val="Bibliography"/>
      </w:pPr>
      <w:r w:rsidRPr="0071163B">
        <w:t>Brooks, James A.,</w:t>
      </w:r>
      <w:r w:rsidR="000B025B">
        <w:t xml:space="preserve"> and</w:t>
      </w:r>
      <w:r w:rsidRPr="0071163B">
        <w:t xml:space="preserve"> Carlton L. Winbery. </w:t>
      </w:r>
      <w:r w:rsidRPr="0071163B">
        <w:rPr>
          <w:i/>
        </w:rPr>
        <w:t>Syntax of New Testament Greek</w:t>
      </w:r>
      <w:r w:rsidRPr="0071163B">
        <w:t>. Lanham, MD: University Press of America, 1979.</w:t>
      </w:r>
    </w:p>
    <w:p w14:paraId="5D035C15" w14:textId="77777777" w:rsidR="006B6880" w:rsidRPr="0071163B" w:rsidRDefault="008D5B77" w:rsidP="001B3DA2">
      <w:pPr>
        <w:pStyle w:val="Bibliography"/>
        <w:spacing w:before="100" w:beforeAutospacing="1"/>
      </w:pPr>
      <w:proofErr w:type="gramStart"/>
      <w:r w:rsidRPr="0071163B">
        <w:t>Knight, George W., III</w:t>
      </w:r>
      <w:r w:rsidR="009D1AFE" w:rsidRPr="0071163B">
        <w:t>.</w:t>
      </w:r>
      <w:proofErr w:type="gramEnd"/>
      <w:r w:rsidRPr="0071163B">
        <w:t xml:space="preserve"> </w:t>
      </w:r>
      <w:r w:rsidRPr="0071163B">
        <w:rPr>
          <w:i/>
        </w:rPr>
        <w:t>The Pastoral Epistles</w:t>
      </w:r>
      <w:r w:rsidRPr="0071163B">
        <w:t>. New International Greek Testament Commentary. Grand Rapids: William B. Eerdmans, 1992.</w:t>
      </w:r>
    </w:p>
    <w:p w14:paraId="64F0882A" w14:textId="77777777" w:rsidR="009D1AFE" w:rsidRPr="0071163B" w:rsidRDefault="009D1AFE" w:rsidP="001B3DA2">
      <w:pPr>
        <w:pStyle w:val="Bibliography"/>
        <w:spacing w:before="100" w:beforeAutospacing="1"/>
      </w:pPr>
      <w:r w:rsidRPr="0071163B">
        <w:t xml:space="preserve">Liefeld, Walter L. </w:t>
      </w:r>
      <w:r w:rsidRPr="0071163B">
        <w:rPr>
          <w:i/>
        </w:rPr>
        <w:t>1 &amp; 2 Timothy, Titus</w:t>
      </w:r>
      <w:r w:rsidRPr="0071163B">
        <w:t>. The NIV Application Commentary. Grand Rapids: Zondervan, 1999.</w:t>
      </w:r>
    </w:p>
    <w:p w14:paraId="7AA49ABB" w14:textId="77777777" w:rsidR="001B3DA2" w:rsidRPr="0071163B" w:rsidRDefault="001B3DA2" w:rsidP="001B3DA2">
      <w:pPr>
        <w:pStyle w:val="Bibliography"/>
        <w:spacing w:before="100" w:beforeAutospacing="1"/>
      </w:pPr>
      <w:r w:rsidRPr="0071163B">
        <w:t xml:space="preserve">Marshall, I. Howard. </w:t>
      </w:r>
      <w:r w:rsidRPr="0071163B">
        <w:rPr>
          <w:i/>
        </w:rPr>
        <w:t>The Pastoral Epistles</w:t>
      </w:r>
      <w:r w:rsidRPr="0071163B">
        <w:t>. International Critical Commentary. Edinburgh: T&amp;T Clark, 1999.</w:t>
      </w:r>
    </w:p>
    <w:p w14:paraId="17D0F238" w14:textId="77777777" w:rsidR="00FB345D" w:rsidRPr="0071163B" w:rsidRDefault="00FB345D" w:rsidP="001B3DA2">
      <w:pPr>
        <w:pStyle w:val="Bibliography"/>
        <w:spacing w:before="100" w:beforeAutospacing="1"/>
      </w:pPr>
      <w:r w:rsidRPr="0071163B">
        <w:t xml:space="preserve">Metzger, Bruce Manning. </w:t>
      </w:r>
      <w:r w:rsidRPr="0071163B">
        <w:rPr>
          <w:i/>
        </w:rPr>
        <w:t>A Textual Commentary on the Greek New Testament</w:t>
      </w:r>
      <w:r w:rsidRPr="0071163B">
        <w:t>, 2</w:t>
      </w:r>
      <w:r w:rsidRPr="0071163B">
        <w:rPr>
          <w:vertAlign w:val="superscript"/>
        </w:rPr>
        <w:t>nd</w:t>
      </w:r>
      <w:r w:rsidRPr="0071163B">
        <w:rPr>
          <w:i/>
        </w:rPr>
        <w:t xml:space="preserve"> </w:t>
      </w:r>
      <w:r w:rsidRPr="0071163B">
        <w:t>ed. New York: United Bible Societies, 1</w:t>
      </w:r>
      <w:bookmarkStart w:id="3" w:name="_GoBack"/>
      <w:bookmarkEnd w:id="3"/>
      <w:r w:rsidRPr="0071163B">
        <w:t>994.</w:t>
      </w:r>
    </w:p>
    <w:p w14:paraId="45E9129A" w14:textId="77777777" w:rsidR="005C2B48" w:rsidRPr="0071163B" w:rsidRDefault="005C2B48" w:rsidP="001B3DA2">
      <w:pPr>
        <w:pStyle w:val="Bibliography"/>
        <w:spacing w:before="100" w:beforeAutospacing="1"/>
      </w:pPr>
      <w:r w:rsidRPr="0071163B">
        <w:t xml:space="preserve">Montague, George T. </w:t>
      </w:r>
      <w:r w:rsidRPr="0071163B">
        <w:rPr>
          <w:i/>
        </w:rPr>
        <w:t>First and Second Timothy, Titus</w:t>
      </w:r>
      <w:r w:rsidRPr="0071163B">
        <w:t>. Catholic Commentary on Sacred Scripture. Grand Rapids: Baker Academic, 2008.</w:t>
      </w:r>
    </w:p>
    <w:p w14:paraId="197B89FF" w14:textId="77777777" w:rsidR="001B3DA2" w:rsidRPr="0071163B" w:rsidRDefault="004370BD" w:rsidP="001B3DA2">
      <w:pPr>
        <w:pStyle w:val="Bibliography"/>
        <w:spacing w:before="100" w:beforeAutospacing="1"/>
      </w:pPr>
      <w:r w:rsidRPr="0071163B">
        <w:t xml:space="preserve">Mounce, William D. </w:t>
      </w:r>
      <w:r w:rsidRPr="0071163B">
        <w:rPr>
          <w:i/>
        </w:rPr>
        <w:t>Pastoral Epistles</w:t>
      </w:r>
      <w:r w:rsidR="007A4974" w:rsidRPr="0071163B">
        <w:t xml:space="preserve">. Word Biblical Commentary, vol. 46. </w:t>
      </w:r>
      <w:r w:rsidR="001B3DA2" w:rsidRPr="0071163B">
        <w:t>Nashville</w:t>
      </w:r>
      <w:r w:rsidR="007A4974" w:rsidRPr="0071163B">
        <w:t>: Thomas Nelson Publishers, 2000.</w:t>
      </w:r>
    </w:p>
    <w:p w14:paraId="3369AC44" w14:textId="77777777" w:rsidR="00A8320C" w:rsidRPr="0071163B" w:rsidRDefault="00A8320C" w:rsidP="001B3DA2">
      <w:pPr>
        <w:pStyle w:val="Bibliography"/>
        <w:spacing w:before="100" w:beforeAutospacing="1"/>
      </w:pPr>
      <w:r w:rsidRPr="0071163B">
        <w:t xml:space="preserve">Saarinen, Risto. </w:t>
      </w:r>
      <w:r w:rsidRPr="0071163B">
        <w:rPr>
          <w:i/>
        </w:rPr>
        <w:t>The Pastoral Epistles with Philemon &amp; Jude</w:t>
      </w:r>
      <w:r w:rsidRPr="0071163B">
        <w:t>. Brazos Theological Commentary on the Bible. Grand Rapids: Brazos Press, 2008.</w:t>
      </w:r>
    </w:p>
    <w:p w14:paraId="7802821E" w14:textId="77777777" w:rsidR="005F33F3" w:rsidRDefault="001B3DA2" w:rsidP="00AC58FA">
      <w:pPr>
        <w:pStyle w:val="Bibliography"/>
        <w:spacing w:before="100" w:beforeAutospacing="1"/>
      </w:pPr>
      <w:r w:rsidRPr="0071163B">
        <w:t xml:space="preserve">Towner, Philip H. </w:t>
      </w:r>
      <w:r w:rsidRPr="0071163B">
        <w:rPr>
          <w:i/>
        </w:rPr>
        <w:t>1-2 Timothy &amp; Titus</w:t>
      </w:r>
      <w:r w:rsidRPr="0071163B">
        <w:t>. IVP New Testament Commentary Series. Downers Grove, IL: InterVarsity, 1994</w:t>
      </w:r>
      <w:r w:rsidR="00AC58FA" w:rsidRPr="0071163B">
        <w:t>.</w:t>
      </w:r>
    </w:p>
    <w:p w14:paraId="1346BBCD" w14:textId="77777777" w:rsidR="00002752" w:rsidRPr="0071163B" w:rsidRDefault="00F73286" w:rsidP="00AC58FA">
      <w:pPr>
        <w:pStyle w:val="Bibliography"/>
        <w:spacing w:before="100" w:beforeAutospacing="1"/>
      </w:pPr>
      <w:r>
        <w:t xml:space="preserve">________. </w:t>
      </w:r>
      <w:r w:rsidR="005F33F3" w:rsidRPr="0071163B">
        <w:rPr>
          <w:i/>
        </w:rPr>
        <w:t>The Letters to Timothy and Titus</w:t>
      </w:r>
      <w:r w:rsidR="005F33F3" w:rsidRPr="0071163B">
        <w:t>. New International Commentary on the New Testament. Grand Rapids: William B. Eerdmans, 2006.</w:t>
      </w:r>
    </w:p>
    <w:p w14:paraId="1B9F678A" w14:textId="77777777" w:rsidR="00E9003F" w:rsidRPr="0071163B" w:rsidRDefault="00002752" w:rsidP="00AC58FA">
      <w:pPr>
        <w:pStyle w:val="Bibliography"/>
        <w:spacing w:before="100" w:beforeAutospacing="1"/>
      </w:pPr>
      <w:r w:rsidRPr="0071163B">
        <w:t xml:space="preserve">Utley, Robert James. </w:t>
      </w:r>
      <w:r w:rsidRPr="0071163B">
        <w:rPr>
          <w:i/>
        </w:rPr>
        <w:t>Paul’s Fourth Missionary Journey</w:t>
      </w:r>
      <w:r w:rsidRPr="0071163B">
        <w:t>. Study Guide Commentary Series. Marshall, TX: Bible Lessons International, 2000.</w:t>
      </w:r>
    </w:p>
    <w:p w14:paraId="4D53D839" w14:textId="77777777" w:rsidR="009C36F7" w:rsidRPr="0071163B" w:rsidRDefault="00E9003F" w:rsidP="00AC58FA">
      <w:pPr>
        <w:pStyle w:val="Bibliography"/>
        <w:spacing w:before="100" w:beforeAutospacing="1"/>
      </w:pPr>
      <w:r w:rsidRPr="0071163B">
        <w:t xml:space="preserve">Wallace, Daniel B. </w:t>
      </w:r>
      <w:r w:rsidRPr="0071163B">
        <w:rPr>
          <w:i/>
        </w:rPr>
        <w:t>Greek Grammar: Beyond the Basics</w:t>
      </w:r>
      <w:r w:rsidRPr="0071163B">
        <w:t>. Grand Rapids: Zondervan, 1996.</w:t>
      </w:r>
      <w:r w:rsidR="006258E0" w:rsidRPr="0071163B">
        <w:fldChar w:fldCharType="begin"/>
      </w:r>
      <w:r w:rsidR="006258E0" w:rsidRPr="0071163B">
        <w:instrText xml:space="preserve"> ADDIN EN.REFLIST </w:instrText>
      </w:r>
      <w:r w:rsidR="006258E0" w:rsidRPr="0071163B">
        <w:fldChar w:fldCharType="end"/>
      </w:r>
    </w:p>
    <w:sectPr w:rsidR="009C36F7" w:rsidRPr="0071163B" w:rsidSect="00894482">
      <w:pgSz w:w="12240" w:h="15840" w:code="1"/>
      <w:pgMar w:top="1440" w:right="1440" w:bottom="1440" w:left="1440" w:header="1008" w:footer="762"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68550C" w14:textId="77777777" w:rsidR="00F36D9A" w:rsidRDefault="00F36D9A">
      <w:r>
        <w:separator/>
      </w:r>
    </w:p>
  </w:endnote>
  <w:endnote w:type="continuationSeparator" w:id="0">
    <w:p w14:paraId="227438AA" w14:textId="77777777" w:rsidR="00F36D9A" w:rsidRDefault="00F36D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95808" w14:textId="77777777" w:rsidR="00ED436A" w:rsidRDefault="00AF6DC4" w:rsidP="00943C0E">
    <w:pPr>
      <w:pStyle w:val="Footer"/>
      <w:framePr w:wrap="around" w:vAnchor="text" w:hAnchor="margin" w:xAlign="center" w:y="1"/>
      <w:rPr>
        <w:rStyle w:val="PageNumber"/>
      </w:rPr>
    </w:pPr>
    <w:r>
      <w:rPr>
        <w:rStyle w:val="PageNumber"/>
      </w:rPr>
      <w:fldChar w:fldCharType="begin"/>
    </w:r>
    <w:r w:rsidR="00ED436A">
      <w:rPr>
        <w:rStyle w:val="PageNumber"/>
      </w:rPr>
      <w:instrText xml:space="preserve">PAGE  </w:instrText>
    </w:r>
    <w:r>
      <w:rPr>
        <w:rStyle w:val="PageNumber"/>
      </w:rPr>
      <w:fldChar w:fldCharType="separate"/>
    </w:r>
    <w:r w:rsidR="00ED436A">
      <w:rPr>
        <w:rStyle w:val="PageNumber"/>
        <w:noProof/>
      </w:rPr>
      <w:t>1</w:t>
    </w:r>
    <w:r>
      <w:rPr>
        <w:rStyle w:val="PageNumber"/>
      </w:rPr>
      <w:fldChar w:fldCharType="end"/>
    </w:r>
  </w:p>
  <w:p w14:paraId="3802FA08" w14:textId="77777777" w:rsidR="00ED436A" w:rsidRDefault="00ED436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995FA9" w14:textId="77777777" w:rsidR="00ED436A" w:rsidRDefault="00ED436A" w:rsidP="000A359F">
    <w:pPr>
      <w:pStyle w:val="Footer"/>
      <w:jc w:val="cen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3EE2A2" w14:textId="77777777" w:rsidR="000610C1" w:rsidRPr="006D4AC5" w:rsidRDefault="000610C1" w:rsidP="009F2408">
    <w:pPr>
      <w:pStyle w:val="Footer"/>
      <w:spacing w:line="240" w:lineRule="exact"/>
      <w:jc w:val="center"/>
    </w:pPr>
    <w:r>
      <w:rPr>
        <w:rStyle w:val="PageNumber"/>
      </w:rPr>
      <w:fldChar w:fldCharType="begin"/>
    </w:r>
    <w:r>
      <w:rPr>
        <w:rStyle w:val="PageNumber"/>
      </w:rPr>
      <w:instrText xml:space="preserve"> PAGE </w:instrText>
    </w:r>
    <w:r>
      <w:rPr>
        <w:rStyle w:val="PageNumber"/>
      </w:rPr>
      <w:fldChar w:fldCharType="separate"/>
    </w:r>
    <w:r w:rsidR="00894482">
      <w:rPr>
        <w:rStyle w:val="PageNumber"/>
        <w:noProof/>
      </w:rPr>
      <w:t>1</w:t>
    </w:r>
    <w:r>
      <w:rPr>
        <w:rStyle w:val="PageNumber"/>
      </w:rP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736A77" w14:textId="77777777" w:rsidR="00ED436A" w:rsidRPr="006D4AC5" w:rsidRDefault="00AF6DC4" w:rsidP="009F2408">
    <w:pPr>
      <w:pStyle w:val="Footer"/>
      <w:spacing w:line="240" w:lineRule="exact"/>
      <w:jc w:val="center"/>
    </w:pPr>
    <w:r>
      <w:rPr>
        <w:rStyle w:val="PageNumber"/>
      </w:rPr>
      <w:fldChar w:fldCharType="begin"/>
    </w:r>
    <w:r w:rsidR="00ED436A">
      <w:rPr>
        <w:rStyle w:val="PageNumber"/>
      </w:rPr>
      <w:instrText xml:space="preserve"> PAGE </w:instrText>
    </w:r>
    <w:r>
      <w:rPr>
        <w:rStyle w:val="PageNumber"/>
      </w:rPr>
      <w:fldChar w:fldCharType="separate"/>
    </w:r>
    <w:r w:rsidR="00894482">
      <w:rPr>
        <w:rStyle w:val="PageNumber"/>
        <w:noProof/>
      </w:rPr>
      <w:t>19</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E18057" w14:textId="77777777" w:rsidR="00F36D9A" w:rsidRDefault="00F36D9A">
      <w:r>
        <w:separator/>
      </w:r>
    </w:p>
  </w:footnote>
  <w:footnote w:type="continuationSeparator" w:id="0">
    <w:p w14:paraId="14CB4BDF" w14:textId="77777777" w:rsidR="00F36D9A" w:rsidRPr="002731FD" w:rsidRDefault="00F36D9A" w:rsidP="009F2408">
      <w:r>
        <w:separator/>
      </w:r>
    </w:p>
  </w:footnote>
  <w:footnote w:id="1">
    <w:p w14:paraId="08F25240" w14:textId="77777777" w:rsidR="000A3017" w:rsidRPr="008C7B57" w:rsidRDefault="000A3017">
      <w:pPr>
        <w:pStyle w:val="FootnoteText"/>
      </w:pPr>
      <w:r w:rsidRPr="008C7B57">
        <w:rPr>
          <w:rStyle w:val="FootnoteReference"/>
        </w:rPr>
        <w:footnoteRef/>
      </w:r>
      <w:r w:rsidR="00D42582" w:rsidRPr="008C7B57">
        <w:t xml:space="preserve">This concern is </w:t>
      </w:r>
      <w:r w:rsidR="00C03C1E" w:rsidRPr="008C7B57">
        <w:t xml:space="preserve">among </w:t>
      </w:r>
      <w:r w:rsidRPr="008C7B57">
        <w:t xml:space="preserve">teetotalers because the passage does not </w:t>
      </w:r>
      <w:r w:rsidR="00D42582" w:rsidRPr="008C7B57">
        <w:t>condemn alcohol outright.</w:t>
      </w:r>
    </w:p>
  </w:footnote>
  <w:footnote w:id="2">
    <w:p w14:paraId="534A085D" w14:textId="77777777" w:rsidR="000A061C" w:rsidRPr="008C7B57" w:rsidRDefault="000A061C" w:rsidP="000A061C">
      <w:pPr>
        <w:pStyle w:val="FootnoteText"/>
      </w:pPr>
      <w:r w:rsidRPr="008C7B57">
        <w:rPr>
          <w:rStyle w:val="FootnoteReference"/>
        </w:rPr>
        <w:footnoteRef/>
      </w:r>
      <w:r w:rsidR="00D3540B" w:rsidRPr="005508ED">
        <w:t>I. Howard</w:t>
      </w:r>
      <w:r w:rsidR="00D3540B">
        <w:t xml:space="preserve"> </w:t>
      </w:r>
      <w:r w:rsidR="00D3540B" w:rsidRPr="005508ED">
        <w:t xml:space="preserve">Marshall, </w:t>
      </w:r>
      <w:r w:rsidR="00D3540B" w:rsidRPr="005508ED">
        <w:rPr>
          <w:i/>
        </w:rPr>
        <w:t>The Pastoral Epistles</w:t>
      </w:r>
      <w:r w:rsidR="00D3540B">
        <w:rPr>
          <w:i/>
        </w:rPr>
        <w:t>,</w:t>
      </w:r>
      <w:r w:rsidR="00D3540B" w:rsidRPr="005508ED">
        <w:t xml:space="preserve"> Int</w:t>
      </w:r>
      <w:r w:rsidR="00D3540B">
        <w:t>ernational Critical Commentary (</w:t>
      </w:r>
      <w:r w:rsidR="00D3540B" w:rsidRPr="005508ED">
        <w:t>Edinburgh: T&amp;T Clark, 1999</w:t>
      </w:r>
      <w:r w:rsidR="00D3540B">
        <w:t xml:space="preserve">), </w:t>
      </w:r>
      <w:r w:rsidRPr="008C7B57">
        <w:t>92</w:t>
      </w:r>
      <w:r w:rsidR="00D3540B">
        <w:t>.</w:t>
      </w:r>
    </w:p>
  </w:footnote>
  <w:footnote w:id="3">
    <w:p w14:paraId="5A2FAA94" w14:textId="77777777" w:rsidR="000A061C" w:rsidRPr="008C7B57" w:rsidRDefault="000A061C" w:rsidP="000A061C">
      <w:pPr>
        <w:pStyle w:val="FootnoteText"/>
      </w:pPr>
      <w:r w:rsidRPr="008C7B57">
        <w:rPr>
          <w:rStyle w:val="FootnoteReference"/>
        </w:rPr>
        <w:footnoteRef/>
      </w:r>
      <w:r w:rsidR="00E344D0">
        <w:t xml:space="preserve">Marshall, </w:t>
      </w:r>
      <w:r w:rsidR="00E344D0">
        <w:rPr>
          <w:i/>
        </w:rPr>
        <w:t>The Pastoral Epistles</w:t>
      </w:r>
      <w:r w:rsidR="00E344D0">
        <w:t xml:space="preserve">, </w:t>
      </w:r>
      <w:r w:rsidRPr="008C7B57">
        <w:t xml:space="preserve">57-58. Marshall is helpful, however, in listing 20 reputable scholars who are pro-Pauline authorship (including, Spicq, Fee, Knight, Towner, Stott, and E. E. Ellis). Additionally, my limited research has hinted that the majority opinion among </w:t>
      </w:r>
      <w:r w:rsidRPr="008C7B57">
        <w:rPr>
          <w:i/>
        </w:rPr>
        <w:t>evangelicals</w:t>
      </w:r>
      <w:r w:rsidR="00E344D0">
        <w:t xml:space="preserve"> is pro-Pauline </w:t>
      </w:r>
      <w:r w:rsidRPr="008C7B57">
        <w:t>(consider also Mounce and Liefeld).</w:t>
      </w:r>
    </w:p>
  </w:footnote>
  <w:footnote w:id="4">
    <w:p w14:paraId="71AFE4F3" w14:textId="77777777" w:rsidR="00D453BF" w:rsidRPr="008C7B57" w:rsidRDefault="00D453BF">
      <w:pPr>
        <w:pStyle w:val="FootnoteText"/>
      </w:pPr>
      <w:r w:rsidRPr="008C7B57">
        <w:rPr>
          <w:rStyle w:val="FootnoteReference"/>
        </w:rPr>
        <w:footnoteRef/>
      </w:r>
      <w:r w:rsidR="00603D05">
        <w:t xml:space="preserve">Marshall, </w:t>
      </w:r>
      <w:r w:rsidR="00603D05">
        <w:rPr>
          <w:i/>
        </w:rPr>
        <w:t>The Pastoral Epistles</w:t>
      </w:r>
      <w:r w:rsidR="00603D05">
        <w:t xml:space="preserve">, </w:t>
      </w:r>
      <w:r w:rsidRPr="008C7B57">
        <w:t>58-59</w:t>
      </w:r>
      <w:r w:rsidR="00411F3E">
        <w:t>.</w:t>
      </w:r>
    </w:p>
  </w:footnote>
  <w:footnote w:id="5">
    <w:p w14:paraId="03EF41C8" w14:textId="77777777" w:rsidR="00D453BF" w:rsidRPr="008C7B57" w:rsidRDefault="00D453BF">
      <w:pPr>
        <w:pStyle w:val="FootnoteText"/>
      </w:pPr>
      <w:r w:rsidRPr="008C7B57">
        <w:rPr>
          <w:rStyle w:val="FootnoteReference"/>
        </w:rPr>
        <w:footnoteRef/>
      </w:r>
      <w:r w:rsidR="00603D05">
        <w:t xml:space="preserve">Marshall, </w:t>
      </w:r>
      <w:r w:rsidR="00603D05">
        <w:rPr>
          <w:i/>
        </w:rPr>
        <w:t>The Pastoral Epistles</w:t>
      </w:r>
      <w:r w:rsidR="00603D05">
        <w:t xml:space="preserve">, </w:t>
      </w:r>
      <w:r w:rsidRPr="008C7B57">
        <w:t>79</w:t>
      </w:r>
      <w:r w:rsidR="0086760F" w:rsidRPr="008C7B57">
        <w:t xml:space="preserve">. </w:t>
      </w:r>
      <w:r w:rsidR="006B63BB">
        <w:t xml:space="preserve">For </w:t>
      </w:r>
      <w:r w:rsidR="0086760F" w:rsidRPr="008C7B57">
        <w:t>non-Pauline scholars</w:t>
      </w:r>
      <w:r w:rsidR="006B63BB">
        <w:t>, the timeline for the estimated writing of the PE</w:t>
      </w:r>
      <w:r w:rsidR="0086760F" w:rsidRPr="008C7B57">
        <w:t xml:space="preserve"> </w:t>
      </w:r>
      <w:r w:rsidR="006B63BB">
        <w:t xml:space="preserve">fits within </w:t>
      </w:r>
      <w:r w:rsidR="0086760F" w:rsidRPr="008C7B57">
        <w:t>the life of Paul.</w:t>
      </w:r>
    </w:p>
  </w:footnote>
  <w:footnote w:id="6">
    <w:p w14:paraId="0CBB40BE" w14:textId="77777777" w:rsidR="00044210" w:rsidRPr="008C7B57" w:rsidRDefault="00044210">
      <w:pPr>
        <w:pStyle w:val="FootnoteText"/>
      </w:pPr>
      <w:r w:rsidRPr="008C7B57">
        <w:rPr>
          <w:rStyle w:val="FootnoteReference"/>
        </w:rPr>
        <w:footnoteRef/>
      </w:r>
      <w:r w:rsidR="00603D05">
        <w:t xml:space="preserve">cf. </w:t>
      </w:r>
      <w:r w:rsidR="00603D05" w:rsidRPr="005508ED">
        <w:t>George T.</w:t>
      </w:r>
      <w:r w:rsidR="00603D05">
        <w:t xml:space="preserve"> </w:t>
      </w:r>
      <w:r w:rsidR="00603D05" w:rsidRPr="005508ED">
        <w:t>Montague</w:t>
      </w:r>
      <w:r w:rsidR="00603D05">
        <w:t>,</w:t>
      </w:r>
      <w:r w:rsidR="00603D05" w:rsidRPr="005508ED">
        <w:t xml:space="preserve"> </w:t>
      </w:r>
      <w:r w:rsidR="00603D05" w:rsidRPr="005508ED">
        <w:rPr>
          <w:i/>
        </w:rPr>
        <w:t>First and Second Timothy, Titus</w:t>
      </w:r>
      <w:r w:rsidR="00603D05">
        <w:t xml:space="preserve">, </w:t>
      </w:r>
      <w:r w:rsidR="00603D05" w:rsidRPr="005508ED">
        <w:t xml:space="preserve">Catholic </w:t>
      </w:r>
      <w:r w:rsidR="00603D05">
        <w:t>Commentary on Sacred Scripture, (</w:t>
      </w:r>
      <w:r w:rsidR="00603D05" w:rsidRPr="005508ED">
        <w:t>Grand Rapids: Baker Academic, 2008</w:t>
      </w:r>
      <w:r w:rsidR="00603D05">
        <w:t xml:space="preserve">), </w:t>
      </w:r>
      <w:r w:rsidRPr="008C7B57">
        <w:t>20</w:t>
      </w:r>
      <w:r w:rsidR="00603D05">
        <w:t>.</w:t>
      </w:r>
    </w:p>
  </w:footnote>
  <w:footnote w:id="7">
    <w:p w14:paraId="06AF7D83" w14:textId="77777777" w:rsidR="00E418CD" w:rsidRPr="008C7B57" w:rsidRDefault="00E418CD">
      <w:pPr>
        <w:pStyle w:val="FootnoteText"/>
      </w:pPr>
      <w:r w:rsidRPr="008C7B57">
        <w:rPr>
          <w:rStyle w:val="FootnoteReference"/>
        </w:rPr>
        <w:footnoteRef/>
      </w:r>
      <w:r w:rsidR="00603D05">
        <w:t xml:space="preserve">cf. </w:t>
      </w:r>
      <w:r w:rsidR="00603D05" w:rsidRPr="005508ED">
        <w:t>William D.</w:t>
      </w:r>
      <w:r w:rsidR="00603D05">
        <w:t xml:space="preserve"> </w:t>
      </w:r>
      <w:r w:rsidR="00603D05" w:rsidRPr="005508ED">
        <w:t>Mounce</w:t>
      </w:r>
      <w:r w:rsidR="00603D05">
        <w:t>,</w:t>
      </w:r>
      <w:r w:rsidR="00603D05" w:rsidRPr="005508ED">
        <w:t xml:space="preserve"> </w:t>
      </w:r>
      <w:r w:rsidR="00603D05" w:rsidRPr="005508ED">
        <w:rPr>
          <w:i/>
        </w:rPr>
        <w:t>Pastoral Epistles</w:t>
      </w:r>
      <w:r w:rsidR="00603D05">
        <w:t>,</w:t>
      </w:r>
      <w:r w:rsidR="00603D05" w:rsidRPr="005508ED">
        <w:t xml:space="preserve"> Word Biblical </w:t>
      </w:r>
      <w:r w:rsidR="00603D05">
        <w:t>Commentary, vol. 46</w:t>
      </w:r>
      <w:r w:rsidR="00603D05" w:rsidRPr="005508ED">
        <w:t xml:space="preserve"> </w:t>
      </w:r>
      <w:r w:rsidR="00603D05">
        <w:t>(</w:t>
      </w:r>
      <w:r w:rsidR="00603D05" w:rsidRPr="005508ED">
        <w:t>Nashville:</w:t>
      </w:r>
      <w:r w:rsidR="00603D05">
        <w:t xml:space="preserve"> Thomas Nelson Publishers, 2000), cxxix; </w:t>
      </w:r>
      <w:r w:rsidR="00603D05" w:rsidRPr="005508ED">
        <w:t>Philip H.</w:t>
      </w:r>
      <w:r w:rsidR="00603D05">
        <w:t xml:space="preserve"> </w:t>
      </w:r>
      <w:r w:rsidR="00603D05" w:rsidRPr="005508ED">
        <w:t>Towner</w:t>
      </w:r>
      <w:r w:rsidR="00603D05">
        <w:t>,</w:t>
      </w:r>
      <w:r w:rsidR="00603D05" w:rsidRPr="005508ED">
        <w:t xml:space="preserve"> </w:t>
      </w:r>
      <w:r w:rsidR="00603D05" w:rsidRPr="005508ED">
        <w:rPr>
          <w:i/>
        </w:rPr>
        <w:t>The Letters to Timothy and Titus</w:t>
      </w:r>
      <w:r w:rsidR="00603D05">
        <w:t>,</w:t>
      </w:r>
      <w:r w:rsidR="00603D05" w:rsidRPr="005508ED">
        <w:t xml:space="preserve"> New International C</w:t>
      </w:r>
      <w:r w:rsidR="00603D05">
        <w:t>ommentary on the New Testament (</w:t>
      </w:r>
      <w:r w:rsidR="00603D05" w:rsidRPr="005508ED">
        <w:t>Grand Ra</w:t>
      </w:r>
      <w:r w:rsidR="00603D05">
        <w:t xml:space="preserve">pids: William B. Eerdmans, 2006), 88; Montague, </w:t>
      </w:r>
      <w:r w:rsidR="00603D05" w:rsidRPr="005508ED">
        <w:rPr>
          <w:i/>
        </w:rPr>
        <w:t>First and Second Timothy, Titus</w:t>
      </w:r>
      <w:r w:rsidR="00603D05">
        <w:t xml:space="preserve">, </w:t>
      </w:r>
      <w:r w:rsidR="00044210" w:rsidRPr="008C7B57">
        <w:t>20</w:t>
      </w:r>
      <w:r w:rsidR="00603D05">
        <w:t>;</w:t>
      </w:r>
      <w:r w:rsidR="00044210" w:rsidRPr="008C7B57">
        <w:t xml:space="preserve"> </w:t>
      </w:r>
      <w:r w:rsidR="00603D05" w:rsidRPr="005508ED">
        <w:t>George W.</w:t>
      </w:r>
      <w:r w:rsidR="00603D05">
        <w:t xml:space="preserve"> Knight</w:t>
      </w:r>
      <w:r w:rsidR="00603D05" w:rsidRPr="005508ED">
        <w:t>, III</w:t>
      </w:r>
      <w:r w:rsidR="00603D05">
        <w:t>,</w:t>
      </w:r>
      <w:r w:rsidR="00603D05" w:rsidRPr="005508ED">
        <w:t xml:space="preserve"> </w:t>
      </w:r>
      <w:r w:rsidR="00603D05" w:rsidRPr="005508ED">
        <w:rPr>
          <w:i/>
        </w:rPr>
        <w:t>The Pastoral Epistles</w:t>
      </w:r>
      <w:r w:rsidR="00603D05">
        <w:t xml:space="preserve">, </w:t>
      </w:r>
      <w:r w:rsidR="00603D05" w:rsidRPr="005508ED">
        <w:t>New Internati</w:t>
      </w:r>
      <w:r w:rsidR="00603D05">
        <w:t>onal Greek Testament Commentary (</w:t>
      </w:r>
      <w:r w:rsidR="00603D05" w:rsidRPr="005508ED">
        <w:t>Grand Ra</w:t>
      </w:r>
      <w:r w:rsidR="00603D05">
        <w:t xml:space="preserve">pids: William B. Eerdmans, 1992), </w:t>
      </w:r>
      <w:r w:rsidR="0086754C" w:rsidRPr="008C7B57">
        <w:t>52</w:t>
      </w:r>
      <w:r w:rsidR="00603D05">
        <w:t>;</w:t>
      </w:r>
      <w:r w:rsidR="000A3D66" w:rsidRPr="008C7B57">
        <w:t xml:space="preserve"> </w:t>
      </w:r>
      <w:r w:rsidR="00603D05" w:rsidRPr="005508ED">
        <w:t>Walter L.</w:t>
      </w:r>
      <w:r w:rsidR="00603D05" w:rsidRPr="00A33989">
        <w:t xml:space="preserve"> </w:t>
      </w:r>
      <w:r w:rsidR="00603D05" w:rsidRPr="005508ED">
        <w:t>Li</w:t>
      </w:r>
      <w:r w:rsidR="00603D05">
        <w:t>efeld,</w:t>
      </w:r>
      <w:r w:rsidR="00603D05" w:rsidRPr="005508ED">
        <w:t xml:space="preserve"> </w:t>
      </w:r>
      <w:r w:rsidR="00603D05" w:rsidRPr="005508ED">
        <w:rPr>
          <w:i/>
        </w:rPr>
        <w:t>1 &amp; 2 Timothy, Titus</w:t>
      </w:r>
      <w:r w:rsidR="00603D05">
        <w:t>,</w:t>
      </w:r>
      <w:r w:rsidR="00603D05" w:rsidRPr="005508ED">
        <w:t xml:space="preserve"> </w:t>
      </w:r>
      <w:r w:rsidR="00603D05">
        <w:t>The NIV Application Commentary (</w:t>
      </w:r>
      <w:r w:rsidR="00603D05" w:rsidRPr="005508ED">
        <w:t>Grand Rapids: Zondervan, 1999</w:t>
      </w:r>
      <w:r w:rsidR="00603D05">
        <w:t xml:space="preserve">), </w:t>
      </w:r>
      <w:r w:rsidR="000A3D66" w:rsidRPr="008C7B57">
        <w:t>21</w:t>
      </w:r>
      <w:r w:rsidR="00603D05">
        <w:t>.</w:t>
      </w:r>
    </w:p>
  </w:footnote>
  <w:footnote w:id="8">
    <w:p w14:paraId="156EBED1" w14:textId="77777777" w:rsidR="009530F2" w:rsidRPr="008C7B57" w:rsidRDefault="009530F2">
      <w:pPr>
        <w:pStyle w:val="FootnoteText"/>
      </w:pPr>
      <w:r w:rsidRPr="008C7B57">
        <w:rPr>
          <w:rStyle w:val="FootnoteReference"/>
        </w:rPr>
        <w:footnoteRef/>
      </w:r>
      <w:r w:rsidR="00411F3E">
        <w:t xml:space="preserve">Liefeld, </w:t>
      </w:r>
      <w:r w:rsidR="00411F3E">
        <w:rPr>
          <w:i/>
        </w:rPr>
        <w:t>1 &amp; 2 Timothy, Titus</w:t>
      </w:r>
      <w:r w:rsidR="00411F3E">
        <w:t xml:space="preserve">, </w:t>
      </w:r>
      <w:r w:rsidRPr="008C7B57">
        <w:t>21</w:t>
      </w:r>
      <w:r w:rsidR="00411F3E">
        <w:t>.</w:t>
      </w:r>
    </w:p>
  </w:footnote>
  <w:footnote w:id="9">
    <w:p w14:paraId="549B228E" w14:textId="77777777" w:rsidR="004370FF" w:rsidRPr="008C7B57" w:rsidRDefault="004370FF" w:rsidP="004370FF">
      <w:pPr>
        <w:pStyle w:val="FootnoteText"/>
      </w:pPr>
      <w:r w:rsidRPr="008C7B57">
        <w:rPr>
          <w:rStyle w:val="FootnoteReference"/>
        </w:rPr>
        <w:footnoteRef/>
      </w:r>
      <w:r w:rsidR="00411F3E">
        <w:t xml:space="preserve">Towner, </w:t>
      </w:r>
      <w:r w:rsidR="00411F3E">
        <w:rPr>
          <w:i/>
        </w:rPr>
        <w:t>The Letters to Timothy and Titus</w:t>
      </w:r>
      <w:r w:rsidRPr="008C7B57">
        <w:t>, 88</w:t>
      </w:r>
      <w:r w:rsidR="00411F3E">
        <w:t>.</w:t>
      </w:r>
    </w:p>
  </w:footnote>
  <w:footnote w:id="10">
    <w:p w14:paraId="5E897820" w14:textId="77777777" w:rsidR="00000B92" w:rsidRPr="008C7B57" w:rsidRDefault="00000B92" w:rsidP="008E34E5">
      <w:pPr>
        <w:pStyle w:val="FootnoteText"/>
      </w:pPr>
      <w:r w:rsidRPr="008C7B57">
        <w:rPr>
          <w:rStyle w:val="FootnoteReference"/>
        </w:rPr>
        <w:footnoteRef/>
      </w:r>
      <w:r w:rsidRPr="008C7B57">
        <w:t xml:space="preserve">I am omitting </w:t>
      </w:r>
      <w:r w:rsidRPr="008C7B57">
        <w:rPr>
          <w:lang w:val="el-GR"/>
        </w:rPr>
        <w:t>πιστὸς ὁ λόγος</w:t>
      </w:r>
      <w:r w:rsidRPr="008C7B57">
        <w:t xml:space="preserve"> because I hold the minority opinion</w:t>
      </w:r>
      <w:r w:rsidR="00F834EB" w:rsidRPr="008C7B57">
        <w:t xml:space="preserve"> (according to Knight, but </w:t>
      </w:r>
      <w:r w:rsidRPr="008C7B57">
        <w:t xml:space="preserve">shared with Metzger, UBS, and perhaps Mounce), that this phrase can be taken as a formula of asseveration, pointing back to v 2:15. cf. </w:t>
      </w:r>
      <w:r w:rsidR="00411F3E" w:rsidRPr="005508ED">
        <w:t>Bruce Manning</w:t>
      </w:r>
      <w:r w:rsidR="00411F3E">
        <w:t xml:space="preserve"> </w:t>
      </w:r>
      <w:r w:rsidR="00411F3E" w:rsidRPr="005508ED">
        <w:t>Metzger</w:t>
      </w:r>
      <w:r w:rsidR="00411F3E">
        <w:t>,</w:t>
      </w:r>
      <w:r w:rsidR="00411F3E" w:rsidRPr="005508ED">
        <w:t xml:space="preserve"> </w:t>
      </w:r>
      <w:r w:rsidR="00411F3E" w:rsidRPr="005508ED">
        <w:rPr>
          <w:i/>
        </w:rPr>
        <w:t>A Textual Commentary on the Greek New Testament</w:t>
      </w:r>
      <w:r w:rsidR="00411F3E" w:rsidRPr="005508ED">
        <w:t>, 2</w:t>
      </w:r>
      <w:r w:rsidR="00411F3E" w:rsidRPr="005508ED">
        <w:rPr>
          <w:vertAlign w:val="superscript"/>
        </w:rPr>
        <w:t>nd</w:t>
      </w:r>
      <w:r w:rsidR="00411F3E" w:rsidRPr="005508ED">
        <w:rPr>
          <w:i/>
        </w:rPr>
        <w:t xml:space="preserve"> </w:t>
      </w:r>
      <w:r w:rsidR="00411F3E" w:rsidRPr="005508ED">
        <w:t xml:space="preserve">ed. </w:t>
      </w:r>
      <w:r w:rsidR="00411F3E">
        <w:t>(</w:t>
      </w:r>
      <w:r w:rsidR="00411F3E" w:rsidRPr="005508ED">
        <w:t>New Yor</w:t>
      </w:r>
      <w:r w:rsidR="00411F3E">
        <w:t>k: United Bible Societies, 1994), 572-573;</w:t>
      </w:r>
      <w:r w:rsidR="008751A2" w:rsidRPr="008C7B57">
        <w:t xml:space="preserve"> </w:t>
      </w:r>
      <w:r w:rsidR="00411F3E">
        <w:t xml:space="preserve">Mounce, </w:t>
      </w:r>
      <w:r w:rsidR="00411F3E">
        <w:rPr>
          <w:i/>
        </w:rPr>
        <w:t>Pastoral Epistles</w:t>
      </w:r>
      <w:r w:rsidR="00411F3E">
        <w:t>, 167;</w:t>
      </w:r>
      <w:r w:rsidR="00F834EB" w:rsidRPr="008C7B57">
        <w:t xml:space="preserve"> </w:t>
      </w:r>
      <w:r w:rsidR="00411F3E">
        <w:t xml:space="preserve">Knight, </w:t>
      </w:r>
      <w:r w:rsidR="00411F3E">
        <w:rPr>
          <w:i/>
        </w:rPr>
        <w:t>The Pastoral Epistles</w:t>
      </w:r>
      <w:r w:rsidR="00411F3E">
        <w:t xml:space="preserve">, </w:t>
      </w:r>
      <w:r w:rsidR="00F834EB" w:rsidRPr="008C7B57">
        <w:t>153.</w:t>
      </w:r>
    </w:p>
  </w:footnote>
  <w:footnote w:id="11">
    <w:p w14:paraId="5AD25BF5" w14:textId="77777777" w:rsidR="00000B92" w:rsidRPr="008C7B57" w:rsidRDefault="00000B92" w:rsidP="00000B92">
      <w:pPr>
        <w:pStyle w:val="FootnoteText"/>
      </w:pPr>
      <w:r w:rsidRPr="008C7B57">
        <w:rPr>
          <w:rStyle w:val="FootnoteReference"/>
        </w:rPr>
        <w:footnoteRef/>
      </w:r>
      <w:r w:rsidRPr="008C7B57">
        <w:t>Kurt Aland</w:t>
      </w:r>
      <w:r w:rsidR="008E34E5">
        <w:t xml:space="preserve"> et al.</w:t>
      </w:r>
      <w:r w:rsidRPr="008C7B57">
        <w:t xml:space="preserve">, </w:t>
      </w:r>
      <w:r w:rsidRPr="008C7B57">
        <w:rPr>
          <w:i/>
        </w:rPr>
        <w:t>The Greek New Testament</w:t>
      </w:r>
      <w:r w:rsidR="008E34E5">
        <w:t>, 4</w:t>
      </w:r>
      <w:r w:rsidR="008E34E5" w:rsidRPr="008E34E5">
        <w:rPr>
          <w:vertAlign w:val="superscript"/>
        </w:rPr>
        <w:t>th</w:t>
      </w:r>
      <w:r w:rsidR="008E34E5">
        <w:t xml:space="preserve"> rev. ed. [UBS] </w:t>
      </w:r>
      <w:r w:rsidRPr="008C7B57">
        <w:t>(Deutsche Bibelgesellschaft, 2006), 1 Ti 3:1.</w:t>
      </w:r>
    </w:p>
  </w:footnote>
  <w:footnote w:id="12">
    <w:p w14:paraId="531EBB44" w14:textId="77777777" w:rsidR="00CB5A25" w:rsidRPr="008C7B57" w:rsidRDefault="00CB5A25">
      <w:pPr>
        <w:pStyle w:val="FootnoteText"/>
      </w:pPr>
      <w:r w:rsidRPr="008C7B57">
        <w:rPr>
          <w:rStyle w:val="FootnoteReference"/>
        </w:rPr>
        <w:footnoteRef/>
      </w:r>
      <w:r w:rsidR="006632D0">
        <w:t>Unless otherwise noted, all translations are my own.</w:t>
      </w:r>
    </w:p>
  </w:footnote>
  <w:footnote w:id="13">
    <w:p w14:paraId="5D0303CE" w14:textId="77777777" w:rsidR="00B7201A" w:rsidRPr="008C7B57" w:rsidRDefault="00B7201A" w:rsidP="00B7201A">
      <w:pPr>
        <w:pStyle w:val="FootnoteText"/>
      </w:pPr>
      <w:r w:rsidRPr="008C7B57">
        <w:rPr>
          <w:rStyle w:val="FootnoteReference"/>
        </w:rPr>
        <w:footnoteRef/>
      </w:r>
      <w:r w:rsidR="00336C1E">
        <w:t xml:space="preserve">Liefeld, </w:t>
      </w:r>
      <w:r w:rsidR="00336C1E">
        <w:rPr>
          <w:i/>
        </w:rPr>
        <w:t>1 &amp; 2 Timothy, Titus</w:t>
      </w:r>
      <w:r w:rsidR="00336C1E">
        <w:t xml:space="preserve">, </w:t>
      </w:r>
      <w:r w:rsidRPr="008C7B57">
        <w:t>117.</w:t>
      </w:r>
    </w:p>
  </w:footnote>
  <w:footnote w:id="14">
    <w:p w14:paraId="57B5E973" w14:textId="77777777" w:rsidR="00B7201A" w:rsidRPr="008C7B57" w:rsidRDefault="00B7201A" w:rsidP="00B7201A">
      <w:pPr>
        <w:pStyle w:val="FootnoteText"/>
      </w:pPr>
      <w:r w:rsidRPr="008C7B57">
        <w:rPr>
          <w:rStyle w:val="FootnoteReference"/>
        </w:rPr>
        <w:footnoteRef/>
      </w:r>
      <w:r w:rsidR="00336C1E">
        <w:t xml:space="preserve">Knight, </w:t>
      </w:r>
      <w:r w:rsidR="00336C1E">
        <w:rPr>
          <w:i/>
        </w:rPr>
        <w:t>The Pastoral Epistles</w:t>
      </w:r>
      <w:r w:rsidR="00336C1E">
        <w:t xml:space="preserve">, </w:t>
      </w:r>
      <w:r w:rsidRPr="008C7B57">
        <w:t>154.</w:t>
      </w:r>
    </w:p>
  </w:footnote>
  <w:footnote w:id="15">
    <w:p w14:paraId="78C9C507" w14:textId="77777777" w:rsidR="009B1091" w:rsidRPr="008C7B57" w:rsidRDefault="009B1091" w:rsidP="004619FC">
      <w:pPr>
        <w:pStyle w:val="FootnoteText"/>
      </w:pPr>
      <w:r w:rsidRPr="008C7B57">
        <w:rPr>
          <w:rStyle w:val="FootnoteReference"/>
        </w:rPr>
        <w:footnoteRef/>
      </w:r>
      <w:r w:rsidRPr="008C7B57">
        <w:t xml:space="preserve">cf. </w:t>
      </w:r>
      <w:r w:rsidR="000A6E5E">
        <w:t xml:space="preserve">Knight, </w:t>
      </w:r>
      <w:r w:rsidR="000A6E5E">
        <w:rPr>
          <w:i/>
        </w:rPr>
        <w:t>The Pastoral Epistles</w:t>
      </w:r>
      <w:r w:rsidR="000A6E5E">
        <w:t xml:space="preserve">, </w:t>
      </w:r>
      <w:r w:rsidRPr="008C7B57">
        <w:t>153</w:t>
      </w:r>
      <w:r w:rsidR="00D43951">
        <w:t>.</w:t>
      </w:r>
    </w:p>
  </w:footnote>
  <w:footnote w:id="16">
    <w:p w14:paraId="6F989F17" w14:textId="77777777" w:rsidR="004619FC" w:rsidRPr="008C7B57" w:rsidRDefault="004619FC" w:rsidP="004619FC">
      <w:pPr>
        <w:spacing w:after="100" w:afterAutospacing="1" w:line="240" w:lineRule="auto"/>
        <w:ind w:firstLine="1008"/>
        <w:rPr>
          <w:sz w:val="20"/>
        </w:rPr>
      </w:pPr>
      <w:r w:rsidRPr="008C7B57">
        <w:rPr>
          <w:sz w:val="20"/>
          <w:vertAlign w:val="superscript"/>
        </w:rPr>
        <w:footnoteRef/>
      </w:r>
      <w:r w:rsidR="006632D0">
        <w:rPr>
          <w:sz w:val="20"/>
        </w:rPr>
        <w:t xml:space="preserve">Kurt Aland et al., </w:t>
      </w:r>
      <w:r w:rsidR="006632D0">
        <w:rPr>
          <w:i/>
          <w:sz w:val="20"/>
        </w:rPr>
        <w:t>The Greek New Testament</w:t>
      </w:r>
      <w:r w:rsidR="00997116" w:rsidRPr="008C7B57">
        <w:rPr>
          <w:sz w:val="20"/>
        </w:rPr>
        <w:t>, 1 Ti 3:2</w:t>
      </w:r>
      <w:r w:rsidRPr="008C7B57">
        <w:rPr>
          <w:sz w:val="20"/>
        </w:rPr>
        <w:t>.</w:t>
      </w:r>
    </w:p>
  </w:footnote>
  <w:footnote w:id="17">
    <w:p w14:paraId="4D1C37CE" w14:textId="77777777" w:rsidR="00E86022" w:rsidRPr="008C7B57" w:rsidRDefault="00E86022">
      <w:pPr>
        <w:pStyle w:val="FootnoteText"/>
      </w:pPr>
      <w:r w:rsidRPr="008C7B57">
        <w:rPr>
          <w:rStyle w:val="FootnoteReference"/>
        </w:rPr>
        <w:footnoteRef/>
      </w:r>
      <w:r w:rsidR="00245728">
        <w:t>F</w:t>
      </w:r>
      <w:r w:rsidR="00245728" w:rsidRPr="008C7B57">
        <w:t xml:space="preserve">or discussions on the article in </w:t>
      </w:r>
      <w:r w:rsidR="00245728" w:rsidRPr="008C7B57">
        <w:rPr>
          <w:bCs/>
          <w:lang w:val="el-GR"/>
        </w:rPr>
        <w:t>τὸν ἐπίσκοπον</w:t>
      </w:r>
      <w:r w:rsidR="00245728">
        <w:t>, s</w:t>
      </w:r>
      <w:r w:rsidRPr="008C7B57">
        <w:t xml:space="preserve">ee </w:t>
      </w:r>
      <w:r w:rsidR="00245728" w:rsidRPr="005508ED">
        <w:t>Daniel B.</w:t>
      </w:r>
      <w:r w:rsidR="00245728">
        <w:t xml:space="preserve"> </w:t>
      </w:r>
      <w:r w:rsidR="00245728" w:rsidRPr="005508ED">
        <w:t>Wallace</w:t>
      </w:r>
      <w:r w:rsidR="00245728">
        <w:t>,</w:t>
      </w:r>
      <w:r w:rsidR="00245728" w:rsidRPr="005508ED">
        <w:t xml:space="preserve"> </w:t>
      </w:r>
      <w:r w:rsidR="00245728" w:rsidRPr="005508ED">
        <w:rPr>
          <w:i/>
        </w:rPr>
        <w:t>Greek Grammar: Beyond the Basics</w:t>
      </w:r>
      <w:r w:rsidR="00245728">
        <w:t xml:space="preserve"> (</w:t>
      </w:r>
      <w:r w:rsidR="00245728" w:rsidRPr="005508ED">
        <w:t>Grand Rapids: Zondervan, 1996</w:t>
      </w:r>
      <w:r w:rsidR="00245728">
        <w:t xml:space="preserve">), </w:t>
      </w:r>
      <w:r w:rsidRPr="008C7B57">
        <w:t>229</w:t>
      </w:r>
      <w:r w:rsidR="00245728">
        <w:t>;</w:t>
      </w:r>
      <w:r w:rsidR="00D92B5E" w:rsidRPr="008C7B57">
        <w:t xml:space="preserve"> </w:t>
      </w:r>
      <w:r w:rsidR="00245728" w:rsidRPr="000178C4">
        <w:t>James A.</w:t>
      </w:r>
      <w:r w:rsidR="00245728">
        <w:t xml:space="preserve"> Brooks</w:t>
      </w:r>
      <w:r w:rsidR="00245728" w:rsidRPr="000178C4">
        <w:t xml:space="preserve">, </w:t>
      </w:r>
      <w:r w:rsidR="00245728">
        <w:t xml:space="preserve">and Carlton L. Winbery, </w:t>
      </w:r>
      <w:r w:rsidR="00245728" w:rsidRPr="005508ED">
        <w:rPr>
          <w:i/>
        </w:rPr>
        <w:t>Syntax of New Testament Greek</w:t>
      </w:r>
      <w:r w:rsidR="00245728" w:rsidRPr="000178C4">
        <w:t xml:space="preserve"> </w:t>
      </w:r>
      <w:r w:rsidR="00245728">
        <w:t>(</w:t>
      </w:r>
      <w:r w:rsidR="00245728" w:rsidRPr="000178C4">
        <w:t>Lanham, MD: Un</w:t>
      </w:r>
      <w:r w:rsidR="00245728">
        <w:t xml:space="preserve">iversity Press of America, 1979), </w:t>
      </w:r>
      <w:r w:rsidR="00D92B5E" w:rsidRPr="008C7B57">
        <w:t>75</w:t>
      </w:r>
      <w:r w:rsidR="00245728">
        <w:t>. c</w:t>
      </w:r>
      <w:r w:rsidR="00DF00D8" w:rsidRPr="008C7B57">
        <w:t xml:space="preserve">f. </w:t>
      </w:r>
      <w:r w:rsidR="00245728">
        <w:t xml:space="preserve">Towner, </w:t>
      </w:r>
      <w:r w:rsidR="00245728">
        <w:rPr>
          <w:i/>
        </w:rPr>
        <w:t>The Letters to Timothy and Titus</w:t>
      </w:r>
      <w:r w:rsidR="00245728">
        <w:t xml:space="preserve">, </w:t>
      </w:r>
      <w:r w:rsidR="00DF00D8" w:rsidRPr="008C7B57">
        <w:t>246-247</w:t>
      </w:r>
      <w:r w:rsidR="00245728">
        <w:t>;</w:t>
      </w:r>
      <w:r w:rsidR="0027776A" w:rsidRPr="008C7B57">
        <w:t xml:space="preserve"> </w:t>
      </w:r>
      <w:r w:rsidR="00245728">
        <w:t xml:space="preserve">Knight, </w:t>
      </w:r>
      <w:r w:rsidR="00245728">
        <w:rPr>
          <w:i/>
        </w:rPr>
        <w:t>The Pastoral Epistles</w:t>
      </w:r>
      <w:r w:rsidR="00245728">
        <w:t xml:space="preserve">, </w:t>
      </w:r>
      <w:r w:rsidR="0027776A" w:rsidRPr="008C7B57">
        <w:t>155</w:t>
      </w:r>
      <w:r w:rsidR="00245728">
        <w:t>;</w:t>
      </w:r>
      <w:r w:rsidR="00937BB4" w:rsidRPr="008C7B57">
        <w:t xml:space="preserve"> </w:t>
      </w:r>
      <w:r w:rsidR="00245728">
        <w:t xml:space="preserve">Liefeld, </w:t>
      </w:r>
      <w:r w:rsidR="00245728">
        <w:rPr>
          <w:i/>
        </w:rPr>
        <w:t>1 &amp; 2 Timothy, Titus</w:t>
      </w:r>
      <w:r w:rsidR="00245728">
        <w:t xml:space="preserve">, </w:t>
      </w:r>
      <w:r w:rsidR="00937BB4" w:rsidRPr="008C7B57">
        <w:t>31</w:t>
      </w:r>
      <w:r w:rsidR="00245728">
        <w:t>.</w:t>
      </w:r>
    </w:p>
  </w:footnote>
  <w:footnote w:id="18">
    <w:p w14:paraId="4E95BCD1" w14:textId="77777777" w:rsidR="00DF00D8" w:rsidRPr="008C7B57" w:rsidRDefault="00DF00D8">
      <w:pPr>
        <w:pStyle w:val="FootnoteText"/>
      </w:pPr>
      <w:r w:rsidRPr="008C7B57">
        <w:rPr>
          <w:rStyle w:val="FootnoteReference"/>
        </w:rPr>
        <w:footnoteRef/>
      </w:r>
      <w:r w:rsidR="0027776A" w:rsidRPr="008C7B57">
        <w:t xml:space="preserve">Regarding multiple elders, see </w:t>
      </w:r>
      <w:r w:rsidRPr="008C7B57">
        <w:t xml:space="preserve">Acts 20:17, </w:t>
      </w:r>
      <w:r w:rsidR="0027776A" w:rsidRPr="008C7B57">
        <w:t>Titus 1:5</w:t>
      </w:r>
      <w:r w:rsidRPr="008C7B57">
        <w:t>, Phil 1:1</w:t>
      </w:r>
      <w:r w:rsidR="0027776A" w:rsidRPr="008C7B57">
        <w:t xml:space="preserve">. Regarding the synonymous nature of </w:t>
      </w:r>
      <w:r w:rsidR="0027776A" w:rsidRPr="008C7B57">
        <w:rPr>
          <w:lang w:val="el-GR"/>
        </w:rPr>
        <w:t>ἐπίσκοπος</w:t>
      </w:r>
      <w:r w:rsidR="0027776A" w:rsidRPr="008C7B57">
        <w:t xml:space="preserve"> and πρεσβύτερος</w:t>
      </w:r>
      <w:r w:rsidRPr="008C7B57">
        <w:t>,</w:t>
      </w:r>
      <w:r w:rsidR="0027776A" w:rsidRPr="008C7B57">
        <w:t xml:space="preserve"> see</w:t>
      </w:r>
      <w:r w:rsidRPr="008C7B57">
        <w:t xml:space="preserve"> </w:t>
      </w:r>
      <w:r w:rsidR="00940F38">
        <w:t xml:space="preserve">Acts 20:17, 28, Titus 1:5-7. cf. Mounce, </w:t>
      </w:r>
      <w:r w:rsidR="00940F38">
        <w:rPr>
          <w:i/>
        </w:rPr>
        <w:t>Pastoral Epistles</w:t>
      </w:r>
      <w:r w:rsidR="00940F38">
        <w:t xml:space="preserve">, </w:t>
      </w:r>
      <w:r w:rsidRPr="008C7B57">
        <w:t>163</w:t>
      </w:r>
      <w:r w:rsidR="006266D6" w:rsidRPr="008C7B57">
        <w:t>, 186-192</w:t>
      </w:r>
      <w:r w:rsidR="00940F38">
        <w:t>;</w:t>
      </w:r>
      <w:r w:rsidRPr="008C7B57">
        <w:t xml:space="preserve"> </w:t>
      </w:r>
      <w:r w:rsidR="00940F38">
        <w:t xml:space="preserve">Montague, </w:t>
      </w:r>
      <w:r w:rsidR="00940F38" w:rsidRPr="005508ED">
        <w:rPr>
          <w:i/>
        </w:rPr>
        <w:t>First and Second Timothy, Titus</w:t>
      </w:r>
      <w:r w:rsidR="00940F38">
        <w:t xml:space="preserve">, </w:t>
      </w:r>
      <w:r w:rsidRPr="008C7B57">
        <w:t>73</w:t>
      </w:r>
      <w:r w:rsidR="00940F38">
        <w:t>;</w:t>
      </w:r>
      <w:r w:rsidR="0027776A" w:rsidRPr="008C7B57">
        <w:t xml:space="preserve"> </w:t>
      </w:r>
      <w:r w:rsidR="00940F38" w:rsidRPr="005508ED">
        <w:t>Risto</w:t>
      </w:r>
      <w:r w:rsidR="00940F38">
        <w:t xml:space="preserve"> </w:t>
      </w:r>
      <w:r w:rsidR="00940F38" w:rsidRPr="005508ED">
        <w:t>Saarinen</w:t>
      </w:r>
      <w:r w:rsidR="00940F38">
        <w:t>,</w:t>
      </w:r>
      <w:r w:rsidR="00940F38" w:rsidRPr="005508ED">
        <w:t xml:space="preserve"> </w:t>
      </w:r>
      <w:r w:rsidR="00940F38" w:rsidRPr="005508ED">
        <w:rPr>
          <w:i/>
        </w:rPr>
        <w:t>The Pastoral Epistles with Philemon &amp; Jude</w:t>
      </w:r>
      <w:r w:rsidR="00940F38">
        <w:t>,</w:t>
      </w:r>
      <w:r w:rsidR="00940F38" w:rsidRPr="005508ED">
        <w:t xml:space="preserve"> Brazos Theol</w:t>
      </w:r>
      <w:r w:rsidR="00940F38">
        <w:t>ogical Commentary on the Bible (</w:t>
      </w:r>
      <w:r w:rsidR="00940F38" w:rsidRPr="005508ED">
        <w:t>G</w:t>
      </w:r>
      <w:r w:rsidR="00940F38">
        <w:t xml:space="preserve">rand Rapids: Brazos Press, 2008), 61; Liefeld, </w:t>
      </w:r>
      <w:r w:rsidR="00940F38">
        <w:rPr>
          <w:i/>
        </w:rPr>
        <w:t>1 &amp; 2 Timothy, Titus</w:t>
      </w:r>
      <w:r w:rsidR="00940F38">
        <w:t xml:space="preserve">, </w:t>
      </w:r>
      <w:r w:rsidR="00937BB4" w:rsidRPr="008C7B57">
        <w:t xml:space="preserve">32, </w:t>
      </w:r>
      <w:r w:rsidR="0027776A" w:rsidRPr="008C7B57">
        <w:t>117</w:t>
      </w:r>
      <w:r w:rsidR="00940F38">
        <w:t xml:space="preserve">; </w:t>
      </w:r>
      <w:r w:rsidR="00940F38" w:rsidRPr="005508ED">
        <w:t>Robert James</w:t>
      </w:r>
      <w:r w:rsidR="00940F38" w:rsidRPr="002B7AB9">
        <w:t xml:space="preserve"> </w:t>
      </w:r>
      <w:r w:rsidR="00940F38" w:rsidRPr="005508ED">
        <w:t>Utley</w:t>
      </w:r>
      <w:r w:rsidR="00940F38">
        <w:t>,</w:t>
      </w:r>
      <w:r w:rsidR="00940F38" w:rsidRPr="005508ED">
        <w:t xml:space="preserve"> </w:t>
      </w:r>
      <w:r w:rsidR="00940F38" w:rsidRPr="005508ED">
        <w:rPr>
          <w:i/>
        </w:rPr>
        <w:t>Paul’s Fourth Missionary Journey</w:t>
      </w:r>
      <w:r w:rsidR="00940F38">
        <w:t>, Study Guide Commentary Series, (</w:t>
      </w:r>
      <w:r w:rsidR="00940F38" w:rsidRPr="005508ED">
        <w:t>Marshall, TX: Bible Lessons International, 2000</w:t>
      </w:r>
      <w:r w:rsidR="00940F38">
        <w:t xml:space="preserve">), </w:t>
      </w:r>
      <w:r w:rsidR="004F2489" w:rsidRPr="008C7B57">
        <w:t>38</w:t>
      </w:r>
      <w:r w:rsidR="00940F38">
        <w:t>.</w:t>
      </w:r>
    </w:p>
  </w:footnote>
  <w:footnote w:id="19">
    <w:p w14:paraId="617975BD" w14:textId="77777777" w:rsidR="00937BB4" w:rsidRPr="008C7B57" w:rsidRDefault="00937BB4">
      <w:pPr>
        <w:pStyle w:val="FootnoteText"/>
      </w:pPr>
      <w:r w:rsidRPr="008C7B57">
        <w:rPr>
          <w:rStyle w:val="FootnoteReference"/>
        </w:rPr>
        <w:footnoteRef/>
      </w:r>
      <w:r w:rsidR="00C50916">
        <w:t xml:space="preserve">cf. </w:t>
      </w:r>
      <w:r w:rsidR="00414824">
        <w:t xml:space="preserve">Towner, </w:t>
      </w:r>
      <w:r w:rsidR="00414824">
        <w:rPr>
          <w:i/>
        </w:rPr>
        <w:t>The Letters to Timothy and Titus</w:t>
      </w:r>
      <w:r w:rsidR="00414824">
        <w:t xml:space="preserve">, </w:t>
      </w:r>
      <w:r w:rsidRPr="008C7B57">
        <w:t>241</w:t>
      </w:r>
      <w:r w:rsidR="00414824">
        <w:t>.</w:t>
      </w:r>
    </w:p>
  </w:footnote>
  <w:footnote w:id="20">
    <w:p w14:paraId="0BA6CF5F" w14:textId="77777777" w:rsidR="00F56488" w:rsidRPr="008C7B57" w:rsidRDefault="00F56488">
      <w:pPr>
        <w:pStyle w:val="FootnoteText"/>
      </w:pPr>
      <w:r w:rsidRPr="008C7B57">
        <w:rPr>
          <w:rStyle w:val="FootnoteReference"/>
        </w:rPr>
        <w:footnoteRef/>
      </w:r>
      <w:r w:rsidR="00A60359">
        <w:t xml:space="preserve">cf. </w:t>
      </w:r>
      <w:r w:rsidR="00414824">
        <w:t xml:space="preserve">Towner, </w:t>
      </w:r>
      <w:r w:rsidR="00414824">
        <w:rPr>
          <w:i/>
        </w:rPr>
        <w:t>The Letters to Timothy and Titus</w:t>
      </w:r>
      <w:r w:rsidR="00414824">
        <w:t>,</w:t>
      </w:r>
      <w:r w:rsidRPr="008C7B57">
        <w:t xml:space="preserve"> 249</w:t>
      </w:r>
      <w:r w:rsidR="00414824">
        <w:t>.</w:t>
      </w:r>
    </w:p>
  </w:footnote>
  <w:footnote w:id="21">
    <w:p w14:paraId="196E1EB8" w14:textId="77777777" w:rsidR="00703A65" w:rsidRPr="008C7B57" w:rsidRDefault="00703A65">
      <w:pPr>
        <w:pStyle w:val="FootnoteText"/>
      </w:pPr>
      <w:r w:rsidRPr="008C7B57">
        <w:rPr>
          <w:rStyle w:val="FootnoteReference"/>
        </w:rPr>
        <w:footnoteRef/>
      </w:r>
      <w:r w:rsidR="00414824">
        <w:t xml:space="preserve">Utley, </w:t>
      </w:r>
      <w:r w:rsidR="00414824" w:rsidRPr="005508ED">
        <w:rPr>
          <w:i/>
        </w:rPr>
        <w:t>Paul’s Fourth Missionary Journey</w:t>
      </w:r>
      <w:r w:rsidR="00414824">
        <w:t xml:space="preserve">, </w:t>
      </w:r>
      <w:r w:rsidRPr="008C7B57">
        <w:t>40-41</w:t>
      </w:r>
      <w:r w:rsidR="00414824">
        <w:t>.</w:t>
      </w:r>
    </w:p>
  </w:footnote>
  <w:footnote w:id="22">
    <w:p w14:paraId="309D3CF4" w14:textId="77777777" w:rsidR="00DD5757" w:rsidRPr="008C7B57" w:rsidRDefault="00DD5757" w:rsidP="00DD5757">
      <w:pPr>
        <w:pStyle w:val="FootnoteText"/>
      </w:pPr>
      <w:r w:rsidRPr="008C7B57">
        <w:rPr>
          <w:rStyle w:val="FootnoteReference"/>
        </w:rPr>
        <w:footnoteRef/>
      </w:r>
      <w:r w:rsidR="00414824">
        <w:t xml:space="preserve">cf. Utley, </w:t>
      </w:r>
      <w:r w:rsidR="00414824" w:rsidRPr="005508ED">
        <w:rPr>
          <w:i/>
        </w:rPr>
        <w:t>Paul’s Fourth Missionary Journey</w:t>
      </w:r>
      <w:r w:rsidRPr="008C7B57">
        <w:t>, 40-41</w:t>
      </w:r>
      <w:r w:rsidR="00414824">
        <w:t>;</w:t>
      </w:r>
      <w:r w:rsidRPr="008C7B57">
        <w:t xml:space="preserve"> </w:t>
      </w:r>
      <w:r w:rsidR="00414824">
        <w:t xml:space="preserve">Saarinen, </w:t>
      </w:r>
      <w:r w:rsidR="00414824">
        <w:rPr>
          <w:i/>
        </w:rPr>
        <w:t>The Pastoral Epistles with Philemon &amp; Jude</w:t>
      </w:r>
      <w:r w:rsidR="00414824">
        <w:t xml:space="preserve">, </w:t>
      </w:r>
      <w:r w:rsidRPr="008C7B57">
        <w:t>62</w:t>
      </w:r>
      <w:r w:rsidR="00414824">
        <w:t>.</w:t>
      </w:r>
    </w:p>
  </w:footnote>
  <w:footnote w:id="23">
    <w:p w14:paraId="1B383AC1" w14:textId="77777777" w:rsidR="00DD5757" w:rsidRPr="008C7B57" w:rsidRDefault="00DD5757" w:rsidP="00DD5757">
      <w:pPr>
        <w:pStyle w:val="FootnoteText"/>
      </w:pPr>
      <w:r w:rsidRPr="008C7B57">
        <w:rPr>
          <w:rStyle w:val="FootnoteReference"/>
        </w:rPr>
        <w:footnoteRef/>
      </w:r>
      <w:r w:rsidR="004B691C">
        <w:t xml:space="preserve">Knight, </w:t>
      </w:r>
      <w:r w:rsidR="004B691C">
        <w:rPr>
          <w:i/>
        </w:rPr>
        <w:t>The Pastoral Epistles</w:t>
      </w:r>
      <w:r w:rsidR="004B691C">
        <w:t xml:space="preserve">, </w:t>
      </w:r>
      <w:r w:rsidRPr="008C7B57">
        <w:t>157</w:t>
      </w:r>
      <w:r w:rsidR="004B691C">
        <w:t>.</w:t>
      </w:r>
    </w:p>
  </w:footnote>
  <w:footnote w:id="24">
    <w:p w14:paraId="5732B6FC" w14:textId="77777777" w:rsidR="006266D6" w:rsidRPr="008C7B57" w:rsidRDefault="006266D6">
      <w:pPr>
        <w:pStyle w:val="FootnoteText"/>
      </w:pPr>
      <w:r w:rsidRPr="008C7B57">
        <w:rPr>
          <w:rStyle w:val="FootnoteReference"/>
        </w:rPr>
        <w:footnoteRef/>
      </w:r>
      <w:r w:rsidR="0063021B">
        <w:t xml:space="preserve">cf. </w:t>
      </w:r>
      <w:r w:rsidR="0063021B" w:rsidRPr="005508ED">
        <w:t>Philip H.</w:t>
      </w:r>
      <w:r w:rsidR="0063021B">
        <w:t xml:space="preserve"> </w:t>
      </w:r>
      <w:r w:rsidR="0063021B" w:rsidRPr="005508ED">
        <w:t>Towner</w:t>
      </w:r>
      <w:r w:rsidR="0063021B">
        <w:t>,</w:t>
      </w:r>
      <w:r w:rsidR="0063021B" w:rsidRPr="005508ED">
        <w:t xml:space="preserve"> </w:t>
      </w:r>
      <w:r w:rsidR="0063021B" w:rsidRPr="005508ED">
        <w:rPr>
          <w:i/>
        </w:rPr>
        <w:t>1-2 Timothy &amp; Titus</w:t>
      </w:r>
      <w:r w:rsidR="0063021B">
        <w:t>,</w:t>
      </w:r>
      <w:r w:rsidR="0063021B" w:rsidRPr="005508ED">
        <w:t xml:space="preserve"> IVP New </w:t>
      </w:r>
      <w:r w:rsidR="0063021B">
        <w:t>Testament Commentary Series,</w:t>
      </w:r>
      <w:r w:rsidR="0063021B" w:rsidRPr="005508ED">
        <w:t xml:space="preserve"> </w:t>
      </w:r>
      <w:r w:rsidR="0063021B">
        <w:t>(</w:t>
      </w:r>
      <w:r w:rsidR="0063021B" w:rsidRPr="005508ED">
        <w:t>Downers Grove, IL: InterVarsity, 1994</w:t>
      </w:r>
      <w:r w:rsidR="0063021B">
        <w:t xml:space="preserve">), </w:t>
      </w:r>
      <w:r w:rsidRPr="008C7B57">
        <w:t>84</w:t>
      </w:r>
      <w:r w:rsidR="0063021B">
        <w:t>;</w:t>
      </w:r>
      <w:r w:rsidR="002E3FE1" w:rsidRPr="008C7B57">
        <w:t xml:space="preserve"> </w:t>
      </w:r>
      <w:r w:rsidR="0063021B">
        <w:t xml:space="preserve">Knight, </w:t>
      </w:r>
      <w:r w:rsidR="0063021B">
        <w:rPr>
          <w:i/>
        </w:rPr>
        <w:t>The Pastoral Epistles</w:t>
      </w:r>
      <w:r w:rsidR="0063021B">
        <w:t xml:space="preserve">, </w:t>
      </w:r>
      <w:r w:rsidR="002E3FE1" w:rsidRPr="008C7B57">
        <w:t>158</w:t>
      </w:r>
      <w:r w:rsidR="0063021B">
        <w:t>.</w:t>
      </w:r>
    </w:p>
  </w:footnote>
  <w:footnote w:id="25">
    <w:p w14:paraId="4FA2B637" w14:textId="77777777" w:rsidR="006266D6" w:rsidRPr="008C7B57" w:rsidRDefault="006266D6">
      <w:pPr>
        <w:pStyle w:val="FootnoteText"/>
      </w:pPr>
      <w:r w:rsidRPr="008C7B57">
        <w:rPr>
          <w:rStyle w:val="FootnoteReference"/>
        </w:rPr>
        <w:footnoteRef/>
      </w:r>
      <w:r w:rsidR="00B6691A">
        <w:t xml:space="preserve">cf. Mounce, </w:t>
      </w:r>
      <w:r w:rsidR="00B6691A">
        <w:rPr>
          <w:i/>
        </w:rPr>
        <w:t>Pastoral Epistles</w:t>
      </w:r>
      <w:r w:rsidR="00B6691A">
        <w:t xml:space="preserve">, 171; Towner, </w:t>
      </w:r>
      <w:r w:rsidR="00B6691A">
        <w:rPr>
          <w:i/>
        </w:rPr>
        <w:t>The Letters to Timothy and Titus</w:t>
      </w:r>
      <w:r w:rsidR="00B6691A">
        <w:t xml:space="preserve">, </w:t>
      </w:r>
      <w:r w:rsidRPr="008C7B57">
        <w:t>250</w:t>
      </w:r>
      <w:r w:rsidR="00B6691A">
        <w:t>.</w:t>
      </w:r>
    </w:p>
  </w:footnote>
  <w:footnote w:id="26">
    <w:p w14:paraId="30353F90" w14:textId="77777777" w:rsidR="00882822" w:rsidRPr="008C7B57" w:rsidRDefault="00882822">
      <w:pPr>
        <w:pStyle w:val="FootnoteText"/>
      </w:pPr>
      <w:r w:rsidRPr="008C7B57">
        <w:rPr>
          <w:rStyle w:val="FootnoteReference"/>
        </w:rPr>
        <w:footnoteRef/>
      </w:r>
      <w:r w:rsidR="00530EFA">
        <w:t xml:space="preserve">cf. Montague, </w:t>
      </w:r>
      <w:r w:rsidR="00530EFA" w:rsidRPr="005508ED">
        <w:rPr>
          <w:i/>
        </w:rPr>
        <w:t>First and Second Timothy, Titus</w:t>
      </w:r>
      <w:r w:rsidR="00530EFA">
        <w:t xml:space="preserve">, </w:t>
      </w:r>
      <w:r w:rsidRPr="008C7B57">
        <w:t>75</w:t>
      </w:r>
      <w:r w:rsidR="00530EFA">
        <w:t>.</w:t>
      </w:r>
    </w:p>
  </w:footnote>
  <w:footnote w:id="27">
    <w:p w14:paraId="05D43A27" w14:textId="77777777" w:rsidR="00882822" w:rsidRPr="008C7B57" w:rsidRDefault="00882822">
      <w:pPr>
        <w:pStyle w:val="FootnoteText"/>
      </w:pPr>
      <w:r w:rsidRPr="008C7B57">
        <w:rPr>
          <w:rStyle w:val="FootnoteReference"/>
        </w:rPr>
        <w:footnoteRef/>
      </w:r>
      <w:r w:rsidR="00B447A4" w:rsidRPr="008C7B57">
        <w:t xml:space="preserve">cf. </w:t>
      </w:r>
      <w:r w:rsidRPr="008C7B57">
        <w:t>1 Corinthians 7:8-9, 39, 1 Timothy 5:14</w:t>
      </w:r>
      <w:r w:rsidR="008D12AA" w:rsidRPr="008C7B57">
        <w:t>, Romans 7:1-3</w:t>
      </w:r>
      <w:r w:rsidR="00530EFA">
        <w:t>.</w:t>
      </w:r>
    </w:p>
  </w:footnote>
  <w:footnote w:id="28">
    <w:p w14:paraId="39C79E8B" w14:textId="77777777" w:rsidR="005908C7" w:rsidRPr="008C7B57" w:rsidRDefault="005908C7">
      <w:pPr>
        <w:pStyle w:val="FootnoteText"/>
      </w:pPr>
      <w:r w:rsidRPr="008C7B57">
        <w:rPr>
          <w:rStyle w:val="FootnoteReference"/>
        </w:rPr>
        <w:footnoteRef/>
      </w:r>
      <w:r w:rsidRPr="008C7B57">
        <w:t>cf. Malachi 2:16</w:t>
      </w:r>
      <w:r w:rsidR="00530EFA">
        <w:t>.</w:t>
      </w:r>
    </w:p>
  </w:footnote>
  <w:footnote w:id="29">
    <w:p w14:paraId="3A1A1310" w14:textId="77777777" w:rsidR="008D12AA" w:rsidRPr="008C7B57" w:rsidRDefault="008D12AA">
      <w:pPr>
        <w:pStyle w:val="FootnoteText"/>
      </w:pPr>
      <w:r w:rsidRPr="008C7B57">
        <w:rPr>
          <w:rStyle w:val="FootnoteReference"/>
        </w:rPr>
        <w:footnoteRef/>
      </w:r>
      <w:r w:rsidR="00B447A4" w:rsidRPr="008C7B57">
        <w:t>c</w:t>
      </w:r>
      <w:r w:rsidRPr="008C7B57">
        <w:t xml:space="preserve">f. Luke 16:18, Mark 10:11-12, </w:t>
      </w:r>
      <w:r w:rsidR="0081054B" w:rsidRPr="008C7B57">
        <w:t>1 Corinthians 7:10-11</w:t>
      </w:r>
      <w:r w:rsidR="00530EFA">
        <w:t>.</w:t>
      </w:r>
    </w:p>
  </w:footnote>
  <w:footnote w:id="30">
    <w:p w14:paraId="155A1B1E" w14:textId="77777777" w:rsidR="002E3FE1" w:rsidRPr="008C7B57" w:rsidRDefault="002E3FE1">
      <w:pPr>
        <w:pStyle w:val="FootnoteText"/>
      </w:pPr>
      <w:r w:rsidRPr="008C7B57">
        <w:rPr>
          <w:rStyle w:val="FootnoteReference"/>
        </w:rPr>
        <w:footnoteRef/>
      </w:r>
      <w:r w:rsidRPr="008C7B57">
        <w:t xml:space="preserve">cf. </w:t>
      </w:r>
      <w:r w:rsidR="00530EFA">
        <w:t xml:space="preserve">Knight, </w:t>
      </w:r>
      <w:r w:rsidR="00530EFA">
        <w:rPr>
          <w:i/>
        </w:rPr>
        <w:t>The Pastoral Epistles</w:t>
      </w:r>
      <w:r w:rsidR="00530EFA">
        <w:t xml:space="preserve">, </w:t>
      </w:r>
      <w:r w:rsidRPr="008C7B57">
        <w:t>158</w:t>
      </w:r>
      <w:r w:rsidR="00530EFA">
        <w:t>,</w:t>
      </w:r>
      <w:r w:rsidRPr="008C7B57">
        <w:t xml:space="preserve"> on #3</w:t>
      </w:r>
      <w:r w:rsidR="00530EFA">
        <w:t>.</w:t>
      </w:r>
    </w:p>
  </w:footnote>
  <w:footnote w:id="31">
    <w:p w14:paraId="3CCEFA42" w14:textId="77777777" w:rsidR="00C917FA" w:rsidRPr="008C7B57" w:rsidRDefault="00C917FA">
      <w:pPr>
        <w:pStyle w:val="FootnoteText"/>
      </w:pPr>
      <w:r w:rsidRPr="008C7B57">
        <w:rPr>
          <w:rStyle w:val="FootnoteReference"/>
        </w:rPr>
        <w:footnoteRef/>
      </w:r>
      <w:r w:rsidR="00530EFA">
        <w:t xml:space="preserve">Towner, </w:t>
      </w:r>
      <w:r w:rsidR="00530EFA">
        <w:rPr>
          <w:i/>
        </w:rPr>
        <w:t>The Letters to Timothy and Titus</w:t>
      </w:r>
      <w:r w:rsidR="00530EFA">
        <w:t xml:space="preserve">, </w:t>
      </w:r>
      <w:r w:rsidRPr="008C7B57">
        <w:t>251</w:t>
      </w:r>
      <w:r w:rsidR="00530EFA">
        <w:t>.</w:t>
      </w:r>
    </w:p>
  </w:footnote>
  <w:footnote w:id="32">
    <w:p w14:paraId="6B637DD5" w14:textId="77777777" w:rsidR="00C4729A" w:rsidRPr="00C4729A" w:rsidRDefault="00C4729A">
      <w:pPr>
        <w:pStyle w:val="FootnoteText"/>
      </w:pPr>
      <w:r w:rsidRPr="00C4729A">
        <w:rPr>
          <w:rStyle w:val="FootnoteReference"/>
        </w:rPr>
        <w:footnoteRef/>
      </w:r>
      <w:r>
        <w:t xml:space="preserve">While sinning as a Christian is trampling on the grace of Christ, </w:t>
      </w:r>
      <w:r w:rsidR="007F12F1">
        <w:t>believers must be allowed to grow into maturity. Therefore, sin in a maturing Christian’s life should not disqualify him from future ministry (or, past post-conversion sins should not disqualify an otherwise qualified candidate). By contrast</w:t>
      </w:r>
      <w:r w:rsidR="007F12F1" w:rsidRPr="008C7B57">
        <w:t xml:space="preserve">, Knight holds that the qualifications are in “reference to a man’s status and conduct </w:t>
      </w:r>
      <w:r w:rsidR="007F12F1">
        <w:t>from the time of his conversion</w:t>
      </w:r>
      <w:r w:rsidR="007F12F1" w:rsidRPr="008C7B57">
        <w:t xml:space="preserve">” </w:t>
      </w:r>
      <w:r w:rsidR="007F12F1">
        <w:t xml:space="preserve">(Knight, </w:t>
      </w:r>
      <w:r w:rsidR="007F12F1">
        <w:rPr>
          <w:i/>
        </w:rPr>
        <w:t>The Pastoral Epistles</w:t>
      </w:r>
      <w:r w:rsidR="007F12F1">
        <w:t xml:space="preserve">, 159.) </w:t>
      </w:r>
      <w:r w:rsidR="007F12F1" w:rsidRPr="008C7B57">
        <w:t>I humbly disagree.</w:t>
      </w:r>
      <w:r w:rsidR="007F12F1">
        <w:t xml:space="preserve">  </w:t>
      </w:r>
    </w:p>
  </w:footnote>
  <w:footnote w:id="33">
    <w:p w14:paraId="62DF35A2" w14:textId="77777777" w:rsidR="004A0014" w:rsidRPr="008C7B57" w:rsidRDefault="004A0014" w:rsidP="004A0014">
      <w:pPr>
        <w:pStyle w:val="FootnoteText"/>
      </w:pPr>
      <w:r w:rsidRPr="008C7B57">
        <w:rPr>
          <w:rStyle w:val="FootnoteReference"/>
        </w:rPr>
        <w:footnoteRef/>
      </w:r>
      <w:r>
        <w:t xml:space="preserve">Towner, </w:t>
      </w:r>
      <w:r w:rsidRPr="005508ED">
        <w:rPr>
          <w:i/>
        </w:rPr>
        <w:t>1-2 Timothy &amp; Titus</w:t>
      </w:r>
      <w:r>
        <w:t xml:space="preserve">, </w:t>
      </w:r>
      <w:r w:rsidRPr="008C7B57">
        <w:t>85</w:t>
      </w:r>
      <w:r>
        <w:t>.</w:t>
      </w:r>
    </w:p>
  </w:footnote>
  <w:footnote w:id="34">
    <w:p w14:paraId="28197F5D" w14:textId="77777777" w:rsidR="00D76BB5" w:rsidRPr="008C7B57" w:rsidRDefault="00D76BB5">
      <w:pPr>
        <w:pStyle w:val="FootnoteText"/>
      </w:pPr>
      <w:r w:rsidRPr="008C7B57">
        <w:rPr>
          <w:rStyle w:val="FootnoteReference"/>
        </w:rPr>
        <w:footnoteRef/>
      </w:r>
      <w:r w:rsidR="006B415A">
        <w:t xml:space="preserve">Marshall, </w:t>
      </w:r>
      <w:r w:rsidR="006B415A">
        <w:rPr>
          <w:i/>
        </w:rPr>
        <w:t>The Pastoral Epistles</w:t>
      </w:r>
      <w:r w:rsidR="006B415A">
        <w:t xml:space="preserve">, </w:t>
      </w:r>
      <w:r w:rsidRPr="008C7B57">
        <w:t>478</w:t>
      </w:r>
      <w:r w:rsidR="006B415A">
        <w:t>;</w:t>
      </w:r>
      <w:r w:rsidR="006F3095" w:rsidRPr="008C7B57">
        <w:t xml:space="preserve"> cf. </w:t>
      </w:r>
      <w:r w:rsidR="006B415A">
        <w:t xml:space="preserve">Towner, </w:t>
      </w:r>
      <w:r w:rsidR="006B415A" w:rsidRPr="005508ED">
        <w:rPr>
          <w:i/>
        </w:rPr>
        <w:t>1-2 Timothy &amp; Titus</w:t>
      </w:r>
      <w:r w:rsidR="006B415A">
        <w:t xml:space="preserve">, </w:t>
      </w:r>
      <w:r w:rsidR="006F3095" w:rsidRPr="008C7B57">
        <w:t>85</w:t>
      </w:r>
      <w:r w:rsidR="006B415A">
        <w:t>.</w:t>
      </w:r>
    </w:p>
  </w:footnote>
  <w:footnote w:id="35">
    <w:p w14:paraId="7537E1C2" w14:textId="77777777" w:rsidR="00F8622C" w:rsidRPr="008C7B57" w:rsidRDefault="00F8622C" w:rsidP="00F8622C">
      <w:pPr>
        <w:pStyle w:val="FootnoteText"/>
      </w:pPr>
      <w:r w:rsidRPr="008C7B57">
        <w:rPr>
          <w:rStyle w:val="FootnoteReference"/>
        </w:rPr>
        <w:footnoteRef/>
      </w:r>
      <w:r>
        <w:t xml:space="preserve">Walter Bauer, </w:t>
      </w:r>
      <w:r>
        <w:rPr>
          <w:i/>
        </w:rPr>
        <w:t>A Greek-English Lexicon of the New Testament</w:t>
      </w:r>
      <w:r>
        <w:t>, rev. and ed. Frederick W. Danker, 3</w:t>
      </w:r>
      <w:r w:rsidRPr="007C69ED">
        <w:rPr>
          <w:vertAlign w:val="superscript"/>
        </w:rPr>
        <w:t>rd</w:t>
      </w:r>
      <w:r>
        <w:t xml:space="preserve"> ed.</w:t>
      </w:r>
      <w:r w:rsidRPr="00181CE8">
        <w:t xml:space="preserve"> </w:t>
      </w:r>
      <w:r>
        <w:t>[BDAG] (Chicago, IL: University of Chicago Press, 2000), s.v. “</w:t>
      </w:r>
      <w:r w:rsidRPr="008C7B57">
        <w:rPr>
          <w:bCs/>
        </w:rPr>
        <w:t>νηφάλιος</w:t>
      </w:r>
      <w:r>
        <w:t>.”</w:t>
      </w:r>
    </w:p>
  </w:footnote>
  <w:footnote w:id="36">
    <w:p w14:paraId="7BDCBA8C" w14:textId="77777777" w:rsidR="006A5799" w:rsidRPr="008C7B57" w:rsidRDefault="006A5799">
      <w:pPr>
        <w:pStyle w:val="FootnoteText"/>
      </w:pPr>
      <w:r w:rsidRPr="008C7B57">
        <w:rPr>
          <w:rStyle w:val="FootnoteReference"/>
        </w:rPr>
        <w:footnoteRef/>
      </w:r>
      <w:r w:rsidRPr="008C7B57">
        <w:t>BDAG</w:t>
      </w:r>
      <w:r w:rsidR="004A78A2">
        <w:t>, s.v.</w:t>
      </w:r>
      <w:r w:rsidRPr="008C7B57">
        <w:t xml:space="preserve"> </w:t>
      </w:r>
      <w:r w:rsidR="004A78A2">
        <w:t>“</w:t>
      </w:r>
      <w:r w:rsidRPr="008C7B57">
        <w:rPr>
          <w:bCs/>
        </w:rPr>
        <w:t>σώφρων</w:t>
      </w:r>
      <w:r w:rsidR="004A78A2">
        <w:rPr>
          <w:bCs/>
        </w:rPr>
        <w:t>.”</w:t>
      </w:r>
    </w:p>
  </w:footnote>
  <w:footnote w:id="37">
    <w:p w14:paraId="5DED7C6D" w14:textId="77777777" w:rsidR="006A5799" w:rsidRPr="008C7B57" w:rsidRDefault="006A5799">
      <w:pPr>
        <w:pStyle w:val="FootnoteText"/>
      </w:pPr>
      <w:r w:rsidRPr="008C7B57">
        <w:rPr>
          <w:rStyle w:val="FootnoteReference"/>
        </w:rPr>
        <w:footnoteRef/>
      </w:r>
      <w:r w:rsidRPr="008C7B57">
        <w:t>BDAG</w:t>
      </w:r>
      <w:r w:rsidR="004A78A2">
        <w:t>, s.v. “</w:t>
      </w:r>
      <w:r w:rsidRPr="008C7B57">
        <w:rPr>
          <w:bCs/>
        </w:rPr>
        <w:t>κόσμιος</w:t>
      </w:r>
      <w:r w:rsidR="004A78A2">
        <w:rPr>
          <w:bCs/>
        </w:rPr>
        <w:t>.”</w:t>
      </w:r>
    </w:p>
  </w:footnote>
  <w:footnote w:id="38">
    <w:p w14:paraId="7ACB4D44" w14:textId="77777777" w:rsidR="00156166" w:rsidRPr="008C7B57" w:rsidRDefault="00156166">
      <w:pPr>
        <w:pStyle w:val="FootnoteText"/>
      </w:pPr>
      <w:r w:rsidRPr="008C7B57">
        <w:rPr>
          <w:rStyle w:val="FootnoteReference"/>
        </w:rPr>
        <w:footnoteRef/>
      </w:r>
      <w:r w:rsidR="004A78A2">
        <w:t xml:space="preserve">cf. Liefeld, </w:t>
      </w:r>
      <w:r w:rsidR="004A78A2">
        <w:rPr>
          <w:i/>
        </w:rPr>
        <w:t>1 &amp; 2 Timothy, Titus</w:t>
      </w:r>
      <w:r w:rsidR="004A78A2">
        <w:t xml:space="preserve">, </w:t>
      </w:r>
      <w:r w:rsidRPr="008C7B57">
        <w:t>119</w:t>
      </w:r>
      <w:r w:rsidR="004A78A2">
        <w:t>.</w:t>
      </w:r>
    </w:p>
  </w:footnote>
  <w:footnote w:id="39">
    <w:p w14:paraId="64602A94" w14:textId="77777777" w:rsidR="00156166" w:rsidRPr="008C7B57" w:rsidRDefault="00156166">
      <w:pPr>
        <w:pStyle w:val="FootnoteText"/>
      </w:pPr>
      <w:r w:rsidRPr="008C7B57">
        <w:rPr>
          <w:rStyle w:val="FootnoteReference"/>
        </w:rPr>
        <w:footnoteRef/>
      </w:r>
      <w:r w:rsidR="0013269C">
        <w:t xml:space="preserve">cf. </w:t>
      </w:r>
      <w:r w:rsidR="004A78A2">
        <w:t>BDAG, s.v. “</w:t>
      </w:r>
      <w:r w:rsidR="006525FC" w:rsidRPr="008C7B57">
        <w:rPr>
          <w:bCs/>
        </w:rPr>
        <w:t>φιλόξενος</w:t>
      </w:r>
      <w:r w:rsidR="004A78A2">
        <w:rPr>
          <w:bCs/>
        </w:rPr>
        <w:t>.”</w:t>
      </w:r>
      <w:r w:rsidR="006525FC" w:rsidRPr="008C7B57">
        <w:t xml:space="preserve"> </w:t>
      </w:r>
      <w:r w:rsidR="0013269C">
        <w:t xml:space="preserve">Utley, </w:t>
      </w:r>
      <w:r w:rsidR="0013269C" w:rsidRPr="005508ED">
        <w:rPr>
          <w:i/>
        </w:rPr>
        <w:t>Paul’s Fourth Missionary Journey</w:t>
      </w:r>
      <w:r w:rsidR="0013269C">
        <w:t>, 42;</w:t>
      </w:r>
      <w:r w:rsidRPr="008C7B57">
        <w:t xml:space="preserve"> </w:t>
      </w:r>
      <w:r w:rsidR="0013269C">
        <w:t xml:space="preserve">Saarinen, </w:t>
      </w:r>
      <w:r w:rsidR="0013269C">
        <w:rPr>
          <w:i/>
        </w:rPr>
        <w:t>The Pastoral Epistles with Philemon &amp; Jude</w:t>
      </w:r>
      <w:r w:rsidR="0013269C">
        <w:t xml:space="preserve">, </w:t>
      </w:r>
      <w:r w:rsidRPr="008C7B57">
        <w:t>63</w:t>
      </w:r>
      <w:r w:rsidR="0013269C">
        <w:t>.</w:t>
      </w:r>
    </w:p>
  </w:footnote>
  <w:footnote w:id="40">
    <w:p w14:paraId="584E59CA" w14:textId="77777777" w:rsidR="009965DB" w:rsidRPr="008C7B57" w:rsidRDefault="009965DB">
      <w:pPr>
        <w:pStyle w:val="FootnoteText"/>
      </w:pPr>
      <w:r w:rsidRPr="008C7B57">
        <w:rPr>
          <w:rStyle w:val="FootnoteReference"/>
        </w:rPr>
        <w:footnoteRef/>
      </w:r>
      <w:r w:rsidR="0013269C">
        <w:t xml:space="preserve">Towner, </w:t>
      </w:r>
      <w:r w:rsidR="0013269C">
        <w:rPr>
          <w:i/>
        </w:rPr>
        <w:t>The Letters to Timothy and Titus</w:t>
      </w:r>
      <w:r w:rsidR="0013269C">
        <w:t>,</w:t>
      </w:r>
      <w:r w:rsidRPr="008C7B57">
        <w:t xml:space="preserve"> 252</w:t>
      </w:r>
      <w:r w:rsidR="0013269C">
        <w:t>.</w:t>
      </w:r>
      <w:r w:rsidRPr="008C7B57">
        <w:t xml:space="preserve"> cf. Romans 12:13, Hebrews 13:2, 1 Peter 4:9</w:t>
      </w:r>
      <w:r w:rsidR="0013269C">
        <w:t>.</w:t>
      </w:r>
    </w:p>
  </w:footnote>
  <w:footnote w:id="41">
    <w:p w14:paraId="50D7750C" w14:textId="77777777" w:rsidR="006525FC" w:rsidRPr="008C7B57" w:rsidRDefault="006525FC">
      <w:pPr>
        <w:pStyle w:val="FootnoteText"/>
      </w:pPr>
      <w:r w:rsidRPr="008C7B57">
        <w:rPr>
          <w:rStyle w:val="FootnoteReference"/>
        </w:rPr>
        <w:footnoteRef/>
      </w:r>
      <w:r w:rsidRPr="008C7B57">
        <w:t>BDAG</w:t>
      </w:r>
      <w:r w:rsidR="00132335">
        <w:t>, s.v. “</w:t>
      </w:r>
      <w:r w:rsidRPr="008C7B57">
        <w:rPr>
          <w:bCs/>
        </w:rPr>
        <w:t>διδακτικός</w:t>
      </w:r>
      <w:r w:rsidR="00132335">
        <w:rPr>
          <w:bCs/>
        </w:rPr>
        <w:t>.”</w:t>
      </w:r>
    </w:p>
  </w:footnote>
  <w:footnote w:id="42">
    <w:p w14:paraId="74B21EF4" w14:textId="77777777" w:rsidR="004E360F" w:rsidRPr="008C7B57" w:rsidRDefault="004E360F">
      <w:pPr>
        <w:pStyle w:val="FootnoteText"/>
      </w:pPr>
      <w:r w:rsidRPr="008C7B57">
        <w:rPr>
          <w:rStyle w:val="FootnoteReference"/>
        </w:rPr>
        <w:footnoteRef/>
      </w:r>
      <w:r w:rsidRPr="008C7B57">
        <w:t>BDAG</w:t>
      </w:r>
      <w:r w:rsidR="00132335">
        <w:t>, s.v.</w:t>
      </w:r>
      <w:r w:rsidRPr="008C7B57">
        <w:t xml:space="preserve"> </w:t>
      </w:r>
      <w:r w:rsidR="00132335">
        <w:t>“</w:t>
      </w:r>
      <w:r w:rsidRPr="008C7B57">
        <w:t>διδάσκω</w:t>
      </w:r>
      <w:r w:rsidR="00132335">
        <w:t>.”</w:t>
      </w:r>
    </w:p>
  </w:footnote>
  <w:footnote w:id="43">
    <w:p w14:paraId="705A6F6C" w14:textId="77777777" w:rsidR="00D02A6B" w:rsidRPr="008C7B57" w:rsidRDefault="00D02A6B" w:rsidP="00D02A6B">
      <w:pPr>
        <w:spacing w:after="100" w:afterAutospacing="1" w:line="240" w:lineRule="auto"/>
        <w:ind w:firstLine="1008"/>
        <w:rPr>
          <w:sz w:val="20"/>
        </w:rPr>
      </w:pPr>
      <w:r w:rsidRPr="008C7B57">
        <w:rPr>
          <w:sz w:val="20"/>
          <w:vertAlign w:val="superscript"/>
        </w:rPr>
        <w:footnoteRef/>
      </w:r>
      <w:r w:rsidR="00B520FD">
        <w:rPr>
          <w:sz w:val="20"/>
        </w:rPr>
        <w:t xml:space="preserve">Kurt Aland et al., </w:t>
      </w:r>
      <w:r w:rsidR="00B520FD">
        <w:rPr>
          <w:i/>
          <w:sz w:val="20"/>
        </w:rPr>
        <w:t>The Greek New Testament</w:t>
      </w:r>
      <w:r w:rsidR="00132335">
        <w:rPr>
          <w:sz w:val="20"/>
        </w:rPr>
        <w:t>,</w:t>
      </w:r>
      <w:r w:rsidR="00997116" w:rsidRPr="008C7B57">
        <w:rPr>
          <w:sz w:val="20"/>
        </w:rPr>
        <w:t xml:space="preserve"> 1 Ti 3:3</w:t>
      </w:r>
      <w:r w:rsidRPr="008C7B57">
        <w:rPr>
          <w:sz w:val="20"/>
        </w:rPr>
        <w:t>.</w:t>
      </w:r>
    </w:p>
  </w:footnote>
  <w:footnote w:id="44">
    <w:p w14:paraId="58717AF1" w14:textId="77777777" w:rsidR="004113AE" w:rsidRPr="008C7B57" w:rsidRDefault="004113AE">
      <w:pPr>
        <w:pStyle w:val="FootnoteText"/>
      </w:pPr>
      <w:r w:rsidRPr="008C7B57">
        <w:rPr>
          <w:rStyle w:val="FootnoteReference"/>
        </w:rPr>
        <w:footnoteRef/>
      </w:r>
      <w:r w:rsidRPr="008C7B57">
        <w:t>cf. Proverbs 20:1, Ecclesiastes 10:17, Luke 21:34, 1 Peter 4:3 for a few examples</w:t>
      </w:r>
      <w:r w:rsidR="00754304" w:rsidRPr="008C7B57">
        <w:t>.</w:t>
      </w:r>
    </w:p>
  </w:footnote>
  <w:footnote w:id="45">
    <w:p w14:paraId="1486615F" w14:textId="77777777" w:rsidR="00953387" w:rsidRPr="008C7B57" w:rsidRDefault="00953387">
      <w:pPr>
        <w:pStyle w:val="FootnoteText"/>
      </w:pPr>
      <w:r w:rsidRPr="008C7B57">
        <w:rPr>
          <w:rStyle w:val="FootnoteReference"/>
        </w:rPr>
        <w:footnoteRef/>
      </w:r>
      <w:r w:rsidRPr="008C7B57">
        <w:t xml:space="preserve">cf. </w:t>
      </w:r>
      <w:r w:rsidR="00132335">
        <w:t xml:space="preserve">Liefeld, </w:t>
      </w:r>
      <w:r w:rsidR="00132335">
        <w:rPr>
          <w:i/>
        </w:rPr>
        <w:t>1 &amp; 2 Timothy, Titus</w:t>
      </w:r>
      <w:r w:rsidR="00132335">
        <w:t xml:space="preserve">, 120; Utley, </w:t>
      </w:r>
      <w:r w:rsidR="00132335" w:rsidRPr="005508ED">
        <w:rPr>
          <w:i/>
        </w:rPr>
        <w:t>Paul’s Fourth Missionary Journey</w:t>
      </w:r>
      <w:r w:rsidR="00132335">
        <w:t xml:space="preserve">, </w:t>
      </w:r>
      <w:r w:rsidRPr="008C7B57">
        <w:t>42</w:t>
      </w:r>
      <w:r w:rsidR="00132335">
        <w:t>.</w:t>
      </w:r>
    </w:p>
  </w:footnote>
  <w:footnote w:id="46">
    <w:p w14:paraId="0252299F" w14:textId="77777777" w:rsidR="00754304" w:rsidRPr="008C7B57" w:rsidRDefault="00754304">
      <w:pPr>
        <w:pStyle w:val="FootnoteText"/>
      </w:pPr>
      <w:r w:rsidRPr="008C7B57">
        <w:rPr>
          <w:rStyle w:val="FootnoteReference"/>
        </w:rPr>
        <w:footnoteRef/>
      </w:r>
      <w:r w:rsidRPr="008C7B57">
        <w:t xml:space="preserve">cf. Deuteronomy 7:12-14, Psalm 104:14-15, Isaiah 25:6, Matthew 11:18-19 for a few examples. </w:t>
      </w:r>
      <w:r w:rsidR="00000E4D">
        <w:t>See also</w:t>
      </w:r>
      <w:r w:rsidRPr="008C7B57">
        <w:t xml:space="preserve"> </w:t>
      </w:r>
      <w:r w:rsidR="008B1AAA">
        <w:t xml:space="preserve">Utley, </w:t>
      </w:r>
      <w:r w:rsidR="008B1AAA" w:rsidRPr="005508ED">
        <w:rPr>
          <w:i/>
        </w:rPr>
        <w:t>Paul’s Fourth Missionary Journey</w:t>
      </w:r>
      <w:r w:rsidR="008B1AAA">
        <w:t xml:space="preserve">, </w:t>
      </w:r>
      <w:r w:rsidRPr="008C7B57">
        <w:t>42-44</w:t>
      </w:r>
      <w:r w:rsidR="008B1AAA">
        <w:t>,</w:t>
      </w:r>
      <w:r w:rsidRPr="008C7B57">
        <w:t xml:space="preserve"> for a summation of the use of alcohol in the Bible.</w:t>
      </w:r>
    </w:p>
  </w:footnote>
  <w:footnote w:id="47">
    <w:p w14:paraId="25135D67" w14:textId="77777777" w:rsidR="00F12D6A" w:rsidRPr="008C7B57" w:rsidRDefault="00F12D6A">
      <w:pPr>
        <w:pStyle w:val="FootnoteText"/>
      </w:pPr>
      <w:r w:rsidRPr="008C7B57">
        <w:rPr>
          <w:rStyle w:val="FootnoteReference"/>
        </w:rPr>
        <w:footnoteRef/>
      </w:r>
      <w:r w:rsidRPr="008C7B57">
        <w:t>BDAG</w:t>
      </w:r>
      <w:r w:rsidR="006919E7">
        <w:t>, s.v. “</w:t>
      </w:r>
      <w:r w:rsidRPr="008C7B57">
        <w:rPr>
          <w:bCs/>
        </w:rPr>
        <w:t>πλήκτης</w:t>
      </w:r>
      <w:r w:rsidR="006919E7">
        <w:rPr>
          <w:bCs/>
        </w:rPr>
        <w:t>.”</w:t>
      </w:r>
    </w:p>
  </w:footnote>
  <w:footnote w:id="48">
    <w:p w14:paraId="72F30B70" w14:textId="77777777" w:rsidR="00AB2B9F" w:rsidRPr="008C7B57" w:rsidRDefault="00AB2B9F" w:rsidP="00694B72">
      <w:pPr>
        <w:pStyle w:val="FootnoteText"/>
      </w:pPr>
      <w:r w:rsidRPr="008C7B57">
        <w:rPr>
          <w:rStyle w:val="FootnoteReference"/>
        </w:rPr>
        <w:footnoteRef/>
      </w:r>
      <w:r w:rsidR="006919E7">
        <w:t>BDAG, s.v. “</w:t>
      </w:r>
      <w:r w:rsidRPr="008C7B57">
        <w:rPr>
          <w:bCs/>
        </w:rPr>
        <w:t>ἐπιεικής</w:t>
      </w:r>
      <w:r w:rsidR="006919E7">
        <w:rPr>
          <w:bCs/>
        </w:rPr>
        <w:t>.”</w:t>
      </w:r>
    </w:p>
  </w:footnote>
  <w:footnote w:id="49">
    <w:p w14:paraId="710AC26B" w14:textId="77777777" w:rsidR="00780C4F" w:rsidRPr="008C7B57" w:rsidRDefault="00780C4F" w:rsidP="00694B72">
      <w:pPr>
        <w:pStyle w:val="FootnoteText"/>
      </w:pPr>
      <w:r w:rsidRPr="008C7B57">
        <w:rPr>
          <w:rStyle w:val="FootnoteReference"/>
        </w:rPr>
        <w:footnoteRef/>
      </w:r>
      <w:r w:rsidRPr="008C7B57">
        <w:t>BDAG</w:t>
      </w:r>
      <w:r w:rsidR="006919E7">
        <w:t>, s.v. “</w:t>
      </w:r>
      <w:r w:rsidRPr="008C7B57">
        <w:rPr>
          <w:bCs/>
        </w:rPr>
        <w:t>φιλάργυρος</w:t>
      </w:r>
      <w:r w:rsidR="006919E7">
        <w:rPr>
          <w:bCs/>
        </w:rPr>
        <w:t>.”</w:t>
      </w:r>
    </w:p>
  </w:footnote>
  <w:footnote w:id="50">
    <w:p w14:paraId="44D17117" w14:textId="77777777" w:rsidR="003C1F6B" w:rsidRPr="008C7B57" w:rsidRDefault="003C1F6B" w:rsidP="00694B72">
      <w:pPr>
        <w:spacing w:after="100" w:afterAutospacing="1" w:line="240" w:lineRule="auto"/>
        <w:ind w:firstLine="1008"/>
        <w:rPr>
          <w:sz w:val="20"/>
        </w:rPr>
      </w:pPr>
      <w:r w:rsidRPr="008C7B57">
        <w:rPr>
          <w:sz w:val="20"/>
          <w:vertAlign w:val="superscript"/>
        </w:rPr>
        <w:footnoteRef/>
      </w:r>
      <w:r w:rsidR="00A44A50">
        <w:rPr>
          <w:sz w:val="20"/>
        </w:rPr>
        <w:t xml:space="preserve">Kurt Aland et al., </w:t>
      </w:r>
      <w:r w:rsidR="00A44A50">
        <w:rPr>
          <w:i/>
          <w:sz w:val="20"/>
        </w:rPr>
        <w:t>The Greek New Testament</w:t>
      </w:r>
      <w:r w:rsidRPr="008C7B57">
        <w:rPr>
          <w:sz w:val="20"/>
        </w:rPr>
        <w:t>, 1 Ti 3:4–5.</w:t>
      </w:r>
    </w:p>
  </w:footnote>
  <w:footnote w:id="51">
    <w:p w14:paraId="31EC60B0" w14:textId="77777777" w:rsidR="00D745C9" w:rsidRPr="008C7B57" w:rsidRDefault="00D745C9">
      <w:pPr>
        <w:pStyle w:val="FootnoteText"/>
      </w:pPr>
      <w:r w:rsidRPr="008C7B57">
        <w:rPr>
          <w:rStyle w:val="FootnoteReference"/>
        </w:rPr>
        <w:footnoteRef/>
      </w:r>
      <w:r w:rsidR="00673AC5">
        <w:t xml:space="preserve">Towner, </w:t>
      </w:r>
      <w:r w:rsidR="00673AC5">
        <w:rPr>
          <w:i/>
        </w:rPr>
        <w:t>The Letters to Timothy and Titus</w:t>
      </w:r>
      <w:r w:rsidR="00673AC5">
        <w:t xml:space="preserve">, </w:t>
      </w:r>
      <w:r w:rsidRPr="008C7B57">
        <w:t>254</w:t>
      </w:r>
      <w:r w:rsidR="00673AC5">
        <w:t>.</w:t>
      </w:r>
    </w:p>
  </w:footnote>
  <w:footnote w:id="52">
    <w:p w14:paraId="544617E7" w14:textId="77777777" w:rsidR="00932C81" w:rsidRPr="008C7B57" w:rsidRDefault="00932C81">
      <w:pPr>
        <w:pStyle w:val="FootnoteText"/>
      </w:pPr>
      <w:r w:rsidRPr="008C7B57">
        <w:rPr>
          <w:rStyle w:val="FootnoteReference"/>
        </w:rPr>
        <w:footnoteRef/>
      </w:r>
      <w:r w:rsidRPr="008C7B57">
        <w:t>BDAG</w:t>
      </w:r>
      <w:r w:rsidR="006919E7">
        <w:t>, s.v. “</w:t>
      </w:r>
      <w:r w:rsidRPr="008C7B57">
        <w:rPr>
          <w:bCs/>
        </w:rPr>
        <w:t>προΐσταμαι</w:t>
      </w:r>
      <w:r w:rsidR="006919E7">
        <w:rPr>
          <w:bCs/>
        </w:rPr>
        <w:t>.”</w:t>
      </w:r>
    </w:p>
  </w:footnote>
  <w:footnote w:id="53">
    <w:p w14:paraId="200FDC33" w14:textId="77777777" w:rsidR="00E24D41" w:rsidRPr="008C7B57" w:rsidRDefault="00E24D41">
      <w:pPr>
        <w:pStyle w:val="FootnoteText"/>
      </w:pPr>
      <w:r w:rsidRPr="008C7B57">
        <w:rPr>
          <w:rStyle w:val="FootnoteReference"/>
        </w:rPr>
        <w:footnoteRef/>
      </w:r>
      <w:r w:rsidR="005B096B">
        <w:t xml:space="preserve">Liefeld, </w:t>
      </w:r>
      <w:r w:rsidR="005B096B">
        <w:rPr>
          <w:i/>
        </w:rPr>
        <w:t>1 &amp; 2 Timothy, Titus</w:t>
      </w:r>
      <w:r w:rsidR="005B096B">
        <w:t xml:space="preserve">, </w:t>
      </w:r>
      <w:r w:rsidRPr="008C7B57">
        <w:t>120</w:t>
      </w:r>
      <w:r w:rsidR="005B096B">
        <w:t>.</w:t>
      </w:r>
    </w:p>
  </w:footnote>
  <w:footnote w:id="54">
    <w:p w14:paraId="1B7F5DDB" w14:textId="77777777" w:rsidR="009D174A" w:rsidRPr="008C7B57" w:rsidRDefault="009D174A">
      <w:pPr>
        <w:pStyle w:val="FootnoteText"/>
      </w:pPr>
      <w:r w:rsidRPr="008C7B57">
        <w:rPr>
          <w:rStyle w:val="FootnoteReference"/>
        </w:rPr>
        <w:footnoteRef/>
      </w:r>
      <w:r w:rsidR="005B2DA8">
        <w:t xml:space="preserve">cf. Knight, </w:t>
      </w:r>
      <w:r w:rsidR="005B2DA8">
        <w:rPr>
          <w:i/>
        </w:rPr>
        <w:t>The Pastoral Epistles</w:t>
      </w:r>
      <w:r w:rsidR="005B2DA8">
        <w:t xml:space="preserve">, </w:t>
      </w:r>
      <w:r w:rsidRPr="008C7B57">
        <w:t>161</w:t>
      </w:r>
      <w:r w:rsidR="005B2DA8">
        <w:t>.</w:t>
      </w:r>
    </w:p>
  </w:footnote>
  <w:footnote w:id="55">
    <w:p w14:paraId="00405F6C" w14:textId="77777777" w:rsidR="00C76B05" w:rsidRPr="00C76B05" w:rsidRDefault="00C76B05" w:rsidP="00FA23A6">
      <w:pPr>
        <w:pStyle w:val="FootnoteText"/>
      </w:pPr>
      <w:r w:rsidRPr="00C76B05">
        <w:rPr>
          <w:rStyle w:val="FootnoteReference"/>
        </w:rPr>
        <w:footnoteRef/>
      </w:r>
      <w:r w:rsidRPr="00C76B05">
        <w:t xml:space="preserve">For an overview of first class conditions, see Daniel B. Wallace, </w:t>
      </w:r>
      <w:r w:rsidRPr="00C76B05">
        <w:rPr>
          <w:i/>
        </w:rPr>
        <w:t>Greek Grammar</w:t>
      </w:r>
      <w:r w:rsidRPr="008602D0">
        <w:t xml:space="preserve">, </w:t>
      </w:r>
      <w:r w:rsidRPr="007D6589">
        <w:t>690-694</w:t>
      </w:r>
      <w:r w:rsidRPr="00A42CA3">
        <w:t>.</w:t>
      </w:r>
    </w:p>
  </w:footnote>
  <w:footnote w:id="56">
    <w:p w14:paraId="409962F0" w14:textId="77777777" w:rsidR="005362F7" w:rsidRPr="008C7B57" w:rsidRDefault="005362F7" w:rsidP="005362F7">
      <w:pPr>
        <w:spacing w:line="240" w:lineRule="auto"/>
        <w:ind w:firstLine="1008"/>
        <w:rPr>
          <w:sz w:val="20"/>
        </w:rPr>
      </w:pPr>
      <w:r w:rsidRPr="008C7B57">
        <w:rPr>
          <w:sz w:val="20"/>
          <w:vertAlign w:val="superscript"/>
        </w:rPr>
        <w:footnoteRef/>
      </w:r>
      <w:r w:rsidR="007D6589">
        <w:rPr>
          <w:sz w:val="20"/>
        </w:rPr>
        <w:t xml:space="preserve">Kurt Aland et al., </w:t>
      </w:r>
      <w:r w:rsidR="007D6589">
        <w:rPr>
          <w:i/>
          <w:sz w:val="20"/>
        </w:rPr>
        <w:t>The Greek New Testament</w:t>
      </w:r>
      <w:r w:rsidR="00814BFF">
        <w:rPr>
          <w:sz w:val="20"/>
        </w:rPr>
        <w:t xml:space="preserve">, </w:t>
      </w:r>
      <w:r w:rsidRPr="008C7B57">
        <w:rPr>
          <w:sz w:val="20"/>
        </w:rPr>
        <w:t>1 Ti 3:6–7.</w:t>
      </w:r>
    </w:p>
  </w:footnote>
  <w:footnote w:id="57">
    <w:p w14:paraId="57756D93" w14:textId="77777777" w:rsidR="008C41E7" w:rsidRPr="008C7B57" w:rsidRDefault="008C41E7">
      <w:pPr>
        <w:pStyle w:val="FootnoteText"/>
      </w:pPr>
      <w:r w:rsidRPr="008C7B57">
        <w:rPr>
          <w:rStyle w:val="FootnoteReference"/>
        </w:rPr>
        <w:footnoteRef/>
      </w:r>
      <w:r w:rsidR="00C9375C">
        <w:t xml:space="preserve">Utley, </w:t>
      </w:r>
      <w:r w:rsidR="00C9375C" w:rsidRPr="005508ED">
        <w:rPr>
          <w:i/>
        </w:rPr>
        <w:t>Paul’s Fourth Missionary Journey</w:t>
      </w:r>
      <w:r w:rsidR="00C9375C">
        <w:t xml:space="preserve">, </w:t>
      </w:r>
      <w:r w:rsidRPr="008C7B57">
        <w:t>45</w:t>
      </w:r>
      <w:r w:rsidR="00C9375C">
        <w:t>.</w:t>
      </w:r>
    </w:p>
  </w:footnote>
  <w:footnote w:id="58">
    <w:p w14:paraId="4EF98734" w14:textId="77777777" w:rsidR="005B11A8" w:rsidRPr="008C7B57" w:rsidRDefault="005B11A8">
      <w:pPr>
        <w:pStyle w:val="FootnoteText"/>
      </w:pPr>
      <w:r w:rsidRPr="008C7B57">
        <w:rPr>
          <w:rStyle w:val="FootnoteReference"/>
        </w:rPr>
        <w:footnoteRef/>
      </w:r>
      <w:r w:rsidR="0089593C">
        <w:t xml:space="preserve">Towner, </w:t>
      </w:r>
      <w:r w:rsidR="0089593C">
        <w:rPr>
          <w:i/>
        </w:rPr>
        <w:t>The Letters to Timothy and Titus</w:t>
      </w:r>
      <w:r w:rsidR="0089593C">
        <w:t xml:space="preserve">, </w:t>
      </w:r>
      <w:r w:rsidRPr="008C7B57">
        <w:t>257-258</w:t>
      </w:r>
      <w:r w:rsidR="0089593C">
        <w:t>.</w:t>
      </w:r>
    </w:p>
  </w:footnote>
  <w:footnote w:id="59">
    <w:p w14:paraId="55C4B7D2" w14:textId="77777777" w:rsidR="00796F3D" w:rsidRPr="00796F3D" w:rsidRDefault="00796F3D">
      <w:pPr>
        <w:pStyle w:val="FootnoteText"/>
      </w:pPr>
      <w:r w:rsidRPr="00796F3D">
        <w:rPr>
          <w:rStyle w:val="FootnoteReference"/>
        </w:rPr>
        <w:footnoteRef/>
      </w:r>
      <w:r w:rsidRPr="00796F3D">
        <w:t xml:space="preserve">BDAG, s.v. </w:t>
      </w:r>
      <w:r w:rsidRPr="00A8572D">
        <w:t>“</w:t>
      </w:r>
      <w:r w:rsidR="00A8572D" w:rsidRPr="00E82DBF">
        <w:rPr>
          <w:lang w:val="el-GR"/>
        </w:rPr>
        <w:t>δὲ</w:t>
      </w:r>
      <w:r w:rsidRPr="00A8572D">
        <w:rPr>
          <w:bCs/>
        </w:rPr>
        <w:t>.”</w:t>
      </w:r>
    </w:p>
  </w:footnote>
  <w:footnote w:id="60">
    <w:p w14:paraId="76CCDCA3" w14:textId="77777777" w:rsidR="00906B23" w:rsidRPr="008C7B57" w:rsidRDefault="00906B23" w:rsidP="00906B23">
      <w:pPr>
        <w:pStyle w:val="FootnoteText"/>
      </w:pPr>
      <w:r w:rsidRPr="008C7B57">
        <w:rPr>
          <w:rStyle w:val="FootnoteReference"/>
        </w:rPr>
        <w:footnoteRef/>
      </w:r>
      <w:r w:rsidR="006919E7">
        <w:t>BDAG, s.v. “</w:t>
      </w:r>
      <w:r w:rsidRPr="008C7B57">
        <w:rPr>
          <w:bCs/>
        </w:rPr>
        <w:t>μαρτυρία</w:t>
      </w:r>
      <w:r w:rsidR="006919E7">
        <w:rPr>
          <w:bCs/>
        </w:rPr>
        <w:t>.”</w:t>
      </w:r>
    </w:p>
  </w:footnote>
  <w:footnote w:id="61">
    <w:p w14:paraId="2C3941E4" w14:textId="77777777" w:rsidR="00662708" w:rsidRPr="008C7B57" w:rsidRDefault="00662708">
      <w:pPr>
        <w:pStyle w:val="FootnoteText"/>
      </w:pPr>
      <w:r w:rsidRPr="008C7B57">
        <w:rPr>
          <w:rStyle w:val="FootnoteReference"/>
        </w:rPr>
        <w:footnoteRef/>
      </w:r>
      <w:r w:rsidRPr="008C7B57">
        <w:t xml:space="preserve">The governing </w:t>
      </w:r>
      <w:r w:rsidRPr="008C7B57">
        <w:rPr>
          <w:lang w:val="el-GR"/>
        </w:rPr>
        <w:t>δεῖ εἶναι</w:t>
      </w:r>
      <w:r w:rsidRPr="008C7B57">
        <w:t xml:space="preserve">, </w:t>
      </w:r>
      <w:r w:rsidRPr="008C7B57">
        <w:rPr>
          <w:i/>
        </w:rPr>
        <w:t>must be</w:t>
      </w:r>
      <w:r w:rsidRPr="008C7B57">
        <w:t xml:space="preserve">, actually continues to govern the qualifications of </w:t>
      </w:r>
      <w:r w:rsidRPr="008C7B57">
        <w:rPr>
          <w:lang w:val="el-GR"/>
        </w:rPr>
        <w:t>Διακόνους</w:t>
      </w:r>
      <w:r w:rsidRPr="008C7B57">
        <w:t xml:space="preserve">, </w:t>
      </w:r>
      <w:r w:rsidRPr="008C7B57">
        <w:rPr>
          <w:i/>
        </w:rPr>
        <w:t>deacons</w:t>
      </w:r>
      <w:r w:rsidRPr="008C7B57">
        <w:t>, and</w:t>
      </w:r>
      <w:r w:rsidRPr="008C7B57">
        <w:rPr>
          <w:i/>
        </w:rPr>
        <w:t xml:space="preserve"> </w:t>
      </w:r>
      <w:r w:rsidRPr="008C7B57">
        <w:rPr>
          <w:lang w:val="el-GR"/>
        </w:rPr>
        <w:t>γυναῖκας</w:t>
      </w:r>
      <w:r w:rsidRPr="008C7B57">
        <w:t xml:space="preserve">, </w:t>
      </w:r>
      <w:r w:rsidRPr="008C7B57">
        <w:rPr>
          <w:i/>
        </w:rPr>
        <w:t>women</w:t>
      </w:r>
      <w:r w:rsidRPr="008C7B57">
        <w:t>, in vv. 8-11. However, due to restrictions</w:t>
      </w:r>
      <w:r w:rsidR="007B5658">
        <w:t xml:space="preserve"> of</w:t>
      </w:r>
      <w:r w:rsidRPr="008C7B57">
        <w:t xml:space="preserve"> time and space, that half of the pericope </w:t>
      </w:r>
      <w:r w:rsidR="007B5658">
        <w:t xml:space="preserve">will </w:t>
      </w:r>
      <w:r w:rsidRPr="008C7B57">
        <w:t xml:space="preserve">not </w:t>
      </w:r>
      <w:r w:rsidR="007B5658">
        <w:t xml:space="preserve">be </w:t>
      </w:r>
      <w:r w:rsidRPr="008C7B57">
        <w:t>discussed in this paper.</w:t>
      </w:r>
    </w:p>
  </w:footnote>
  <w:footnote w:id="62">
    <w:p w14:paraId="2BA1983A" w14:textId="77777777" w:rsidR="0034372F" w:rsidRPr="006D4F33" w:rsidRDefault="0034372F" w:rsidP="0034372F">
      <w:pPr>
        <w:pStyle w:val="FootnoteText"/>
      </w:pPr>
      <w:r w:rsidRPr="008C7B57">
        <w:rPr>
          <w:rStyle w:val="FootnoteReference"/>
        </w:rPr>
        <w:footnoteRef/>
      </w:r>
      <w:r w:rsidRPr="008C7B57">
        <w:t xml:space="preserve">Notably, this does not include </w:t>
      </w:r>
      <w:r w:rsidRPr="008C7B57">
        <w:rPr>
          <w:lang w:val="el-GR"/>
        </w:rPr>
        <w:t>διδακτικόν</w:t>
      </w:r>
      <w:r w:rsidRPr="008C7B57">
        <w:t>,</w:t>
      </w:r>
      <w:r w:rsidRPr="008C7B57">
        <w:rPr>
          <w:i/>
        </w:rPr>
        <w:t xml:space="preserve"> ability to teach</w:t>
      </w:r>
      <w:r w:rsidR="003847EF" w:rsidRPr="008C7B57">
        <w: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6464FA" w14:textId="77777777" w:rsidR="00ED436A" w:rsidRDefault="00AF6DC4" w:rsidP="00943C0E">
    <w:pPr>
      <w:framePr w:wrap="around" w:vAnchor="text" w:hAnchor="margin" w:xAlign="right" w:y="1"/>
      <w:rPr>
        <w:rStyle w:val="PageNumber"/>
      </w:rPr>
    </w:pPr>
    <w:r>
      <w:rPr>
        <w:rStyle w:val="PageNumber"/>
      </w:rPr>
      <w:fldChar w:fldCharType="begin"/>
    </w:r>
    <w:r w:rsidR="00ED436A">
      <w:rPr>
        <w:rStyle w:val="PageNumber"/>
      </w:rPr>
      <w:instrText xml:space="preserve">PAGE  </w:instrText>
    </w:r>
    <w:r>
      <w:rPr>
        <w:rStyle w:val="PageNumber"/>
      </w:rPr>
      <w:fldChar w:fldCharType="separate"/>
    </w:r>
    <w:r w:rsidR="00ED436A">
      <w:rPr>
        <w:rStyle w:val="PageNumber"/>
        <w:noProof/>
      </w:rPr>
      <w:t>1</w:t>
    </w:r>
    <w:r>
      <w:rPr>
        <w:rStyle w:val="PageNumber"/>
      </w:rPr>
      <w:fldChar w:fldCharType="end"/>
    </w:r>
  </w:p>
  <w:p w14:paraId="0882BAB1" w14:textId="77777777" w:rsidR="00ED436A" w:rsidRDefault="00ED436A" w:rsidP="000A359F">
    <w:pP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ED366C" w14:textId="77777777" w:rsidR="00ED436A" w:rsidRPr="000A359F" w:rsidRDefault="00AF6DC4" w:rsidP="00943C0E">
    <w:pPr>
      <w:framePr w:wrap="around" w:vAnchor="text" w:hAnchor="margin" w:xAlign="right" w:y="1"/>
      <w:rPr>
        <w:rStyle w:val="PageNumber"/>
      </w:rPr>
    </w:pPr>
    <w:r w:rsidRPr="000A359F">
      <w:rPr>
        <w:rStyle w:val="PageNumber"/>
      </w:rPr>
      <w:fldChar w:fldCharType="begin"/>
    </w:r>
    <w:r w:rsidR="00ED436A" w:rsidRPr="000A359F">
      <w:rPr>
        <w:rStyle w:val="PageNumber"/>
      </w:rPr>
      <w:instrText xml:space="preserve">PAGE  </w:instrText>
    </w:r>
    <w:r w:rsidRPr="000A359F">
      <w:rPr>
        <w:rStyle w:val="PageNumber"/>
      </w:rPr>
      <w:fldChar w:fldCharType="separate"/>
    </w:r>
    <w:r w:rsidR="00894482">
      <w:rPr>
        <w:rStyle w:val="PageNumber"/>
        <w:noProof/>
      </w:rPr>
      <w:t>18</w:t>
    </w:r>
    <w:r w:rsidRPr="000A359F">
      <w:rPr>
        <w:rStyle w:val="PageNumber"/>
      </w:rPr>
      <w:fldChar w:fldCharType="end"/>
    </w:r>
  </w:p>
  <w:p w14:paraId="7E4D9683" w14:textId="77777777" w:rsidR="00ED436A" w:rsidRDefault="00ED436A" w:rsidP="000A359F">
    <w:pPr>
      <w:ind w:right="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A105F0" w14:textId="77777777" w:rsidR="000610C1" w:rsidRDefault="000610C1"/>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EADB0B" w14:textId="77777777" w:rsidR="00ED436A" w:rsidRDefault="00ED436A"/>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CF6177E"/>
    <w:lvl w:ilvl="0">
      <w:start w:val="1"/>
      <w:numFmt w:val="decimal"/>
      <w:lvlText w:val="%1."/>
      <w:lvlJc w:val="left"/>
      <w:pPr>
        <w:tabs>
          <w:tab w:val="num" w:pos="1800"/>
        </w:tabs>
        <w:ind w:left="1800" w:hanging="360"/>
      </w:pPr>
    </w:lvl>
  </w:abstractNum>
  <w:abstractNum w:abstractNumId="1">
    <w:nsid w:val="FFFFFF7D"/>
    <w:multiLevelType w:val="singleLevel"/>
    <w:tmpl w:val="A000BC38"/>
    <w:lvl w:ilvl="0">
      <w:start w:val="1"/>
      <w:numFmt w:val="decimal"/>
      <w:lvlText w:val="%1."/>
      <w:lvlJc w:val="left"/>
      <w:pPr>
        <w:tabs>
          <w:tab w:val="num" w:pos="1440"/>
        </w:tabs>
        <w:ind w:left="1440" w:hanging="360"/>
      </w:pPr>
    </w:lvl>
  </w:abstractNum>
  <w:abstractNum w:abstractNumId="2">
    <w:nsid w:val="FFFFFF7E"/>
    <w:multiLevelType w:val="singleLevel"/>
    <w:tmpl w:val="27C415BE"/>
    <w:lvl w:ilvl="0">
      <w:start w:val="1"/>
      <w:numFmt w:val="decimal"/>
      <w:lvlText w:val="%1."/>
      <w:lvlJc w:val="left"/>
      <w:pPr>
        <w:tabs>
          <w:tab w:val="num" w:pos="1080"/>
        </w:tabs>
        <w:ind w:left="1080" w:hanging="360"/>
      </w:pPr>
    </w:lvl>
  </w:abstractNum>
  <w:abstractNum w:abstractNumId="3">
    <w:nsid w:val="FFFFFF7F"/>
    <w:multiLevelType w:val="singleLevel"/>
    <w:tmpl w:val="83247BBA"/>
    <w:lvl w:ilvl="0">
      <w:start w:val="1"/>
      <w:numFmt w:val="decimal"/>
      <w:lvlText w:val="%1."/>
      <w:lvlJc w:val="left"/>
      <w:pPr>
        <w:tabs>
          <w:tab w:val="num" w:pos="720"/>
        </w:tabs>
        <w:ind w:left="720" w:hanging="360"/>
      </w:pPr>
    </w:lvl>
  </w:abstractNum>
  <w:abstractNum w:abstractNumId="4">
    <w:nsid w:val="FFFFFF80"/>
    <w:multiLevelType w:val="singleLevel"/>
    <w:tmpl w:val="5F6AD7F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54E91B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640214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8E2A6E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F20DCDC"/>
    <w:lvl w:ilvl="0">
      <w:start w:val="1"/>
      <w:numFmt w:val="decimal"/>
      <w:lvlText w:val="%1."/>
      <w:lvlJc w:val="left"/>
      <w:pPr>
        <w:tabs>
          <w:tab w:val="num" w:pos="360"/>
        </w:tabs>
        <w:ind w:left="360" w:hanging="360"/>
      </w:pPr>
    </w:lvl>
  </w:abstractNum>
  <w:abstractNum w:abstractNumId="9">
    <w:nsid w:val="FFFFFF89"/>
    <w:multiLevelType w:val="singleLevel"/>
    <w:tmpl w:val="79ECE206"/>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Turabian Bibliography&lt;/Style&gt;&lt;LeftDelim&gt;{&lt;/LeftDelim&gt;&lt;RightDelim&gt;}&lt;/RightDelim&gt;&lt;FontName&gt;Times New Roman&lt;/FontName&gt;&lt;FontSize&gt;12&lt;/FontSize&gt;&lt;ReflistTitle&gt;&lt;/ReflistTitle&gt;&lt;StartingRefnum&gt;1&lt;/StartingRefnum&gt;&lt;FirstLineIndent&gt;0&lt;/FirstLineIndent&gt;&lt;HangingIndent&gt;503&lt;/HangingIndent&gt;&lt;LineSpacing&gt;0&lt;/LineSpacing&gt;&lt;SpaceAfter&gt;0&lt;/SpaceAfter&gt;&lt;/ENLayout&gt;"/>
    <w:docVar w:name="EN.Libraries" w:val="&lt;ENLibraries&gt;&lt;Libraries&gt;&lt;item&gt;Master Library.enl&lt;/item&gt;&lt;/Libraries&gt;&lt;/ENLibraries&gt;"/>
  </w:docVars>
  <w:rsids>
    <w:rsidRoot w:val="001B11B5"/>
    <w:rsid w:val="00000B92"/>
    <w:rsid w:val="00000E4D"/>
    <w:rsid w:val="00001C55"/>
    <w:rsid w:val="00002752"/>
    <w:rsid w:val="00005CA9"/>
    <w:rsid w:val="000115F8"/>
    <w:rsid w:val="00013977"/>
    <w:rsid w:val="00013E51"/>
    <w:rsid w:val="000155DC"/>
    <w:rsid w:val="00015AE4"/>
    <w:rsid w:val="00026004"/>
    <w:rsid w:val="000274A9"/>
    <w:rsid w:val="00031AD0"/>
    <w:rsid w:val="000330A1"/>
    <w:rsid w:val="00035F05"/>
    <w:rsid w:val="00036B33"/>
    <w:rsid w:val="00040310"/>
    <w:rsid w:val="00044210"/>
    <w:rsid w:val="00050A3F"/>
    <w:rsid w:val="000512AA"/>
    <w:rsid w:val="00053C76"/>
    <w:rsid w:val="000601E5"/>
    <w:rsid w:val="000610C1"/>
    <w:rsid w:val="00061405"/>
    <w:rsid w:val="000620E4"/>
    <w:rsid w:val="000644B9"/>
    <w:rsid w:val="00065C12"/>
    <w:rsid w:val="00066285"/>
    <w:rsid w:val="00070CA3"/>
    <w:rsid w:val="00075872"/>
    <w:rsid w:val="00080C0C"/>
    <w:rsid w:val="000820B6"/>
    <w:rsid w:val="00084289"/>
    <w:rsid w:val="00084650"/>
    <w:rsid w:val="00084E13"/>
    <w:rsid w:val="000906BF"/>
    <w:rsid w:val="00090B83"/>
    <w:rsid w:val="00092983"/>
    <w:rsid w:val="00093255"/>
    <w:rsid w:val="000A03F5"/>
    <w:rsid w:val="000A061C"/>
    <w:rsid w:val="000A1435"/>
    <w:rsid w:val="000A1D87"/>
    <w:rsid w:val="000A2524"/>
    <w:rsid w:val="000A3017"/>
    <w:rsid w:val="000A359F"/>
    <w:rsid w:val="000A3D66"/>
    <w:rsid w:val="000A6130"/>
    <w:rsid w:val="000A6E5E"/>
    <w:rsid w:val="000A7301"/>
    <w:rsid w:val="000B025B"/>
    <w:rsid w:val="000B1C8A"/>
    <w:rsid w:val="000B4B7B"/>
    <w:rsid w:val="000C0346"/>
    <w:rsid w:val="000C219D"/>
    <w:rsid w:val="000C33AC"/>
    <w:rsid w:val="000C5711"/>
    <w:rsid w:val="000C663B"/>
    <w:rsid w:val="000D50A8"/>
    <w:rsid w:val="000E0633"/>
    <w:rsid w:val="000E4E9F"/>
    <w:rsid w:val="000E4F95"/>
    <w:rsid w:val="000E6832"/>
    <w:rsid w:val="000E6D56"/>
    <w:rsid w:val="000E7903"/>
    <w:rsid w:val="000F1037"/>
    <w:rsid w:val="000F2AD1"/>
    <w:rsid w:val="000F42CA"/>
    <w:rsid w:val="00103109"/>
    <w:rsid w:val="0010395C"/>
    <w:rsid w:val="0010498F"/>
    <w:rsid w:val="00107025"/>
    <w:rsid w:val="001113EC"/>
    <w:rsid w:val="0011143F"/>
    <w:rsid w:val="001149B2"/>
    <w:rsid w:val="0012262C"/>
    <w:rsid w:val="0012444D"/>
    <w:rsid w:val="001266C2"/>
    <w:rsid w:val="00126EB0"/>
    <w:rsid w:val="001273BE"/>
    <w:rsid w:val="00132335"/>
    <w:rsid w:val="00132493"/>
    <w:rsid w:val="0013269C"/>
    <w:rsid w:val="001326E3"/>
    <w:rsid w:val="00137919"/>
    <w:rsid w:val="00143378"/>
    <w:rsid w:val="00146D97"/>
    <w:rsid w:val="00156166"/>
    <w:rsid w:val="00157CF8"/>
    <w:rsid w:val="00160628"/>
    <w:rsid w:val="00161C64"/>
    <w:rsid w:val="001624B0"/>
    <w:rsid w:val="001624C4"/>
    <w:rsid w:val="00163266"/>
    <w:rsid w:val="00163F10"/>
    <w:rsid w:val="00164415"/>
    <w:rsid w:val="00164ED7"/>
    <w:rsid w:val="001724F8"/>
    <w:rsid w:val="00177658"/>
    <w:rsid w:val="00177D55"/>
    <w:rsid w:val="0018128C"/>
    <w:rsid w:val="00186C0B"/>
    <w:rsid w:val="00191B9C"/>
    <w:rsid w:val="00194776"/>
    <w:rsid w:val="001A2BDD"/>
    <w:rsid w:val="001A331A"/>
    <w:rsid w:val="001A37D0"/>
    <w:rsid w:val="001A5697"/>
    <w:rsid w:val="001B11B5"/>
    <w:rsid w:val="001B3DA2"/>
    <w:rsid w:val="001B562D"/>
    <w:rsid w:val="001C185F"/>
    <w:rsid w:val="001C1A98"/>
    <w:rsid w:val="001C1AAE"/>
    <w:rsid w:val="001C467F"/>
    <w:rsid w:val="001C5A25"/>
    <w:rsid w:val="001C71AB"/>
    <w:rsid w:val="001D0BCD"/>
    <w:rsid w:val="001D53AE"/>
    <w:rsid w:val="001D570C"/>
    <w:rsid w:val="001E4FEE"/>
    <w:rsid w:val="001F0017"/>
    <w:rsid w:val="001F00B1"/>
    <w:rsid w:val="001F01B9"/>
    <w:rsid w:val="001F46D1"/>
    <w:rsid w:val="002016BF"/>
    <w:rsid w:val="00202A91"/>
    <w:rsid w:val="00205D0B"/>
    <w:rsid w:val="00206FCB"/>
    <w:rsid w:val="00210FF0"/>
    <w:rsid w:val="0021283A"/>
    <w:rsid w:val="002152B2"/>
    <w:rsid w:val="00217713"/>
    <w:rsid w:val="002212FB"/>
    <w:rsid w:val="00223E36"/>
    <w:rsid w:val="00225B61"/>
    <w:rsid w:val="00230490"/>
    <w:rsid w:val="00234749"/>
    <w:rsid w:val="00235C80"/>
    <w:rsid w:val="00244351"/>
    <w:rsid w:val="00245728"/>
    <w:rsid w:val="002545E9"/>
    <w:rsid w:val="00254ED6"/>
    <w:rsid w:val="00256147"/>
    <w:rsid w:val="002572A3"/>
    <w:rsid w:val="00260920"/>
    <w:rsid w:val="002632A0"/>
    <w:rsid w:val="002659A0"/>
    <w:rsid w:val="002731FD"/>
    <w:rsid w:val="00273312"/>
    <w:rsid w:val="00276DA2"/>
    <w:rsid w:val="0027776A"/>
    <w:rsid w:val="00281454"/>
    <w:rsid w:val="00295220"/>
    <w:rsid w:val="002954D0"/>
    <w:rsid w:val="002976E7"/>
    <w:rsid w:val="002A09C0"/>
    <w:rsid w:val="002A0C24"/>
    <w:rsid w:val="002A5C8E"/>
    <w:rsid w:val="002A6CC5"/>
    <w:rsid w:val="002B22E2"/>
    <w:rsid w:val="002C0D34"/>
    <w:rsid w:val="002C170E"/>
    <w:rsid w:val="002C185A"/>
    <w:rsid w:val="002C18C8"/>
    <w:rsid w:val="002C3A7C"/>
    <w:rsid w:val="002C67FA"/>
    <w:rsid w:val="002D1950"/>
    <w:rsid w:val="002D2E1A"/>
    <w:rsid w:val="002D3BA9"/>
    <w:rsid w:val="002D40F3"/>
    <w:rsid w:val="002D7D3B"/>
    <w:rsid w:val="002E06B1"/>
    <w:rsid w:val="002E3FE1"/>
    <w:rsid w:val="002E5886"/>
    <w:rsid w:val="002E6305"/>
    <w:rsid w:val="002E70BB"/>
    <w:rsid w:val="002F21AE"/>
    <w:rsid w:val="002F3303"/>
    <w:rsid w:val="002F3512"/>
    <w:rsid w:val="002F6C13"/>
    <w:rsid w:val="00303DDB"/>
    <w:rsid w:val="003070B2"/>
    <w:rsid w:val="00307B47"/>
    <w:rsid w:val="00307BE1"/>
    <w:rsid w:val="003152B3"/>
    <w:rsid w:val="00315594"/>
    <w:rsid w:val="00321D93"/>
    <w:rsid w:val="0032209C"/>
    <w:rsid w:val="00322635"/>
    <w:rsid w:val="003239DF"/>
    <w:rsid w:val="00323CE0"/>
    <w:rsid w:val="00324098"/>
    <w:rsid w:val="0033302F"/>
    <w:rsid w:val="003350B8"/>
    <w:rsid w:val="00336C1E"/>
    <w:rsid w:val="00342BC7"/>
    <w:rsid w:val="00343419"/>
    <w:rsid w:val="0034372F"/>
    <w:rsid w:val="00347E0A"/>
    <w:rsid w:val="00354868"/>
    <w:rsid w:val="00355E0B"/>
    <w:rsid w:val="0035643E"/>
    <w:rsid w:val="003564A5"/>
    <w:rsid w:val="003571FE"/>
    <w:rsid w:val="003576D1"/>
    <w:rsid w:val="003626F3"/>
    <w:rsid w:val="00366DAE"/>
    <w:rsid w:val="0037231D"/>
    <w:rsid w:val="00372FEC"/>
    <w:rsid w:val="00380BE5"/>
    <w:rsid w:val="00382B22"/>
    <w:rsid w:val="003847EF"/>
    <w:rsid w:val="00384EFA"/>
    <w:rsid w:val="00387188"/>
    <w:rsid w:val="00390644"/>
    <w:rsid w:val="00391EBD"/>
    <w:rsid w:val="00394143"/>
    <w:rsid w:val="003B0A6A"/>
    <w:rsid w:val="003B0BED"/>
    <w:rsid w:val="003B5A51"/>
    <w:rsid w:val="003B6EDA"/>
    <w:rsid w:val="003C02D2"/>
    <w:rsid w:val="003C1F6B"/>
    <w:rsid w:val="003D0222"/>
    <w:rsid w:val="003D042D"/>
    <w:rsid w:val="003D26DE"/>
    <w:rsid w:val="003D68F9"/>
    <w:rsid w:val="003D780C"/>
    <w:rsid w:val="003E2617"/>
    <w:rsid w:val="003E26EB"/>
    <w:rsid w:val="003E682E"/>
    <w:rsid w:val="003F2DF0"/>
    <w:rsid w:val="003F5C7A"/>
    <w:rsid w:val="003F6C62"/>
    <w:rsid w:val="004113AE"/>
    <w:rsid w:val="00411F3E"/>
    <w:rsid w:val="00412FE2"/>
    <w:rsid w:val="0041470D"/>
    <w:rsid w:val="00414824"/>
    <w:rsid w:val="00415B9E"/>
    <w:rsid w:val="00416B58"/>
    <w:rsid w:val="00416F17"/>
    <w:rsid w:val="00417A99"/>
    <w:rsid w:val="00426324"/>
    <w:rsid w:val="004333D8"/>
    <w:rsid w:val="004353D6"/>
    <w:rsid w:val="004370BD"/>
    <w:rsid w:val="004370FF"/>
    <w:rsid w:val="00437138"/>
    <w:rsid w:val="00441FE5"/>
    <w:rsid w:val="004451BF"/>
    <w:rsid w:val="0045518C"/>
    <w:rsid w:val="00456ADC"/>
    <w:rsid w:val="00457907"/>
    <w:rsid w:val="004619FC"/>
    <w:rsid w:val="0046631D"/>
    <w:rsid w:val="00474E6A"/>
    <w:rsid w:val="004816CE"/>
    <w:rsid w:val="00481C5B"/>
    <w:rsid w:val="00481CDB"/>
    <w:rsid w:val="00482FAB"/>
    <w:rsid w:val="0048447F"/>
    <w:rsid w:val="004861DD"/>
    <w:rsid w:val="00494A78"/>
    <w:rsid w:val="004960BC"/>
    <w:rsid w:val="004A0014"/>
    <w:rsid w:val="004A2E9E"/>
    <w:rsid w:val="004A39DF"/>
    <w:rsid w:val="004A45D9"/>
    <w:rsid w:val="004A5DE9"/>
    <w:rsid w:val="004A78A2"/>
    <w:rsid w:val="004A7AC3"/>
    <w:rsid w:val="004B3A62"/>
    <w:rsid w:val="004B469B"/>
    <w:rsid w:val="004B4AE1"/>
    <w:rsid w:val="004B6014"/>
    <w:rsid w:val="004B691C"/>
    <w:rsid w:val="004C1D98"/>
    <w:rsid w:val="004C2CC3"/>
    <w:rsid w:val="004C2D17"/>
    <w:rsid w:val="004C3AE9"/>
    <w:rsid w:val="004D02B3"/>
    <w:rsid w:val="004D242F"/>
    <w:rsid w:val="004D2C85"/>
    <w:rsid w:val="004D33D7"/>
    <w:rsid w:val="004E0283"/>
    <w:rsid w:val="004E360F"/>
    <w:rsid w:val="004E77AF"/>
    <w:rsid w:val="004F10B6"/>
    <w:rsid w:val="004F2489"/>
    <w:rsid w:val="004F34CF"/>
    <w:rsid w:val="004F796A"/>
    <w:rsid w:val="004F7B0A"/>
    <w:rsid w:val="00500ED8"/>
    <w:rsid w:val="00501378"/>
    <w:rsid w:val="00501E86"/>
    <w:rsid w:val="00505F9C"/>
    <w:rsid w:val="00505FC8"/>
    <w:rsid w:val="0050765D"/>
    <w:rsid w:val="0050778E"/>
    <w:rsid w:val="00510FB9"/>
    <w:rsid w:val="0051673C"/>
    <w:rsid w:val="00523BA6"/>
    <w:rsid w:val="005300F0"/>
    <w:rsid w:val="00530EFA"/>
    <w:rsid w:val="005335B5"/>
    <w:rsid w:val="005343BC"/>
    <w:rsid w:val="00535455"/>
    <w:rsid w:val="005356A5"/>
    <w:rsid w:val="00535D7F"/>
    <w:rsid w:val="005362F7"/>
    <w:rsid w:val="005364E6"/>
    <w:rsid w:val="0054062A"/>
    <w:rsid w:val="00544A1A"/>
    <w:rsid w:val="00553CD4"/>
    <w:rsid w:val="0055415D"/>
    <w:rsid w:val="00556630"/>
    <w:rsid w:val="00556B53"/>
    <w:rsid w:val="00561DA2"/>
    <w:rsid w:val="00563614"/>
    <w:rsid w:val="005671A4"/>
    <w:rsid w:val="00571C68"/>
    <w:rsid w:val="00571EE9"/>
    <w:rsid w:val="00572D5A"/>
    <w:rsid w:val="00574B8D"/>
    <w:rsid w:val="005810FD"/>
    <w:rsid w:val="005826C7"/>
    <w:rsid w:val="00584969"/>
    <w:rsid w:val="00584F2D"/>
    <w:rsid w:val="005908C7"/>
    <w:rsid w:val="00592B4B"/>
    <w:rsid w:val="00594320"/>
    <w:rsid w:val="00597FCE"/>
    <w:rsid w:val="005A070E"/>
    <w:rsid w:val="005A33CB"/>
    <w:rsid w:val="005A3475"/>
    <w:rsid w:val="005A7ED7"/>
    <w:rsid w:val="005B096B"/>
    <w:rsid w:val="005B11A8"/>
    <w:rsid w:val="005B2DA8"/>
    <w:rsid w:val="005B2E85"/>
    <w:rsid w:val="005B630D"/>
    <w:rsid w:val="005B7665"/>
    <w:rsid w:val="005C2A92"/>
    <w:rsid w:val="005C2B48"/>
    <w:rsid w:val="005C37F5"/>
    <w:rsid w:val="005C5BA9"/>
    <w:rsid w:val="005D22FF"/>
    <w:rsid w:val="005D3B19"/>
    <w:rsid w:val="005D6810"/>
    <w:rsid w:val="005D78B3"/>
    <w:rsid w:val="005E0B72"/>
    <w:rsid w:val="005E2952"/>
    <w:rsid w:val="005E5988"/>
    <w:rsid w:val="005E6B3A"/>
    <w:rsid w:val="005F046B"/>
    <w:rsid w:val="005F27FF"/>
    <w:rsid w:val="005F33F3"/>
    <w:rsid w:val="005F5EE2"/>
    <w:rsid w:val="005F6824"/>
    <w:rsid w:val="005F68AF"/>
    <w:rsid w:val="00600784"/>
    <w:rsid w:val="00603D05"/>
    <w:rsid w:val="006044C6"/>
    <w:rsid w:val="00606950"/>
    <w:rsid w:val="00607177"/>
    <w:rsid w:val="0061356C"/>
    <w:rsid w:val="00614294"/>
    <w:rsid w:val="006155D5"/>
    <w:rsid w:val="00617087"/>
    <w:rsid w:val="00623B3A"/>
    <w:rsid w:val="006258E0"/>
    <w:rsid w:val="006266D6"/>
    <w:rsid w:val="0063021B"/>
    <w:rsid w:val="00630977"/>
    <w:rsid w:val="0063322E"/>
    <w:rsid w:val="0063419C"/>
    <w:rsid w:val="00634646"/>
    <w:rsid w:val="0063584B"/>
    <w:rsid w:val="00636E9C"/>
    <w:rsid w:val="006432E8"/>
    <w:rsid w:val="006447B7"/>
    <w:rsid w:val="00645B08"/>
    <w:rsid w:val="00646B41"/>
    <w:rsid w:val="00647432"/>
    <w:rsid w:val="006525FC"/>
    <w:rsid w:val="0065383F"/>
    <w:rsid w:val="00653D96"/>
    <w:rsid w:val="0065609E"/>
    <w:rsid w:val="0065750A"/>
    <w:rsid w:val="00660028"/>
    <w:rsid w:val="006615CD"/>
    <w:rsid w:val="00662708"/>
    <w:rsid w:val="006632D0"/>
    <w:rsid w:val="006633BD"/>
    <w:rsid w:val="00665B6E"/>
    <w:rsid w:val="00667F3F"/>
    <w:rsid w:val="00673AC5"/>
    <w:rsid w:val="00675442"/>
    <w:rsid w:val="006878BB"/>
    <w:rsid w:val="006919E7"/>
    <w:rsid w:val="00694B72"/>
    <w:rsid w:val="00694B87"/>
    <w:rsid w:val="006A016B"/>
    <w:rsid w:val="006A3F55"/>
    <w:rsid w:val="006A443A"/>
    <w:rsid w:val="006A5799"/>
    <w:rsid w:val="006A7D67"/>
    <w:rsid w:val="006B1F25"/>
    <w:rsid w:val="006B415A"/>
    <w:rsid w:val="006B63BB"/>
    <w:rsid w:val="006B6880"/>
    <w:rsid w:val="006B7602"/>
    <w:rsid w:val="006B7724"/>
    <w:rsid w:val="006C20F5"/>
    <w:rsid w:val="006C218A"/>
    <w:rsid w:val="006C2AE2"/>
    <w:rsid w:val="006C6AC7"/>
    <w:rsid w:val="006D1CBE"/>
    <w:rsid w:val="006D4AC5"/>
    <w:rsid w:val="006D4F33"/>
    <w:rsid w:val="006D52E1"/>
    <w:rsid w:val="006D6672"/>
    <w:rsid w:val="006D7672"/>
    <w:rsid w:val="006E1FC2"/>
    <w:rsid w:val="006E3AFC"/>
    <w:rsid w:val="006E4224"/>
    <w:rsid w:val="006F1BE6"/>
    <w:rsid w:val="006F2F45"/>
    <w:rsid w:val="006F3095"/>
    <w:rsid w:val="006F3D2D"/>
    <w:rsid w:val="006F42DA"/>
    <w:rsid w:val="006F4C11"/>
    <w:rsid w:val="00700301"/>
    <w:rsid w:val="007011EB"/>
    <w:rsid w:val="007012C7"/>
    <w:rsid w:val="00702AC7"/>
    <w:rsid w:val="00703A65"/>
    <w:rsid w:val="00706F6B"/>
    <w:rsid w:val="0071163B"/>
    <w:rsid w:val="00711C83"/>
    <w:rsid w:val="007128C0"/>
    <w:rsid w:val="00713C32"/>
    <w:rsid w:val="0071472E"/>
    <w:rsid w:val="00714A0D"/>
    <w:rsid w:val="007206C0"/>
    <w:rsid w:val="00724926"/>
    <w:rsid w:val="0072635A"/>
    <w:rsid w:val="007263E4"/>
    <w:rsid w:val="00732869"/>
    <w:rsid w:val="007353AD"/>
    <w:rsid w:val="007365FF"/>
    <w:rsid w:val="00742C69"/>
    <w:rsid w:val="0075086D"/>
    <w:rsid w:val="00754304"/>
    <w:rsid w:val="007554A6"/>
    <w:rsid w:val="00755BB1"/>
    <w:rsid w:val="00760CC8"/>
    <w:rsid w:val="00762470"/>
    <w:rsid w:val="00767A8A"/>
    <w:rsid w:val="00767EEE"/>
    <w:rsid w:val="00772622"/>
    <w:rsid w:val="00774C49"/>
    <w:rsid w:val="00776CEA"/>
    <w:rsid w:val="007773FB"/>
    <w:rsid w:val="007777C8"/>
    <w:rsid w:val="00777AB1"/>
    <w:rsid w:val="0078060F"/>
    <w:rsid w:val="00780C4F"/>
    <w:rsid w:val="00793A2D"/>
    <w:rsid w:val="00796F3D"/>
    <w:rsid w:val="00797683"/>
    <w:rsid w:val="007A0401"/>
    <w:rsid w:val="007A0E4A"/>
    <w:rsid w:val="007A2302"/>
    <w:rsid w:val="007A40FC"/>
    <w:rsid w:val="007A4974"/>
    <w:rsid w:val="007A5408"/>
    <w:rsid w:val="007A6976"/>
    <w:rsid w:val="007B15B5"/>
    <w:rsid w:val="007B252E"/>
    <w:rsid w:val="007B5658"/>
    <w:rsid w:val="007B6D67"/>
    <w:rsid w:val="007C552A"/>
    <w:rsid w:val="007C63F4"/>
    <w:rsid w:val="007C79DA"/>
    <w:rsid w:val="007D4146"/>
    <w:rsid w:val="007D5E74"/>
    <w:rsid w:val="007D6589"/>
    <w:rsid w:val="007E0916"/>
    <w:rsid w:val="007E245E"/>
    <w:rsid w:val="007F12F1"/>
    <w:rsid w:val="007F3E40"/>
    <w:rsid w:val="007F439C"/>
    <w:rsid w:val="007F796C"/>
    <w:rsid w:val="008011B1"/>
    <w:rsid w:val="00805669"/>
    <w:rsid w:val="0081054B"/>
    <w:rsid w:val="00810BB1"/>
    <w:rsid w:val="00812F88"/>
    <w:rsid w:val="00814BFF"/>
    <w:rsid w:val="00816216"/>
    <w:rsid w:val="00820E36"/>
    <w:rsid w:val="008237D9"/>
    <w:rsid w:val="0082387B"/>
    <w:rsid w:val="008246CF"/>
    <w:rsid w:val="00824E24"/>
    <w:rsid w:val="0083008C"/>
    <w:rsid w:val="0083119E"/>
    <w:rsid w:val="0083214E"/>
    <w:rsid w:val="008345B7"/>
    <w:rsid w:val="00834BE1"/>
    <w:rsid w:val="00835057"/>
    <w:rsid w:val="00841547"/>
    <w:rsid w:val="00843AE0"/>
    <w:rsid w:val="00850AC6"/>
    <w:rsid w:val="00852B23"/>
    <w:rsid w:val="00853C48"/>
    <w:rsid w:val="00855364"/>
    <w:rsid w:val="00856B71"/>
    <w:rsid w:val="008602D0"/>
    <w:rsid w:val="008607B6"/>
    <w:rsid w:val="00860F2E"/>
    <w:rsid w:val="0086628B"/>
    <w:rsid w:val="0086754C"/>
    <w:rsid w:val="0086760F"/>
    <w:rsid w:val="00871398"/>
    <w:rsid w:val="00871B34"/>
    <w:rsid w:val="00872164"/>
    <w:rsid w:val="00872A22"/>
    <w:rsid w:val="008751A2"/>
    <w:rsid w:val="00876063"/>
    <w:rsid w:val="008768E8"/>
    <w:rsid w:val="0088045B"/>
    <w:rsid w:val="00880DB2"/>
    <w:rsid w:val="00882822"/>
    <w:rsid w:val="00882AC7"/>
    <w:rsid w:val="00882DB4"/>
    <w:rsid w:val="008835AF"/>
    <w:rsid w:val="00883DD2"/>
    <w:rsid w:val="008854EB"/>
    <w:rsid w:val="00886085"/>
    <w:rsid w:val="008869D2"/>
    <w:rsid w:val="00893445"/>
    <w:rsid w:val="00893850"/>
    <w:rsid w:val="00894482"/>
    <w:rsid w:val="0089593C"/>
    <w:rsid w:val="008A1085"/>
    <w:rsid w:val="008A1DB8"/>
    <w:rsid w:val="008A2394"/>
    <w:rsid w:val="008A4F30"/>
    <w:rsid w:val="008A5D4F"/>
    <w:rsid w:val="008A798C"/>
    <w:rsid w:val="008A7BAF"/>
    <w:rsid w:val="008B0009"/>
    <w:rsid w:val="008B1AAA"/>
    <w:rsid w:val="008B4D84"/>
    <w:rsid w:val="008B5B69"/>
    <w:rsid w:val="008B63AF"/>
    <w:rsid w:val="008B7C78"/>
    <w:rsid w:val="008C0C7E"/>
    <w:rsid w:val="008C41E7"/>
    <w:rsid w:val="008C4B52"/>
    <w:rsid w:val="008C7B57"/>
    <w:rsid w:val="008D12AA"/>
    <w:rsid w:val="008D2710"/>
    <w:rsid w:val="008D5B77"/>
    <w:rsid w:val="008D7744"/>
    <w:rsid w:val="008E1263"/>
    <w:rsid w:val="008E34E5"/>
    <w:rsid w:val="008E41E0"/>
    <w:rsid w:val="008E4682"/>
    <w:rsid w:val="008F08EA"/>
    <w:rsid w:val="008F3AA4"/>
    <w:rsid w:val="008F68E9"/>
    <w:rsid w:val="00901641"/>
    <w:rsid w:val="0090382B"/>
    <w:rsid w:val="00904FFF"/>
    <w:rsid w:val="00906B23"/>
    <w:rsid w:val="00912B65"/>
    <w:rsid w:val="00917505"/>
    <w:rsid w:val="009201E6"/>
    <w:rsid w:val="00920DA4"/>
    <w:rsid w:val="009210E7"/>
    <w:rsid w:val="009222B0"/>
    <w:rsid w:val="00922331"/>
    <w:rsid w:val="00924977"/>
    <w:rsid w:val="009304ED"/>
    <w:rsid w:val="00932C81"/>
    <w:rsid w:val="00933295"/>
    <w:rsid w:val="00933306"/>
    <w:rsid w:val="00934462"/>
    <w:rsid w:val="0093656E"/>
    <w:rsid w:val="0093747B"/>
    <w:rsid w:val="00937BB4"/>
    <w:rsid w:val="00940F38"/>
    <w:rsid w:val="00943C0E"/>
    <w:rsid w:val="0095126E"/>
    <w:rsid w:val="0095222D"/>
    <w:rsid w:val="009529D5"/>
    <w:rsid w:val="009530F2"/>
    <w:rsid w:val="00953387"/>
    <w:rsid w:val="00954FA0"/>
    <w:rsid w:val="00961C28"/>
    <w:rsid w:val="009634E9"/>
    <w:rsid w:val="00972578"/>
    <w:rsid w:val="00972AFB"/>
    <w:rsid w:val="00975DF5"/>
    <w:rsid w:val="009818EB"/>
    <w:rsid w:val="009819B5"/>
    <w:rsid w:val="00982FB5"/>
    <w:rsid w:val="00986863"/>
    <w:rsid w:val="00990374"/>
    <w:rsid w:val="00990479"/>
    <w:rsid w:val="00993E90"/>
    <w:rsid w:val="009965DB"/>
    <w:rsid w:val="009965F4"/>
    <w:rsid w:val="00996D9E"/>
    <w:rsid w:val="00997116"/>
    <w:rsid w:val="009A0E56"/>
    <w:rsid w:val="009A20BB"/>
    <w:rsid w:val="009A2B13"/>
    <w:rsid w:val="009A2CAD"/>
    <w:rsid w:val="009A366E"/>
    <w:rsid w:val="009A7466"/>
    <w:rsid w:val="009B1091"/>
    <w:rsid w:val="009B1E2E"/>
    <w:rsid w:val="009B3109"/>
    <w:rsid w:val="009B4F9D"/>
    <w:rsid w:val="009B584B"/>
    <w:rsid w:val="009B6B91"/>
    <w:rsid w:val="009C0E4D"/>
    <w:rsid w:val="009C361D"/>
    <w:rsid w:val="009C36F7"/>
    <w:rsid w:val="009C5B9D"/>
    <w:rsid w:val="009C7B86"/>
    <w:rsid w:val="009D174A"/>
    <w:rsid w:val="009D1AFE"/>
    <w:rsid w:val="009D1EAB"/>
    <w:rsid w:val="009D3038"/>
    <w:rsid w:val="009D483D"/>
    <w:rsid w:val="009E0CF3"/>
    <w:rsid w:val="009E0FAA"/>
    <w:rsid w:val="009E5187"/>
    <w:rsid w:val="009E703E"/>
    <w:rsid w:val="009F10A0"/>
    <w:rsid w:val="009F2408"/>
    <w:rsid w:val="009F36FE"/>
    <w:rsid w:val="00A002FB"/>
    <w:rsid w:val="00A01429"/>
    <w:rsid w:val="00A03E87"/>
    <w:rsid w:val="00A0630D"/>
    <w:rsid w:val="00A07505"/>
    <w:rsid w:val="00A105B2"/>
    <w:rsid w:val="00A13D73"/>
    <w:rsid w:val="00A14F2B"/>
    <w:rsid w:val="00A20096"/>
    <w:rsid w:val="00A21BD7"/>
    <w:rsid w:val="00A2732A"/>
    <w:rsid w:val="00A321A2"/>
    <w:rsid w:val="00A34432"/>
    <w:rsid w:val="00A40736"/>
    <w:rsid w:val="00A40A26"/>
    <w:rsid w:val="00A41A47"/>
    <w:rsid w:val="00A42CA3"/>
    <w:rsid w:val="00A42FCA"/>
    <w:rsid w:val="00A44A50"/>
    <w:rsid w:val="00A507B6"/>
    <w:rsid w:val="00A5676A"/>
    <w:rsid w:val="00A56ABE"/>
    <w:rsid w:val="00A5762D"/>
    <w:rsid w:val="00A57F24"/>
    <w:rsid w:val="00A60359"/>
    <w:rsid w:val="00A61960"/>
    <w:rsid w:val="00A62042"/>
    <w:rsid w:val="00A620E6"/>
    <w:rsid w:val="00A662DB"/>
    <w:rsid w:val="00A703B7"/>
    <w:rsid w:val="00A70EDE"/>
    <w:rsid w:val="00A737AD"/>
    <w:rsid w:val="00A8320C"/>
    <w:rsid w:val="00A8396E"/>
    <w:rsid w:val="00A8572D"/>
    <w:rsid w:val="00A93DDC"/>
    <w:rsid w:val="00A95316"/>
    <w:rsid w:val="00AA19F7"/>
    <w:rsid w:val="00AB00E0"/>
    <w:rsid w:val="00AB2954"/>
    <w:rsid w:val="00AB299A"/>
    <w:rsid w:val="00AB2B9F"/>
    <w:rsid w:val="00AC4013"/>
    <w:rsid w:val="00AC58FA"/>
    <w:rsid w:val="00AC5F99"/>
    <w:rsid w:val="00AD07BE"/>
    <w:rsid w:val="00AD1572"/>
    <w:rsid w:val="00AD43E1"/>
    <w:rsid w:val="00AE0423"/>
    <w:rsid w:val="00AE1963"/>
    <w:rsid w:val="00AE5D3F"/>
    <w:rsid w:val="00AE68FC"/>
    <w:rsid w:val="00AF5238"/>
    <w:rsid w:val="00AF53B2"/>
    <w:rsid w:val="00AF6084"/>
    <w:rsid w:val="00AF6DC4"/>
    <w:rsid w:val="00AF7385"/>
    <w:rsid w:val="00B02225"/>
    <w:rsid w:val="00B06830"/>
    <w:rsid w:val="00B06A61"/>
    <w:rsid w:val="00B10A6E"/>
    <w:rsid w:val="00B10EF5"/>
    <w:rsid w:val="00B13974"/>
    <w:rsid w:val="00B233B9"/>
    <w:rsid w:val="00B30FD7"/>
    <w:rsid w:val="00B316A5"/>
    <w:rsid w:val="00B33B72"/>
    <w:rsid w:val="00B3506D"/>
    <w:rsid w:val="00B354BD"/>
    <w:rsid w:val="00B3725C"/>
    <w:rsid w:val="00B37A20"/>
    <w:rsid w:val="00B40832"/>
    <w:rsid w:val="00B40FA9"/>
    <w:rsid w:val="00B41C1B"/>
    <w:rsid w:val="00B447A4"/>
    <w:rsid w:val="00B46EEB"/>
    <w:rsid w:val="00B502FD"/>
    <w:rsid w:val="00B520FD"/>
    <w:rsid w:val="00B52409"/>
    <w:rsid w:val="00B533AC"/>
    <w:rsid w:val="00B5520A"/>
    <w:rsid w:val="00B56414"/>
    <w:rsid w:val="00B605DA"/>
    <w:rsid w:val="00B6691A"/>
    <w:rsid w:val="00B67478"/>
    <w:rsid w:val="00B71E48"/>
    <w:rsid w:val="00B7201A"/>
    <w:rsid w:val="00B72858"/>
    <w:rsid w:val="00B74A72"/>
    <w:rsid w:val="00B772C0"/>
    <w:rsid w:val="00B85891"/>
    <w:rsid w:val="00B86B40"/>
    <w:rsid w:val="00B87C3B"/>
    <w:rsid w:val="00B9011D"/>
    <w:rsid w:val="00BA3409"/>
    <w:rsid w:val="00BA716A"/>
    <w:rsid w:val="00BB0951"/>
    <w:rsid w:val="00BB1EFA"/>
    <w:rsid w:val="00BB4E07"/>
    <w:rsid w:val="00BB794B"/>
    <w:rsid w:val="00BC3703"/>
    <w:rsid w:val="00BC7421"/>
    <w:rsid w:val="00BC75E8"/>
    <w:rsid w:val="00BD1C03"/>
    <w:rsid w:val="00BD1D23"/>
    <w:rsid w:val="00BD3795"/>
    <w:rsid w:val="00BD3AE4"/>
    <w:rsid w:val="00BD3CAA"/>
    <w:rsid w:val="00BD5BAF"/>
    <w:rsid w:val="00BE20D6"/>
    <w:rsid w:val="00BE7034"/>
    <w:rsid w:val="00BF46E0"/>
    <w:rsid w:val="00C03C1E"/>
    <w:rsid w:val="00C04C72"/>
    <w:rsid w:val="00C06970"/>
    <w:rsid w:val="00C07862"/>
    <w:rsid w:val="00C10010"/>
    <w:rsid w:val="00C125F6"/>
    <w:rsid w:val="00C147E4"/>
    <w:rsid w:val="00C20199"/>
    <w:rsid w:val="00C2057E"/>
    <w:rsid w:val="00C2206B"/>
    <w:rsid w:val="00C43AB9"/>
    <w:rsid w:val="00C4582F"/>
    <w:rsid w:val="00C4729A"/>
    <w:rsid w:val="00C50916"/>
    <w:rsid w:val="00C5191F"/>
    <w:rsid w:val="00C5380C"/>
    <w:rsid w:val="00C61BF6"/>
    <w:rsid w:val="00C6214B"/>
    <w:rsid w:val="00C627A8"/>
    <w:rsid w:val="00C62D8C"/>
    <w:rsid w:val="00C647C6"/>
    <w:rsid w:val="00C66A3A"/>
    <w:rsid w:val="00C717BB"/>
    <w:rsid w:val="00C71E11"/>
    <w:rsid w:val="00C737EE"/>
    <w:rsid w:val="00C7474E"/>
    <w:rsid w:val="00C76B05"/>
    <w:rsid w:val="00C83044"/>
    <w:rsid w:val="00C917FA"/>
    <w:rsid w:val="00C9375C"/>
    <w:rsid w:val="00C95B42"/>
    <w:rsid w:val="00CA01B5"/>
    <w:rsid w:val="00CA090A"/>
    <w:rsid w:val="00CA132E"/>
    <w:rsid w:val="00CB5A25"/>
    <w:rsid w:val="00CB7A0C"/>
    <w:rsid w:val="00CC0544"/>
    <w:rsid w:val="00CC68BA"/>
    <w:rsid w:val="00CC754A"/>
    <w:rsid w:val="00CC7B6B"/>
    <w:rsid w:val="00CD43D8"/>
    <w:rsid w:val="00CD6C0B"/>
    <w:rsid w:val="00CD716B"/>
    <w:rsid w:val="00CD72B7"/>
    <w:rsid w:val="00CE3553"/>
    <w:rsid w:val="00CE3603"/>
    <w:rsid w:val="00CE758F"/>
    <w:rsid w:val="00CF3460"/>
    <w:rsid w:val="00CF3653"/>
    <w:rsid w:val="00CF7B12"/>
    <w:rsid w:val="00D00B08"/>
    <w:rsid w:val="00D00B0D"/>
    <w:rsid w:val="00D02A6B"/>
    <w:rsid w:val="00D073AB"/>
    <w:rsid w:val="00D07921"/>
    <w:rsid w:val="00D11BDD"/>
    <w:rsid w:val="00D12EC2"/>
    <w:rsid w:val="00D13155"/>
    <w:rsid w:val="00D27D83"/>
    <w:rsid w:val="00D27F38"/>
    <w:rsid w:val="00D309BC"/>
    <w:rsid w:val="00D31022"/>
    <w:rsid w:val="00D3540B"/>
    <w:rsid w:val="00D42582"/>
    <w:rsid w:val="00D43904"/>
    <w:rsid w:val="00D43951"/>
    <w:rsid w:val="00D4459D"/>
    <w:rsid w:val="00D453BF"/>
    <w:rsid w:val="00D453DA"/>
    <w:rsid w:val="00D47904"/>
    <w:rsid w:val="00D518BE"/>
    <w:rsid w:val="00D53346"/>
    <w:rsid w:val="00D541C8"/>
    <w:rsid w:val="00D5498E"/>
    <w:rsid w:val="00D55488"/>
    <w:rsid w:val="00D571B1"/>
    <w:rsid w:val="00D61706"/>
    <w:rsid w:val="00D64BF7"/>
    <w:rsid w:val="00D745C9"/>
    <w:rsid w:val="00D74815"/>
    <w:rsid w:val="00D74DEA"/>
    <w:rsid w:val="00D764E7"/>
    <w:rsid w:val="00D76806"/>
    <w:rsid w:val="00D76BB5"/>
    <w:rsid w:val="00D84475"/>
    <w:rsid w:val="00D85D3E"/>
    <w:rsid w:val="00D85D7E"/>
    <w:rsid w:val="00D92B5E"/>
    <w:rsid w:val="00D9608D"/>
    <w:rsid w:val="00DA2A08"/>
    <w:rsid w:val="00DA6DED"/>
    <w:rsid w:val="00DC12F1"/>
    <w:rsid w:val="00DC183C"/>
    <w:rsid w:val="00DC4943"/>
    <w:rsid w:val="00DC5724"/>
    <w:rsid w:val="00DC6173"/>
    <w:rsid w:val="00DD1B7E"/>
    <w:rsid w:val="00DD3124"/>
    <w:rsid w:val="00DD5757"/>
    <w:rsid w:val="00DE76D3"/>
    <w:rsid w:val="00DE76D5"/>
    <w:rsid w:val="00DE792A"/>
    <w:rsid w:val="00DE7AD3"/>
    <w:rsid w:val="00DF00D8"/>
    <w:rsid w:val="00DF18AB"/>
    <w:rsid w:val="00DF4900"/>
    <w:rsid w:val="00DF660C"/>
    <w:rsid w:val="00E004DD"/>
    <w:rsid w:val="00E015C8"/>
    <w:rsid w:val="00E02749"/>
    <w:rsid w:val="00E03055"/>
    <w:rsid w:val="00E04DC1"/>
    <w:rsid w:val="00E06FEE"/>
    <w:rsid w:val="00E105E8"/>
    <w:rsid w:val="00E130E8"/>
    <w:rsid w:val="00E157B9"/>
    <w:rsid w:val="00E21077"/>
    <w:rsid w:val="00E24D41"/>
    <w:rsid w:val="00E30FE4"/>
    <w:rsid w:val="00E31782"/>
    <w:rsid w:val="00E32A61"/>
    <w:rsid w:val="00E344D0"/>
    <w:rsid w:val="00E366CF"/>
    <w:rsid w:val="00E37E9E"/>
    <w:rsid w:val="00E41323"/>
    <w:rsid w:val="00E418CD"/>
    <w:rsid w:val="00E430B6"/>
    <w:rsid w:val="00E443A4"/>
    <w:rsid w:val="00E522FC"/>
    <w:rsid w:val="00E54729"/>
    <w:rsid w:val="00E564CF"/>
    <w:rsid w:val="00E61318"/>
    <w:rsid w:val="00E61C5E"/>
    <w:rsid w:val="00E62ADA"/>
    <w:rsid w:val="00E664F7"/>
    <w:rsid w:val="00E6658D"/>
    <w:rsid w:val="00E701F6"/>
    <w:rsid w:val="00E70CE2"/>
    <w:rsid w:val="00E7116B"/>
    <w:rsid w:val="00E71978"/>
    <w:rsid w:val="00E72BA5"/>
    <w:rsid w:val="00E735D3"/>
    <w:rsid w:val="00E74ECD"/>
    <w:rsid w:val="00E82DBF"/>
    <w:rsid w:val="00E8342B"/>
    <w:rsid w:val="00E86022"/>
    <w:rsid w:val="00E9003F"/>
    <w:rsid w:val="00E902CD"/>
    <w:rsid w:val="00E904C6"/>
    <w:rsid w:val="00E919A3"/>
    <w:rsid w:val="00E940EB"/>
    <w:rsid w:val="00E96274"/>
    <w:rsid w:val="00EA1455"/>
    <w:rsid w:val="00EB06D3"/>
    <w:rsid w:val="00EC2E41"/>
    <w:rsid w:val="00ED31DE"/>
    <w:rsid w:val="00ED3CDC"/>
    <w:rsid w:val="00ED436A"/>
    <w:rsid w:val="00ED5B0B"/>
    <w:rsid w:val="00EE2B40"/>
    <w:rsid w:val="00EE339E"/>
    <w:rsid w:val="00EE7D3F"/>
    <w:rsid w:val="00EF1201"/>
    <w:rsid w:val="00EF271D"/>
    <w:rsid w:val="00EF3776"/>
    <w:rsid w:val="00F05025"/>
    <w:rsid w:val="00F07733"/>
    <w:rsid w:val="00F107A8"/>
    <w:rsid w:val="00F10EE9"/>
    <w:rsid w:val="00F119F1"/>
    <w:rsid w:val="00F12D6A"/>
    <w:rsid w:val="00F13AA7"/>
    <w:rsid w:val="00F15BF4"/>
    <w:rsid w:val="00F204EE"/>
    <w:rsid w:val="00F239B9"/>
    <w:rsid w:val="00F25615"/>
    <w:rsid w:val="00F265BA"/>
    <w:rsid w:val="00F3136B"/>
    <w:rsid w:val="00F32084"/>
    <w:rsid w:val="00F36899"/>
    <w:rsid w:val="00F368E0"/>
    <w:rsid w:val="00F36B52"/>
    <w:rsid w:val="00F36D9A"/>
    <w:rsid w:val="00F40B00"/>
    <w:rsid w:val="00F4524C"/>
    <w:rsid w:val="00F53AB6"/>
    <w:rsid w:val="00F56488"/>
    <w:rsid w:val="00F564A6"/>
    <w:rsid w:val="00F62936"/>
    <w:rsid w:val="00F62E29"/>
    <w:rsid w:val="00F64670"/>
    <w:rsid w:val="00F674B9"/>
    <w:rsid w:val="00F70A86"/>
    <w:rsid w:val="00F7209C"/>
    <w:rsid w:val="00F72C06"/>
    <w:rsid w:val="00F73286"/>
    <w:rsid w:val="00F76E5D"/>
    <w:rsid w:val="00F803F3"/>
    <w:rsid w:val="00F80C96"/>
    <w:rsid w:val="00F834EB"/>
    <w:rsid w:val="00F8416A"/>
    <w:rsid w:val="00F8622C"/>
    <w:rsid w:val="00F866D0"/>
    <w:rsid w:val="00F8765F"/>
    <w:rsid w:val="00F90A86"/>
    <w:rsid w:val="00F9295A"/>
    <w:rsid w:val="00F95381"/>
    <w:rsid w:val="00FA23A6"/>
    <w:rsid w:val="00FA4DCA"/>
    <w:rsid w:val="00FA62FF"/>
    <w:rsid w:val="00FB345D"/>
    <w:rsid w:val="00FC0068"/>
    <w:rsid w:val="00FC45E6"/>
    <w:rsid w:val="00FC7638"/>
    <w:rsid w:val="00FD107B"/>
    <w:rsid w:val="00FD41EA"/>
    <w:rsid w:val="00FD4661"/>
    <w:rsid w:val="00FD7CD5"/>
    <w:rsid w:val="00FE5F1B"/>
    <w:rsid w:val="00FE6F62"/>
    <w:rsid w:val="00FF3D45"/>
    <w:rsid w:val="00FF4284"/>
    <w:rsid w:val="00FF4C1F"/>
    <w:rsid w:val="00FF74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1A43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9"/>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BB1"/>
    <w:pPr>
      <w:overflowPunct w:val="0"/>
      <w:autoSpaceDE w:val="0"/>
      <w:autoSpaceDN w:val="0"/>
      <w:adjustRightInd w:val="0"/>
      <w:spacing w:line="480" w:lineRule="auto"/>
      <w:ind w:firstLine="720"/>
      <w:textAlignment w:val="baseline"/>
    </w:pPr>
    <w:rPr>
      <w:sz w:val="24"/>
    </w:rPr>
  </w:style>
  <w:style w:type="paragraph" w:styleId="Heading1">
    <w:name w:val="heading 1"/>
    <w:basedOn w:val="Normal"/>
    <w:next w:val="Normal"/>
    <w:link w:val="Heading1Char"/>
    <w:qFormat/>
    <w:rsid w:val="00810BB1"/>
    <w:pPr>
      <w:keepNext/>
      <w:spacing w:before="240"/>
      <w:ind w:firstLine="0"/>
      <w:jc w:val="center"/>
      <w:outlineLvl w:val="0"/>
    </w:pPr>
    <w:rPr>
      <w:rFonts w:eastAsiaTheme="majorEastAsia" w:cstheme="majorBidi"/>
      <w:b/>
      <w:kern w:val="28"/>
    </w:rPr>
  </w:style>
  <w:style w:type="paragraph" w:styleId="Heading2">
    <w:name w:val="heading 2"/>
    <w:basedOn w:val="Normal"/>
    <w:next w:val="Normal"/>
    <w:link w:val="Heading2Char"/>
    <w:qFormat/>
    <w:rsid w:val="00810BB1"/>
    <w:pPr>
      <w:keepNext/>
      <w:spacing w:before="240"/>
      <w:ind w:firstLine="0"/>
      <w:jc w:val="center"/>
      <w:outlineLvl w:val="1"/>
    </w:pPr>
    <w:rPr>
      <w:rFonts w:eastAsiaTheme="majorEastAsia" w:cstheme="majorBidi"/>
    </w:rPr>
  </w:style>
  <w:style w:type="paragraph" w:styleId="Heading3">
    <w:name w:val="heading 3"/>
    <w:basedOn w:val="Normal"/>
    <w:next w:val="Normal"/>
    <w:link w:val="Heading3Char"/>
    <w:qFormat/>
    <w:rsid w:val="00810BB1"/>
    <w:pPr>
      <w:keepNext/>
      <w:spacing w:before="240"/>
      <w:ind w:firstLine="0"/>
      <w:outlineLvl w:val="2"/>
    </w:pPr>
    <w:rPr>
      <w:rFonts w:eastAsiaTheme="majorEastAsia" w:cstheme="majorBidi"/>
      <w:b/>
    </w:rPr>
  </w:style>
  <w:style w:type="paragraph" w:styleId="Heading4">
    <w:name w:val="heading 4"/>
    <w:basedOn w:val="Normal"/>
    <w:next w:val="Normal"/>
    <w:link w:val="Heading4Char"/>
    <w:qFormat/>
    <w:rsid w:val="00810BB1"/>
    <w:pPr>
      <w:keepNext/>
      <w:spacing w:before="240"/>
      <w:ind w:firstLine="0"/>
      <w:outlineLvl w:val="3"/>
    </w:pPr>
    <w:rPr>
      <w:rFonts w:ascii="Times" w:eastAsiaTheme="majorEastAsia" w:hAnsi="Times" w:cstheme="majorBidi"/>
    </w:rPr>
  </w:style>
  <w:style w:type="paragraph" w:styleId="Heading6">
    <w:name w:val="heading 6"/>
    <w:basedOn w:val="Normal"/>
    <w:link w:val="Heading6Char"/>
    <w:qFormat/>
    <w:rsid w:val="00810BB1"/>
    <w:pPr>
      <w:ind w:left="630" w:hanging="360"/>
      <w:outlineLvl w:val="5"/>
    </w:pPr>
  </w:style>
  <w:style w:type="paragraph" w:styleId="Heading7">
    <w:name w:val="heading 7"/>
    <w:basedOn w:val="Normal"/>
    <w:link w:val="Heading7Char"/>
    <w:qFormat/>
    <w:rsid w:val="00810BB1"/>
    <w:pPr>
      <w:ind w:left="990" w:hanging="360"/>
      <w:outlineLvl w:val="6"/>
    </w:pPr>
  </w:style>
  <w:style w:type="paragraph" w:styleId="Heading8">
    <w:name w:val="heading 8"/>
    <w:basedOn w:val="Normal"/>
    <w:next w:val="Normal"/>
    <w:link w:val="Heading8Char"/>
    <w:qFormat/>
    <w:rsid w:val="00810BB1"/>
    <w:pPr>
      <w:spacing w:before="60" w:after="60"/>
      <w:ind w:left="547"/>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sid w:val="002731FD"/>
    <w:rPr>
      <w:vertAlign w:val="superscript"/>
    </w:rPr>
  </w:style>
  <w:style w:type="paragraph" w:styleId="FootnoteText">
    <w:name w:val="footnote text"/>
    <w:basedOn w:val="Normal"/>
    <w:link w:val="FootnoteTextChar"/>
    <w:qFormat/>
    <w:rsid w:val="00810BB1"/>
    <w:pPr>
      <w:spacing w:after="200" w:line="240" w:lineRule="auto"/>
    </w:pPr>
    <w:rPr>
      <w:sz w:val="20"/>
    </w:rPr>
  </w:style>
  <w:style w:type="paragraph" w:styleId="Bibliography">
    <w:name w:val="Bibliography"/>
    <w:basedOn w:val="Normal"/>
    <w:rsid w:val="005B630D"/>
    <w:pPr>
      <w:overflowPunct/>
      <w:autoSpaceDE/>
      <w:autoSpaceDN/>
      <w:adjustRightInd/>
      <w:spacing w:after="240" w:line="240" w:lineRule="auto"/>
      <w:ind w:left="504" w:hanging="504"/>
      <w:textAlignment w:val="auto"/>
    </w:pPr>
  </w:style>
  <w:style w:type="paragraph" w:customStyle="1" w:styleId="BIBLIOGRAPHYHEADING">
    <w:name w:val="BIBLIOGRAPHY HEADING"/>
    <w:basedOn w:val="Normal"/>
    <w:next w:val="Bibliography"/>
    <w:rsid w:val="001A37D0"/>
    <w:pPr>
      <w:tabs>
        <w:tab w:val="right" w:leader="dot" w:pos="8630"/>
      </w:tabs>
      <w:spacing w:before="1440" w:line="240" w:lineRule="auto"/>
      <w:jc w:val="center"/>
    </w:pPr>
    <w:rPr>
      <w:caps/>
    </w:rPr>
  </w:style>
  <w:style w:type="paragraph" w:styleId="BlockText">
    <w:name w:val="Block Text"/>
    <w:aliases w:val="_Blk Indented"/>
    <w:basedOn w:val="NormalIndent"/>
    <w:next w:val="NormalIndent"/>
    <w:rsid w:val="006258E0"/>
    <w:pPr>
      <w:spacing w:after="240" w:line="240" w:lineRule="auto"/>
      <w:ind w:left="504" w:firstLine="504"/>
    </w:pPr>
  </w:style>
  <w:style w:type="paragraph" w:styleId="Header">
    <w:name w:val="header"/>
    <w:basedOn w:val="Normal"/>
    <w:rsid w:val="002731FD"/>
    <w:pPr>
      <w:tabs>
        <w:tab w:val="center" w:pos="4320"/>
        <w:tab w:val="right" w:pos="8640"/>
      </w:tabs>
    </w:pPr>
  </w:style>
  <w:style w:type="character" w:styleId="PageNumber">
    <w:name w:val="page number"/>
    <w:basedOn w:val="DefaultParagraphFont"/>
    <w:rsid w:val="00D309BC"/>
    <w:rPr>
      <w:rFonts w:ascii="Times New Roman" w:hAnsi="Times New Roman"/>
      <w:sz w:val="24"/>
    </w:rPr>
  </w:style>
  <w:style w:type="paragraph" w:customStyle="1" w:styleId="Footnoteseparator">
    <w:name w:val="Footnote separator"/>
    <w:basedOn w:val="Normal"/>
    <w:rsid w:val="005364E6"/>
    <w:pPr>
      <w:spacing w:before="240"/>
    </w:pPr>
  </w:style>
  <w:style w:type="paragraph" w:customStyle="1" w:styleId="StyleAllcapsCenteredBefore72ptAfter24ptLinespaci">
    <w:name w:val="Style All caps Centered Before:  72 pt After:  24 pt Line spaci..."/>
    <w:basedOn w:val="Normal"/>
    <w:rsid w:val="00EF3776"/>
    <w:pPr>
      <w:spacing w:before="1320" w:after="240" w:line="240" w:lineRule="auto"/>
      <w:jc w:val="center"/>
    </w:pPr>
    <w:rPr>
      <w:caps/>
    </w:rPr>
  </w:style>
  <w:style w:type="paragraph" w:styleId="Footer">
    <w:name w:val="footer"/>
    <w:basedOn w:val="Normal"/>
    <w:rsid w:val="000A359F"/>
    <w:pPr>
      <w:tabs>
        <w:tab w:val="center" w:pos="4320"/>
        <w:tab w:val="right" w:pos="8640"/>
      </w:tabs>
    </w:pPr>
  </w:style>
  <w:style w:type="paragraph" w:customStyle="1" w:styleId="ThesisTitle">
    <w:name w:val="Thesis Title"/>
    <w:basedOn w:val="Normal"/>
    <w:rsid w:val="0078060F"/>
    <w:pPr>
      <w:spacing w:before="1440" w:after="480" w:line="240" w:lineRule="auto"/>
      <w:jc w:val="center"/>
    </w:pPr>
    <w:rPr>
      <w:caps/>
    </w:rPr>
  </w:style>
  <w:style w:type="paragraph" w:customStyle="1" w:styleId="TitlePageParagraph">
    <w:name w:val="TitlePageParagraph"/>
    <w:basedOn w:val="Normal"/>
    <w:rsid w:val="000A359F"/>
    <w:pPr>
      <w:spacing w:before="240" w:line="240" w:lineRule="auto"/>
      <w:jc w:val="center"/>
    </w:pPr>
  </w:style>
  <w:style w:type="paragraph" w:styleId="NormalIndent">
    <w:name w:val="Normal Indent"/>
    <w:basedOn w:val="Normal"/>
    <w:link w:val="NormalIndentChar"/>
    <w:rsid w:val="005671A4"/>
    <w:pPr>
      <w:ind w:firstLine="1008"/>
    </w:pPr>
  </w:style>
  <w:style w:type="paragraph" w:customStyle="1" w:styleId="firstlevelsubhead">
    <w:name w:val="#first level subhead"/>
    <w:basedOn w:val="Heading2"/>
    <w:next w:val="NormalIndent"/>
    <w:qFormat/>
    <w:rsid w:val="005671A4"/>
    <w:pPr>
      <w:spacing w:after="240" w:line="240" w:lineRule="auto"/>
    </w:pPr>
    <w:rPr>
      <w:i/>
    </w:rPr>
  </w:style>
  <w:style w:type="paragraph" w:customStyle="1" w:styleId="secondlevelsubhead">
    <w:name w:val="#second level subhead"/>
    <w:basedOn w:val="Heading3"/>
    <w:next w:val="NormalIndent"/>
    <w:qFormat/>
    <w:rsid w:val="005671A4"/>
    <w:pPr>
      <w:spacing w:after="240" w:line="240" w:lineRule="auto"/>
    </w:pPr>
  </w:style>
  <w:style w:type="paragraph" w:customStyle="1" w:styleId="TITLESingleline">
    <w:name w:val="TITLE_Single line"/>
    <w:basedOn w:val="Normal"/>
    <w:next w:val="TitlePageParagraph"/>
    <w:rsid w:val="009A2B13"/>
    <w:pPr>
      <w:spacing w:before="1320"/>
      <w:jc w:val="center"/>
    </w:pPr>
    <w:rPr>
      <w:caps/>
    </w:rPr>
  </w:style>
  <w:style w:type="paragraph" w:customStyle="1" w:styleId="thirdlevelsubhead">
    <w:name w:val="#third level subhead"/>
    <w:basedOn w:val="NormalIndent"/>
    <w:next w:val="BodyTextIndent"/>
    <w:link w:val="thirdlevelsubheadChar"/>
    <w:rsid w:val="00EF271D"/>
    <w:pPr>
      <w:spacing w:before="240"/>
    </w:pPr>
    <w:rPr>
      <w:b/>
    </w:rPr>
  </w:style>
  <w:style w:type="paragraph" w:customStyle="1" w:styleId="TITLEPAGE">
    <w:name w:val="TITLE PAGE"/>
    <w:basedOn w:val="Normal"/>
    <w:next w:val="TitlePageParagraph"/>
    <w:rsid w:val="009A2B13"/>
    <w:pPr>
      <w:jc w:val="center"/>
    </w:pPr>
  </w:style>
  <w:style w:type="character" w:customStyle="1" w:styleId="NormalIndentChar">
    <w:name w:val="Normal Indent Char"/>
    <w:basedOn w:val="DefaultParagraphFont"/>
    <w:link w:val="NormalIndent"/>
    <w:rsid w:val="005671A4"/>
    <w:rPr>
      <w:sz w:val="24"/>
      <w:szCs w:val="24"/>
    </w:rPr>
  </w:style>
  <w:style w:type="character" w:customStyle="1" w:styleId="thirdlevelsubheadChar">
    <w:name w:val="#third level subhead Char"/>
    <w:basedOn w:val="NormalIndentChar"/>
    <w:link w:val="thirdlevelsubhead"/>
    <w:rsid w:val="00EF271D"/>
    <w:rPr>
      <w:b/>
      <w:sz w:val="24"/>
      <w:szCs w:val="24"/>
    </w:rPr>
  </w:style>
  <w:style w:type="paragraph" w:customStyle="1" w:styleId="TOC1SWBTS">
    <w:name w:val="TOC1SWBTS"/>
    <w:basedOn w:val="Normal"/>
    <w:rsid w:val="00F53AB6"/>
    <w:pPr>
      <w:tabs>
        <w:tab w:val="left" w:pos="840"/>
        <w:tab w:val="right" w:leader="dot" w:pos="8640"/>
      </w:tabs>
      <w:spacing w:before="240" w:line="240" w:lineRule="auto"/>
      <w:ind w:left="835" w:hanging="331"/>
    </w:pPr>
    <w:rPr>
      <w:caps/>
      <w:noProof/>
    </w:rPr>
  </w:style>
  <w:style w:type="character" w:styleId="Emphasis">
    <w:name w:val="Emphasis"/>
    <w:aliases w:val="=Emphasis"/>
    <w:basedOn w:val="DefaultParagraphFont"/>
    <w:uiPriority w:val="20"/>
    <w:qFormat/>
    <w:rsid w:val="00F53AB6"/>
    <w:rPr>
      <w:i/>
      <w:iCs/>
    </w:rPr>
  </w:style>
  <w:style w:type="character" w:styleId="Hyperlink">
    <w:name w:val="Hyperlink"/>
    <w:basedOn w:val="DefaultParagraphFont"/>
    <w:uiPriority w:val="99"/>
    <w:rsid w:val="00137919"/>
    <w:rPr>
      <w:rFonts w:ascii="Times New Roman" w:hAnsi="Times New Roman"/>
      <w:color w:val="000000"/>
      <w:sz w:val="24"/>
      <w:u w:val="none"/>
    </w:rPr>
  </w:style>
  <w:style w:type="paragraph" w:customStyle="1" w:styleId="TOC2SWBTS">
    <w:name w:val="TOC2SWBTS"/>
    <w:basedOn w:val="Normal"/>
    <w:rsid w:val="00F53AB6"/>
    <w:pPr>
      <w:tabs>
        <w:tab w:val="right" w:leader="dot" w:pos="8640"/>
      </w:tabs>
      <w:spacing w:before="240" w:line="240" w:lineRule="auto"/>
      <w:ind w:left="1512" w:hanging="504"/>
    </w:pPr>
  </w:style>
  <w:style w:type="paragraph" w:customStyle="1" w:styleId="StyleStyleAllcapsCenteredBefore72ptAfter24ptLinespa">
    <w:name w:val="Style Style All caps Centered Before:  72 pt After:  24 pt Line spa..."/>
    <w:basedOn w:val="StyleAllcapsCenteredBefore72ptAfter24ptLinespaci"/>
    <w:next w:val="TITLESECONDLINE"/>
    <w:rsid w:val="009201E6"/>
    <w:pPr>
      <w:spacing w:before="840"/>
      <w:contextualSpacing/>
    </w:pPr>
  </w:style>
  <w:style w:type="paragraph" w:customStyle="1" w:styleId="NormalindentedParagraph">
    <w:name w:val="Normal (indented) Paragraph"/>
    <w:basedOn w:val="Normal"/>
    <w:rsid w:val="00BB4E07"/>
    <w:pPr>
      <w:ind w:firstLine="1008"/>
    </w:pPr>
  </w:style>
  <w:style w:type="paragraph" w:customStyle="1" w:styleId="DateonTitlePage">
    <w:name w:val="Date on Title Page"/>
    <w:basedOn w:val="TitlePageParagraph"/>
    <w:rsid w:val="009201E6"/>
    <w:pPr>
      <w:spacing w:before="720"/>
    </w:pPr>
  </w:style>
  <w:style w:type="paragraph" w:customStyle="1" w:styleId="TITLESECONDLINE">
    <w:name w:val="TITLE SECOND LINE"/>
    <w:basedOn w:val="StyleStyleAllcapsCenteredBefore72ptAfter24ptLinespa"/>
    <w:rsid w:val="009201E6"/>
    <w:pPr>
      <w:spacing w:before="0"/>
    </w:pPr>
  </w:style>
  <w:style w:type="paragraph" w:customStyle="1" w:styleId="StyleStyleStyleAllcapsCenteredBefore72ptAfter24ptLi">
    <w:name w:val="Style Style Style All caps Centered Before:  72 pt After:  24 pt Li..."/>
    <w:basedOn w:val="StyleStyleAllcapsCenteredBefore72ptAfter24ptLinespa"/>
    <w:rsid w:val="00647432"/>
    <w:pPr>
      <w:spacing w:before="900"/>
    </w:pPr>
  </w:style>
  <w:style w:type="paragraph" w:customStyle="1" w:styleId="StyleStyleAllcapsCenteredBefore72ptAfter24ptLinespa1">
    <w:name w:val="Style Style All caps Centered Before:  72 pt After:  24 pt Line spa...1"/>
    <w:basedOn w:val="StyleAllcapsCenteredBefore72ptAfter24ptLinespaci"/>
    <w:next w:val="Normal"/>
    <w:rsid w:val="00850AC6"/>
    <w:pPr>
      <w:spacing w:after="480"/>
    </w:pPr>
  </w:style>
  <w:style w:type="paragraph" w:customStyle="1" w:styleId="TITLEPAGEAllcapsCenteredBefore72ptAfter24ptLi">
    <w:name w:val="TITLE PAGE All caps Centered Before:  72 pt After:  24 pt Li..."/>
    <w:basedOn w:val="Normal"/>
    <w:next w:val="TITLEPAGE"/>
    <w:rsid w:val="00EF3776"/>
    <w:pPr>
      <w:spacing w:before="900" w:after="240"/>
      <w:contextualSpacing/>
      <w:jc w:val="center"/>
    </w:pPr>
    <w:rPr>
      <w:caps/>
    </w:rPr>
  </w:style>
  <w:style w:type="paragraph" w:customStyle="1" w:styleId="StyleStyleAllcapsCenteredBefore72ptAfter24ptLinespa2">
    <w:name w:val="Style Style All caps Centered Before:  72 pt After:  24 pt Line spa...2"/>
    <w:basedOn w:val="StyleAllcapsCenteredBefore72ptAfter24ptLinespaci"/>
    <w:next w:val="NormalIndent"/>
    <w:rsid w:val="00DF4900"/>
    <w:pPr>
      <w:spacing w:before="1440" w:after="480"/>
    </w:pPr>
  </w:style>
  <w:style w:type="paragraph" w:customStyle="1" w:styleId="StyleBodyTextIndentLeft0">
    <w:name w:val="Style Body Text Indent + Left:  0&quot;"/>
    <w:basedOn w:val="Normal"/>
    <w:rsid w:val="006C6AC7"/>
    <w:pPr>
      <w:ind w:firstLine="1008"/>
    </w:pPr>
  </w:style>
  <w:style w:type="paragraph" w:styleId="BodyTextIndent2">
    <w:name w:val="Body Text Indent 2"/>
    <w:aliases w:val="_Body Text Indent 2"/>
    <w:basedOn w:val="BlockText"/>
    <w:next w:val="NormalIndent"/>
    <w:link w:val="BodyTextIndent2Char"/>
    <w:rsid w:val="00EE339E"/>
  </w:style>
  <w:style w:type="character" w:customStyle="1" w:styleId="BodyTextIndent2Char">
    <w:name w:val="Body Text Indent 2 Char"/>
    <w:aliases w:val="_Body Text Indent 2 Char"/>
    <w:basedOn w:val="DefaultParagraphFont"/>
    <w:link w:val="BodyTextIndent2"/>
    <w:rsid w:val="00EE339E"/>
    <w:rPr>
      <w:sz w:val="24"/>
      <w:szCs w:val="24"/>
    </w:rPr>
  </w:style>
  <w:style w:type="paragraph" w:styleId="BodyTextIndent">
    <w:name w:val="Body Text Indent"/>
    <w:basedOn w:val="Normal"/>
    <w:link w:val="BodyTextIndentChar"/>
    <w:rsid w:val="00ED436A"/>
    <w:pPr>
      <w:ind w:firstLine="1008"/>
    </w:pPr>
  </w:style>
  <w:style w:type="character" w:customStyle="1" w:styleId="BodyTextIndentChar">
    <w:name w:val="Body Text Indent Char"/>
    <w:basedOn w:val="DefaultParagraphFont"/>
    <w:link w:val="BodyTextIndent"/>
    <w:rsid w:val="00ED436A"/>
    <w:rPr>
      <w:sz w:val="24"/>
      <w:szCs w:val="24"/>
    </w:rPr>
  </w:style>
  <w:style w:type="paragraph" w:customStyle="1" w:styleId="Blkqunoindent">
    <w:name w:val="_Blk qu no indent"/>
    <w:basedOn w:val="BodyTextIndent2"/>
    <w:qFormat/>
    <w:rsid w:val="006258E0"/>
    <w:pPr>
      <w:ind w:firstLine="0"/>
    </w:pPr>
  </w:style>
  <w:style w:type="paragraph" w:customStyle="1" w:styleId="StyleTITLEPAGEAllcapsCenteredBefore72ptAfter24ptLi">
    <w:name w:val="Style TITLE PAGE All caps Centered Before:  72 pt After:  24 pt Li...."/>
    <w:basedOn w:val="TITLEPAGEAllcapsCenteredBefore72ptAfter24ptLi"/>
    <w:next w:val="Normal"/>
    <w:rsid w:val="00BB4E07"/>
    <w:pPr>
      <w:spacing w:before="1440" w:after="480" w:line="240" w:lineRule="auto"/>
    </w:pPr>
  </w:style>
  <w:style w:type="paragraph" w:customStyle="1" w:styleId="TOC3SWBTS">
    <w:name w:val="TOC3SWBTS"/>
    <w:basedOn w:val="Normal"/>
    <w:rsid w:val="00F53AB6"/>
    <w:pPr>
      <w:tabs>
        <w:tab w:val="right" w:leader="dot" w:pos="8640"/>
      </w:tabs>
      <w:spacing w:before="240" w:line="240" w:lineRule="auto"/>
      <w:ind w:left="2016" w:hanging="504"/>
    </w:pPr>
  </w:style>
  <w:style w:type="paragraph" w:styleId="BalloonText">
    <w:name w:val="Balloon Text"/>
    <w:basedOn w:val="Normal"/>
    <w:link w:val="BalloonTextChar"/>
    <w:uiPriority w:val="99"/>
    <w:semiHidden/>
    <w:unhideWhenUsed/>
    <w:rsid w:val="002B22E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22E2"/>
    <w:rPr>
      <w:rFonts w:ascii="Tahoma" w:hAnsi="Tahoma" w:cs="Tahoma"/>
      <w:sz w:val="16"/>
      <w:szCs w:val="16"/>
    </w:rPr>
  </w:style>
  <w:style w:type="character" w:customStyle="1" w:styleId="Heading1Char">
    <w:name w:val="Heading 1 Char"/>
    <w:basedOn w:val="DefaultParagraphFont"/>
    <w:link w:val="Heading1"/>
    <w:rsid w:val="00810BB1"/>
    <w:rPr>
      <w:rFonts w:eastAsiaTheme="majorEastAsia" w:cstheme="majorBidi"/>
      <w:b/>
      <w:kern w:val="28"/>
      <w:sz w:val="24"/>
    </w:rPr>
  </w:style>
  <w:style w:type="character" w:styleId="CommentReference">
    <w:name w:val="annotation reference"/>
    <w:basedOn w:val="DefaultParagraphFont"/>
    <w:uiPriority w:val="99"/>
    <w:semiHidden/>
    <w:unhideWhenUsed/>
    <w:rsid w:val="007F439C"/>
    <w:rPr>
      <w:sz w:val="16"/>
      <w:szCs w:val="16"/>
    </w:rPr>
  </w:style>
  <w:style w:type="paragraph" w:styleId="CommentText">
    <w:name w:val="annotation text"/>
    <w:basedOn w:val="Normal"/>
    <w:link w:val="CommentTextChar"/>
    <w:uiPriority w:val="99"/>
    <w:semiHidden/>
    <w:unhideWhenUsed/>
    <w:rsid w:val="007F439C"/>
    <w:pPr>
      <w:spacing w:line="240" w:lineRule="auto"/>
    </w:pPr>
    <w:rPr>
      <w:sz w:val="20"/>
    </w:rPr>
  </w:style>
  <w:style w:type="character" w:customStyle="1" w:styleId="CommentTextChar">
    <w:name w:val="Comment Text Char"/>
    <w:basedOn w:val="DefaultParagraphFont"/>
    <w:link w:val="CommentText"/>
    <w:uiPriority w:val="99"/>
    <w:semiHidden/>
    <w:rsid w:val="007F439C"/>
  </w:style>
  <w:style w:type="paragraph" w:styleId="CommentSubject">
    <w:name w:val="annotation subject"/>
    <w:basedOn w:val="CommentText"/>
    <w:next w:val="CommentText"/>
    <w:link w:val="CommentSubjectChar"/>
    <w:uiPriority w:val="99"/>
    <w:semiHidden/>
    <w:unhideWhenUsed/>
    <w:rsid w:val="007F439C"/>
    <w:rPr>
      <w:b/>
      <w:bCs/>
    </w:rPr>
  </w:style>
  <w:style w:type="character" w:customStyle="1" w:styleId="CommentSubjectChar">
    <w:name w:val="Comment Subject Char"/>
    <w:basedOn w:val="CommentTextChar"/>
    <w:link w:val="CommentSubject"/>
    <w:uiPriority w:val="99"/>
    <w:semiHidden/>
    <w:rsid w:val="007F439C"/>
    <w:rPr>
      <w:b/>
      <w:bCs/>
    </w:rPr>
  </w:style>
  <w:style w:type="paragraph" w:customStyle="1" w:styleId="Compact">
    <w:name w:val="Compact"/>
    <w:basedOn w:val="Normal"/>
    <w:qFormat/>
    <w:rsid w:val="00810BB1"/>
    <w:pPr>
      <w:spacing w:before="36" w:after="36"/>
    </w:pPr>
  </w:style>
  <w:style w:type="paragraph" w:customStyle="1" w:styleId="BlockQuote">
    <w:name w:val="Block Quote"/>
    <w:basedOn w:val="Normal"/>
    <w:next w:val="Normal"/>
    <w:uiPriority w:val="9"/>
    <w:unhideWhenUsed/>
    <w:qFormat/>
    <w:rsid w:val="00810BB1"/>
    <w:pPr>
      <w:spacing w:after="100" w:afterAutospacing="1" w:line="240" w:lineRule="auto"/>
      <w:ind w:left="720" w:firstLine="0"/>
    </w:pPr>
    <w:rPr>
      <w:rFonts w:eastAsiaTheme="majorEastAsia" w:cstheme="majorBidi"/>
      <w:bCs/>
      <w:szCs w:val="24"/>
    </w:rPr>
  </w:style>
  <w:style w:type="paragraph" w:customStyle="1" w:styleId="BookReview">
    <w:name w:val="Book Review"/>
    <w:basedOn w:val="Normal"/>
    <w:next w:val="Normal"/>
    <w:qFormat/>
    <w:rsid w:val="00810BB1"/>
    <w:pPr>
      <w:ind w:firstLine="0"/>
    </w:pPr>
  </w:style>
  <w:style w:type="paragraph" w:customStyle="1" w:styleId="TitlePageTitleCaps">
    <w:name w:val="Title Page Title Caps"/>
    <w:basedOn w:val="Normal"/>
    <w:link w:val="TitlePageTitleCapsChar"/>
    <w:qFormat/>
    <w:rsid w:val="00810BB1"/>
    <w:pPr>
      <w:ind w:firstLine="0"/>
      <w:jc w:val="center"/>
    </w:pPr>
  </w:style>
  <w:style w:type="character" w:customStyle="1" w:styleId="TitlePageTitleCapsChar">
    <w:name w:val="Title Page Title Caps Char"/>
    <w:basedOn w:val="DefaultParagraphFont"/>
    <w:link w:val="TitlePageTitleCaps"/>
    <w:rsid w:val="00810BB1"/>
    <w:rPr>
      <w:sz w:val="24"/>
    </w:rPr>
  </w:style>
  <w:style w:type="paragraph" w:customStyle="1" w:styleId="WorksCitedentry">
    <w:name w:val="Works Cited entry"/>
    <w:basedOn w:val="Normal"/>
    <w:qFormat/>
    <w:rsid w:val="00810BB1"/>
    <w:pPr>
      <w:spacing w:after="240" w:line="240" w:lineRule="auto"/>
      <w:ind w:left="720" w:hanging="720"/>
    </w:pPr>
    <w:rPr>
      <w:szCs w:val="24"/>
    </w:rPr>
  </w:style>
  <w:style w:type="character" w:customStyle="1" w:styleId="Heading2Char">
    <w:name w:val="Heading 2 Char"/>
    <w:basedOn w:val="DefaultParagraphFont"/>
    <w:link w:val="Heading2"/>
    <w:rsid w:val="00810BB1"/>
    <w:rPr>
      <w:rFonts w:eastAsiaTheme="majorEastAsia" w:cstheme="majorBidi"/>
      <w:sz w:val="24"/>
    </w:rPr>
  </w:style>
  <w:style w:type="character" w:customStyle="1" w:styleId="Heading3Char">
    <w:name w:val="Heading 3 Char"/>
    <w:basedOn w:val="DefaultParagraphFont"/>
    <w:link w:val="Heading3"/>
    <w:rsid w:val="00810BB1"/>
    <w:rPr>
      <w:rFonts w:eastAsiaTheme="majorEastAsia" w:cstheme="majorBidi"/>
      <w:b/>
      <w:sz w:val="24"/>
    </w:rPr>
  </w:style>
  <w:style w:type="character" w:customStyle="1" w:styleId="Heading4Char">
    <w:name w:val="Heading 4 Char"/>
    <w:basedOn w:val="DefaultParagraphFont"/>
    <w:link w:val="Heading4"/>
    <w:rsid w:val="00810BB1"/>
    <w:rPr>
      <w:rFonts w:ascii="Times" w:eastAsiaTheme="majorEastAsia" w:hAnsi="Times" w:cstheme="majorBidi"/>
      <w:sz w:val="24"/>
    </w:rPr>
  </w:style>
  <w:style w:type="character" w:customStyle="1" w:styleId="Heading6Char">
    <w:name w:val="Heading 6 Char"/>
    <w:basedOn w:val="DefaultParagraphFont"/>
    <w:link w:val="Heading6"/>
    <w:rsid w:val="00810BB1"/>
    <w:rPr>
      <w:sz w:val="24"/>
    </w:rPr>
  </w:style>
  <w:style w:type="character" w:customStyle="1" w:styleId="Heading7Char">
    <w:name w:val="Heading 7 Char"/>
    <w:basedOn w:val="DefaultParagraphFont"/>
    <w:link w:val="Heading7"/>
    <w:rsid w:val="00810BB1"/>
    <w:rPr>
      <w:sz w:val="24"/>
    </w:rPr>
  </w:style>
  <w:style w:type="character" w:customStyle="1" w:styleId="Heading8Char">
    <w:name w:val="Heading 8 Char"/>
    <w:basedOn w:val="DefaultParagraphFont"/>
    <w:link w:val="Heading8"/>
    <w:rsid w:val="00810BB1"/>
    <w:rPr>
      <w:sz w:val="24"/>
    </w:rPr>
  </w:style>
  <w:style w:type="character" w:customStyle="1" w:styleId="FootnoteTextChar">
    <w:name w:val="Footnote Text Char"/>
    <w:basedOn w:val="DefaultParagraphFont"/>
    <w:link w:val="FootnoteText"/>
    <w:rsid w:val="00810BB1"/>
  </w:style>
  <w:style w:type="paragraph" w:styleId="Title">
    <w:name w:val="Title"/>
    <w:basedOn w:val="Normal"/>
    <w:next w:val="Normal"/>
    <w:link w:val="TitleChar"/>
    <w:uiPriority w:val="10"/>
    <w:qFormat/>
    <w:rsid w:val="00810BB1"/>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810BB1"/>
    <w:rPr>
      <w:rFonts w:asciiTheme="majorHAnsi" w:eastAsiaTheme="majorEastAsia" w:hAnsiTheme="majorHAnsi" w:cstheme="majorBidi"/>
      <w:b/>
      <w:bCs/>
      <w:kern w:val="28"/>
      <w:sz w:val="32"/>
      <w:szCs w:val="32"/>
    </w:rPr>
  </w:style>
  <w:style w:type="paragraph" w:styleId="Subtitle">
    <w:name w:val="Subtitle"/>
    <w:basedOn w:val="Title"/>
    <w:next w:val="Normal"/>
    <w:link w:val="SubtitleChar"/>
    <w:uiPriority w:val="11"/>
    <w:qFormat/>
    <w:rsid w:val="00810BB1"/>
    <w:pPr>
      <w:numPr>
        <w:ilvl w:val="1"/>
      </w:numPr>
      <w:spacing w:before="0" w:after="0"/>
      <w:ind w:firstLine="720"/>
      <w:jc w:val="left"/>
      <w:outlineLvl w:val="9"/>
    </w:pPr>
    <w:rPr>
      <w:b w:val="0"/>
      <w:bCs w:val="0"/>
      <w:i/>
      <w:iCs/>
      <w:color w:val="4F81BD" w:themeColor="accent1"/>
      <w:spacing w:val="15"/>
      <w:kern w:val="0"/>
      <w:sz w:val="24"/>
      <w:szCs w:val="24"/>
    </w:rPr>
  </w:style>
  <w:style w:type="character" w:customStyle="1" w:styleId="SubtitleChar">
    <w:name w:val="Subtitle Char"/>
    <w:basedOn w:val="DefaultParagraphFont"/>
    <w:link w:val="Subtitle"/>
    <w:uiPriority w:val="11"/>
    <w:rsid w:val="00810BB1"/>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9"/>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BB1"/>
    <w:pPr>
      <w:overflowPunct w:val="0"/>
      <w:autoSpaceDE w:val="0"/>
      <w:autoSpaceDN w:val="0"/>
      <w:adjustRightInd w:val="0"/>
      <w:spacing w:line="480" w:lineRule="auto"/>
      <w:ind w:firstLine="720"/>
      <w:textAlignment w:val="baseline"/>
    </w:pPr>
    <w:rPr>
      <w:sz w:val="24"/>
    </w:rPr>
  </w:style>
  <w:style w:type="paragraph" w:styleId="Heading1">
    <w:name w:val="heading 1"/>
    <w:basedOn w:val="Normal"/>
    <w:next w:val="Normal"/>
    <w:link w:val="Heading1Char"/>
    <w:qFormat/>
    <w:rsid w:val="00810BB1"/>
    <w:pPr>
      <w:keepNext/>
      <w:spacing w:before="240"/>
      <w:ind w:firstLine="0"/>
      <w:jc w:val="center"/>
      <w:outlineLvl w:val="0"/>
    </w:pPr>
    <w:rPr>
      <w:rFonts w:eastAsiaTheme="majorEastAsia" w:cstheme="majorBidi"/>
      <w:b/>
      <w:kern w:val="28"/>
    </w:rPr>
  </w:style>
  <w:style w:type="paragraph" w:styleId="Heading2">
    <w:name w:val="heading 2"/>
    <w:basedOn w:val="Normal"/>
    <w:next w:val="Normal"/>
    <w:link w:val="Heading2Char"/>
    <w:qFormat/>
    <w:rsid w:val="00810BB1"/>
    <w:pPr>
      <w:keepNext/>
      <w:spacing w:before="240"/>
      <w:ind w:firstLine="0"/>
      <w:jc w:val="center"/>
      <w:outlineLvl w:val="1"/>
    </w:pPr>
    <w:rPr>
      <w:rFonts w:eastAsiaTheme="majorEastAsia" w:cstheme="majorBidi"/>
    </w:rPr>
  </w:style>
  <w:style w:type="paragraph" w:styleId="Heading3">
    <w:name w:val="heading 3"/>
    <w:basedOn w:val="Normal"/>
    <w:next w:val="Normal"/>
    <w:link w:val="Heading3Char"/>
    <w:qFormat/>
    <w:rsid w:val="00810BB1"/>
    <w:pPr>
      <w:keepNext/>
      <w:spacing w:before="240"/>
      <w:ind w:firstLine="0"/>
      <w:outlineLvl w:val="2"/>
    </w:pPr>
    <w:rPr>
      <w:rFonts w:eastAsiaTheme="majorEastAsia" w:cstheme="majorBidi"/>
      <w:b/>
    </w:rPr>
  </w:style>
  <w:style w:type="paragraph" w:styleId="Heading4">
    <w:name w:val="heading 4"/>
    <w:basedOn w:val="Normal"/>
    <w:next w:val="Normal"/>
    <w:link w:val="Heading4Char"/>
    <w:qFormat/>
    <w:rsid w:val="00810BB1"/>
    <w:pPr>
      <w:keepNext/>
      <w:spacing w:before="240"/>
      <w:ind w:firstLine="0"/>
      <w:outlineLvl w:val="3"/>
    </w:pPr>
    <w:rPr>
      <w:rFonts w:ascii="Times" w:eastAsiaTheme="majorEastAsia" w:hAnsi="Times" w:cstheme="majorBidi"/>
    </w:rPr>
  </w:style>
  <w:style w:type="paragraph" w:styleId="Heading6">
    <w:name w:val="heading 6"/>
    <w:basedOn w:val="Normal"/>
    <w:link w:val="Heading6Char"/>
    <w:qFormat/>
    <w:rsid w:val="00810BB1"/>
    <w:pPr>
      <w:ind w:left="630" w:hanging="360"/>
      <w:outlineLvl w:val="5"/>
    </w:pPr>
  </w:style>
  <w:style w:type="paragraph" w:styleId="Heading7">
    <w:name w:val="heading 7"/>
    <w:basedOn w:val="Normal"/>
    <w:link w:val="Heading7Char"/>
    <w:qFormat/>
    <w:rsid w:val="00810BB1"/>
    <w:pPr>
      <w:ind w:left="990" w:hanging="360"/>
      <w:outlineLvl w:val="6"/>
    </w:pPr>
  </w:style>
  <w:style w:type="paragraph" w:styleId="Heading8">
    <w:name w:val="heading 8"/>
    <w:basedOn w:val="Normal"/>
    <w:next w:val="Normal"/>
    <w:link w:val="Heading8Char"/>
    <w:qFormat/>
    <w:rsid w:val="00810BB1"/>
    <w:pPr>
      <w:spacing w:before="60" w:after="60"/>
      <w:ind w:left="547"/>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sid w:val="002731FD"/>
    <w:rPr>
      <w:vertAlign w:val="superscript"/>
    </w:rPr>
  </w:style>
  <w:style w:type="paragraph" w:styleId="FootnoteText">
    <w:name w:val="footnote text"/>
    <w:basedOn w:val="Normal"/>
    <w:link w:val="FootnoteTextChar"/>
    <w:qFormat/>
    <w:rsid w:val="00810BB1"/>
    <w:pPr>
      <w:spacing w:after="200" w:line="240" w:lineRule="auto"/>
    </w:pPr>
    <w:rPr>
      <w:sz w:val="20"/>
    </w:rPr>
  </w:style>
  <w:style w:type="paragraph" w:styleId="Bibliography">
    <w:name w:val="Bibliography"/>
    <w:basedOn w:val="Normal"/>
    <w:rsid w:val="005B630D"/>
    <w:pPr>
      <w:overflowPunct/>
      <w:autoSpaceDE/>
      <w:autoSpaceDN/>
      <w:adjustRightInd/>
      <w:spacing w:after="240" w:line="240" w:lineRule="auto"/>
      <w:ind w:left="504" w:hanging="504"/>
      <w:textAlignment w:val="auto"/>
    </w:pPr>
  </w:style>
  <w:style w:type="paragraph" w:customStyle="1" w:styleId="BIBLIOGRAPHYHEADING">
    <w:name w:val="BIBLIOGRAPHY HEADING"/>
    <w:basedOn w:val="Normal"/>
    <w:next w:val="Bibliography"/>
    <w:rsid w:val="001A37D0"/>
    <w:pPr>
      <w:tabs>
        <w:tab w:val="right" w:leader="dot" w:pos="8630"/>
      </w:tabs>
      <w:spacing w:before="1440" w:line="240" w:lineRule="auto"/>
      <w:jc w:val="center"/>
    </w:pPr>
    <w:rPr>
      <w:caps/>
    </w:rPr>
  </w:style>
  <w:style w:type="paragraph" w:styleId="BlockText">
    <w:name w:val="Block Text"/>
    <w:aliases w:val="_Blk Indented"/>
    <w:basedOn w:val="NormalIndent"/>
    <w:next w:val="NormalIndent"/>
    <w:rsid w:val="006258E0"/>
    <w:pPr>
      <w:spacing w:after="240" w:line="240" w:lineRule="auto"/>
      <w:ind w:left="504" w:firstLine="504"/>
    </w:pPr>
  </w:style>
  <w:style w:type="paragraph" w:styleId="Header">
    <w:name w:val="header"/>
    <w:basedOn w:val="Normal"/>
    <w:rsid w:val="002731FD"/>
    <w:pPr>
      <w:tabs>
        <w:tab w:val="center" w:pos="4320"/>
        <w:tab w:val="right" w:pos="8640"/>
      </w:tabs>
    </w:pPr>
  </w:style>
  <w:style w:type="character" w:styleId="PageNumber">
    <w:name w:val="page number"/>
    <w:basedOn w:val="DefaultParagraphFont"/>
    <w:rsid w:val="00D309BC"/>
    <w:rPr>
      <w:rFonts w:ascii="Times New Roman" w:hAnsi="Times New Roman"/>
      <w:sz w:val="24"/>
    </w:rPr>
  </w:style>
  <w:style w:type="paragraph" w:customStyle="1" w:styleId="Footnoteseparator">
    <w:name w:val="Footnote separator"/>
    <w:basedOn w:val="Normal"/>
    <w:rsid w:val="005364E6"/>
    <w:pPr>
      <w:spacing w:before="240"/>
    </w:pPr>
  </w:style>
  <w:style w:type="paragraph" w:customStyle="1" w:styleId="StyleAllcapsCenteredBefore72ptAfter24ptLinespaci">
    <w:name w:val="Style All caps Centered Before:  72 pt After:  24 pt Line spaci..."/>
    <w:basedOn w:val="Normal"/>
    <w:rsid w:val="00EF3776"/>
    <w:pPr>
      <w:spacing w:before="1320" w:after="240" w:line="240" w:lineRule="auto"/>
      <w:jc w:val="center"/>
    </w:pPr>
    <w:rPr>
      <w:caps/>
    </w:rPr>
  </w:style>
  <w:style w:type="paragraph" w:styleId="Footer">
    <w:name w:val="footer"/>
    <w:basedOn w:val="Normal"/>
    <w:rsid w:val="000A359F"/>
    <w:pPr>
      <w:tabs>
        <w:tab w:val="center" w:pos="4320"/>
        <w:tab w:val="right" w:pos="8640"/>
      </w:tabs>
    </w:pPr>
  </w:style>
  <w:style w:type="paragraph" w:customStyle="1" w:styleId="ThesisTitle">
    <w:name w:val="Thesis Title"/>
    <w:basedOn w:val="Normal"/>
    <w:rsid w:val="0078060F"/>
    <w:pPr>
      <w:spacing w:before="1440" w:after="480" w:line="240" w:lineRule="auto"/>
      <w:jc w:val="center"/>
    </w:pPr>
    <w:rPr>
      <w:caps/>
    </w:rPr>
  </w:style>
  <w:style w:type="paragraph" w:customStyle="1" w:styleId="TitlePageParagraph">
    <w:name w:val="TitlePageParagraph"/>
    <w:basedOn w:val="Normal"/>
    <w:rsid w:val="000A359F"/>
    <w:pPr>
      <w:spacing w:before="240" w:line="240" w:lineRule="auto"/>
      <w:jc w:val="center"/>
    </w:pPr>
  </w:style>
  <w:style w:type="paragraph" w:styleId="NormalIndent">
    <w:name w:val="Normal Indent"/>
    <w:basedOn w:val="Normal"/>
    <w:link w:val="NormalIndentChar"/>
    <w:rsid w:val="005671A4"/>
    <w:pPr>
      <w:ind w:firstLine="1008"/>
    </w:pPr>
  </w:style>
  <w:style w:type="paragraph" w:customStyle="1" w:styleId="firstlevelsubhead">
    <w:name w:val="#first level subhead"/>
    <w:basedOn w:val="Heading2"/>
    <w:next w:val="NormalIndent"/>
    <w:qFormat/>
    <w:rsid w:val="005671A4"/>
    <w:pPr>
      <w:spacing w:after="240" w:line="240" w:lineRule="auto"/>
    </w:pPr>
    <w:rPr>
      <w:i/>
    </w:rPr>
  </w:style>
  <w:style w:type="paragraph" w:customStyle="1" w:styleId="secondlevelsubhead">
    <w:name w:val="#second level subhead"/>
    <w:basedOn w:val="Heading3"/>
    <w:next w:val="NormalIndent"/>
    <w:qFormat/>
    <w:rsid w:val="005671A4"/>
    <w:pPr>
      <w:spacing w:after="240" w:line="240" w:lineRule="auto"/>
    </w:pPr>
  </w:style>
  <w:style w:type="paragraph" w:customStyle="1" w:styleId="TITLESingleline">
    <w:name w:val="TITLE_Single line"/>
    <w:basedOn w:val="Normal"/>
    <w:next w:val="TitlePageParagraph"/>
    <w:rsid w:val="009A2B13"/>
    <w:pPr>
      <w:spacing w:before="1320"/>
      <w:jc w:val="center"/>
    </w:pPr>
    <w:rPr>
      <w:caps/>
    </w:rPr>
  </w:style>
  <w:style w:type="paragraph" w:customStyle="1" w:styleId="thirdlevelsubhead">
    <w:name w:val="#third level subhead"/>
    <w:basedOn w:val="NormalIndent"/>
    <w:next w:val="BodyTextIndent"/>
    <w:link w:val="thirdlevelsubheadChar"/>
    <w:rsid w:val="00EF271D"/>
    <w:pPr>
      <w:spacing w:before="240"/>
    </w:pPr>
    <w:rPr>
      <w:b/>
    </w:rPr>
  </w:style>
  <w:style w:type="paragraph" w:customStyle="1" w:styleId="TITLEPAGE">
    <w:name w:val="TITLE PAGE"/>
    <w:basedOn w:val="Normal"/>
    <w:next w:val="TitlePageParagraph"/>
    <w:rsid w:val="009A2B13"/>
    <w:pPr>
      <w:jc w:val="center"/>
    </w:pPr>
  </w:style>
  <w:style w:type="character" w:customStyle="1" w:styleId="NormalIndentChar">
    <w:name w:val="Normal Indent Char"/>
    <w:basedOn w:val="DefaultParagraphFont"/>
    <w:link w:val="NormalIndent"/>
    <w:rsid w:val="005671A4"/>
    <w:rPr>
      <w:sz w:val="24"/>
      <w:szCs w:val="24"/>
    </w:rPr>
  </w:style>
  <w:style w:type="character" w:customStyle="1" w:styleId="thirdlevelsubheadChar">
    <w:name w:val="#third level subhead Char"/>
    <w:basedOn w:val="NormalIndentChar"/>
    <w:link w:val="thirdlevelsubhead"/>
    <w:rsid w:val="00EF271D"/>
    <w:rPr>
      <w:b/>
      <w:sz w:val="24"/>
      <w:szCs w:val="24"/>
    </w:rPr>
  </w:style>
  <w:style w:type="paragraph" w:customStyle="1" w:styleId="TOC1SWBTS">
    <w:name w:val="TOC1SWBTS"/>
    <w:basedOn w:val="Normal"/>
    <w:rsid w:val="00F53AB6"/>
    <w:pPr>
      <w:tabs>
        <w:tab w:val="left" w:pos="840"/>
        <w:tab w:val="right" w:leader="dot" w:pos="8640"/>
      </w:tabs>
      <w:spacing w:before="240" w:line="240" w:lineRule="auto"/>
      <w:ind w:left="835" w:hanging="331"/>
    </w:pPr>
    <w:rPr>
      <w:caps/>
      <w:noProof/>
    </w:rPr>
  </w:style>
  <w:style w:type="character" w:styleId="Emphasis">
    <w:name w:val="Emphasis"/>
    <w:aliases w:val="=Emphasis"/>
    <w:basedOn w:val="DefaultParagraphFont"/>
    <w:uiPriority w:val="20"/>
    <w:qFormat/>
    <w:rsid w:val="00F53AB6"/>
    <w:rPr>
      <w:i/>
      <w:iCs/>
    </w:rPr>
  </w:style>
  <w:style w:type="character" w:styleId="Hyperlink">
    <w:name w:val="Hyperlink"/>
    <w:basedOn w:val="DefaultParagraphFont"/>
    <w:uiPriority w:val="99"/>
    <w:rsid w:val="00137919"/>
    <w:rPr>
      <w:rFonts w:ascii="Times New Roman" w:hAnsi="Times New Roman"/>
      <w:color w:val="000000"/>
      <w:sz w:val="24"/>
      <w:u w:val="none"/>
    </w:rPr>
  </w:style>
  <w:style w:type="paragraph" w:customStyle="1" w:styleId="TOC2SWBTS">
    <w:name w:val="TOC2SWBTS"/>
    <w:basedOn w:val="Normal"/>
    <w:rsid w:val="00F53AB6"/>
    <w:pPr>
      <w:tabs>
        <w:tab w:val="right" w:leader="dot" w:pos="8640"/>
      </w:tabs>
      <w:spacing w:before="240" w:line="240" w:lineRule="auto"/>
      <w:ind w:left="1512" w:hanging="504"/>
    </w:pPr>
  </w:style>
  <w:style w:type="paragraph" w:customStyle="1" w:styleId="StyleStyleAllcapsCenteredBefore72ptAfter24ptLinespa">
    <w:name w:val="Style Style All caps Centered Before:  72 pt After:  24 pt Line spa..."/>
    <w:basedOn w:val="StyleAllcapsCenteredBefore72ptAfter24ptLinespaci"/>
    <w:next w:val="TITLESECONDLINE"/>
    <w:rsid w:val="009201E6"/>
    <w:pPr>
      <w:spacing w:before="840"/>
      <w:contextualSpacing/>
    </w:pPr>
  </w:style>
  <w:style w:type="paragraph" w:customStyle="1" w:styleId="NormalindentedParagraph">
    <w:name w:val="Normal (indented) Paragraph"/>
    <w:basedOn w:val="Normal"/>
    <w:rsid w:val="00BB4E07"/>
    <w:pPr>
      <w:ind w:firstLine="1008"/>
    </w:pPr>
  </w:style>
  <w:style w:type="paragraph" w:customStyle="1" w:styleId="DateonTitlePage">
    <w:name w:val="Date on Title Page"/>
    <w:basedOn w:val="TitlePageParagraph"/>
    <w:rsid w:val="009201E6"/>
    <w:pPr>
      <w:spacing w:before="720"/>
    </w:pPr>
  </w:style>
  <w:style w:type="paragraph" w:customStyle="1" w:styleId="TITLESECONDLINE">
    <w:name w:val="TITLE SECOND LINE"/>
    <w:basedOn w:val="StyleStyleAllcapsCenteredBefore72ptAfter24ptLinespa"/>
    <w:rsid w:val="009201E6"/>
    <w:pPr>
      <w:spacing w:before="0"/>
    </w:pPr>
  </w:style>
  <w:style w:type="paragraph" w:customStyle="1" w:styleId="StyleStyleStyleAllcapsCenteredBefore72ptAfter24ptLi">
    <w:name w:val="Style Style Style All caps Centered Before:  72 pt After:  24 pt Li..."/>
    <w:basedOn w:val="StyleStyleAllcapsCenteredBefore72ptAfter24ptLinespa"/>
    <w:rsid w:val="00647432"/>
    <w:pPr>
      <w:spacing w:before="900"/>
    </w:pPr>
  </w:style>
  <w:style w:type="paragraph" w:customStyle="1" w:styleId="StyleStyleAllcapsCenteredBefore72ptAfter24ptLinespa1">
    <w:name w:val="Style Style All caps Centered Before:  72 pt After:  24 pt Line spa...1"/>
    <w:basedOn w:val="StyleAllcapsCenteredBefore72ptAfter24ptLinespaci"/>
    <w:next w:val="Normal"/>
    <w:rsid w:val="00850AC6"/>
    <w:pPr>
      <w:spacing w:after="480"/>
    </w:pPr>
  </w:style>
  <w:style w:type="paragraph" w:customStyle="1" w:styleId="TITLEPAGEAllcapsCenteredBefore72ptAfter24ptLi">
    <w:name w:val="TITLE PAGE All caps Centered Before:  72 pt After:  24 pt Li..."/>
    <w:basedOn w:val="Normal"/>
    <w:next w:val="TITLEPAGE"/>
    <w:rsid w:val="00EF3776"/>
    <w:pPr>
      <w:spacing w:before="900" w:after="240"/>
      <w:contextualSpacing/>
      <w:jc w:val="center"/>
    </w:pPr>
    <w:rPr>
      <w:caps/>
    </w:rPr>
  </w:style>
  <w:style w:type="paragraph" w:customStyle="1" w:styleId="StyleStyleAllcapsCenteredBefore72ptAfter24ptLinespa2">
    <w:name w:val="Style Style All caps Centered Before:  72 pt After:  24 pt Line spa...2"/>
    <w:basedOn w:val="StyleAllcapsCenteredBefore72ptAfter24ptLinespaci"/>
    <w:next w:val="NormalIndent"/>
    <w:rsid w:val="00DF4900"/>
    <w:pPr>
      <w:spacing w:before="1440" w:after="480"/>
    </w:pPr>
  </w:style>
  <w:style w:type="paragraph" w:customStyle="1" w:styleId="StyleBodyTextIndentLeft0">
    <w:name w:val="Style Body Text Indent + Left:  0&quot;"/>
    <w:basedOn w:val="Normal"/>
    <w:rsid w:val="006C6AC7"/>
    <w:pPr>
      <w:ind w:firstLine="1008"/>
    </w:pPr>
  </w:style>
  <w:style w:type="paragraph" w:styleId="BodyTextIndent2">
    <w:name w:val="Body Text Indent 2"/>
    <w:aliases w:val="_Body Text Indent 2"/>
    <w:basedOn w:val="BlockText"/>
    <w:next w:val="NormalIndent"/>
    <w:link w:val="BodyTextIndent2Char"/>
    <w:rsid w:val="00EE339E"/>
  </w:style>
  <w:style w:type="character" w:customStyle="1" w:styleId="BodyTextIndent2Char">
    <w:name w:val="Body Text Indent 2 Char"/>
    <w:aliases w:val="_Body Text Indent 2 Char"/>
    <w:basedOn w:val="DefaultParagraphFont"/>
    <w:link w:val="BodyTextIndent2"/>
    <w:rsid w:val="00EE339E"/>
    <w:rPr>
      <w:sz w:val="24"/>
      <w:szCs w:val="24"/>
    </w:rPr>
  </w:style>
  <w:style w:type="paragraph" w:styleId="BodyTextIndent">
    <w:name w:val="Body Text Indent"/>
    <w:basedOn w:val="Normal"/>
    <w:link w:val="BodyTextIndentChar"/>
    <w:rsid w:val="00ED436A"/>
    <w:pPr>
      <w:ind w:firstLine="1008"/>
    </w:pPr>
  </w:style>
  <w:style w:type="character" w:customStyle="1" w:styleId="BodyTextIndentChar">
    <w:name w:val="Body Text Indent Char"/>
    <w:basedOn w:val="DefaultParagraphFont"/>
    <w:link w:val="BodyTextIndent"/>
    <w:rsid w:val="00ED436A"/>
    <w:rPr>
      <w:sz w:val="24"/>
      <w:szCs w:val="24"/>
    </w:rPr>
  </w:style>
  <w:style w:type="paragraph" w:customStyle="1" w:styleId="Blkqunoindent">
    <w:name w:val="_Blk qu no indent"/>
    <w:basedOn w:val="BodyTextIndent2"/>
    <w:qFormat/>
    <w:rsid w:val="006258E0"/>
    <w:pPr>
      <w:ind w:firstLine="0"/>
    </w:pPr>
  </w:style>
  <w:style w:type="paragraph" w:customStyle="1" w:styleId="StyleTITLEPAGEAllcapsCenteredBefore72ptAfter24ptLi">
    <w:name w:val="Style TITLE PAGE All caps Centered Before:  72 pt After:  24 pt Li...."/>
    <w:basedOn w:val="TITLEPAGEAllcapsCenteredBefore72ptAfter24ptLi"/>
    <w:next w:val="Normal"/>
    <w:rsid w:val="00BB4E07"/>
    <w:pPr>
      <w:spacing w:before="1440" w:after="480" w:line="240" w:lineRule="auto"/>
    </w:pPr>
  </w:style>
  <w:style w:type="paragraph" w:customStyle="1" w:styleId="TOC3SWBTS">
    <w:name w:val="TOC3SWBTS"/>
    <w:basedOn w:val="Normal"/>
    <w:rsid w:val="00F53AB6"/>
    <w:pPr>
      <w:tabs>
        <w:tab w:val="right" w:leader="dot" w:pos="8640"/>
      </w:tabs>
      <w:spacing w:before="240" w:line="240" w:lineRule="auto"/>
      <w:ind w:left="2016" w:hanging="504"/>
    </w:pPr>
  </w:style>
  <w:style w:type="paragraph" w:styleId="BalloonText">
    <w:name w:val="Balloon Text"/>
    <w:basedOn w:val="Normal"/>
    <w:link w:val="BalloonTextChar"/>
    <w:uiPriority w:val="99"/>
    <w:semiHidden/>
    <w:unhideWhenUsed/>
    <w:rsid w:val="002B22E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22E2"/>
    <w:rPr>
      <w:rFonts w:ascii="Tahoma" w:hAnsi="Tahoma" w:cs="Tahoma"/>
      <w:sz w:val="16"/>
      <w:szCs w:val="16"/>
    </w:rPr>
  </w:style>
  <w:style w:type="character" w:customStyle="1" w:styleId="Heading1Char">
    <w:name w:val="Heading 1 Char"/>
    <w:basedOn w:val="DefaultParagraphFont"/>
    <w:link w:val="Heading1"/>
    <w:rsid w:val="00810BB1"/>
    <w:rPr>
      <w:rFonts w:eastAsiaTheme="majorEastAsia" w:cstheme="majorBidi"/>
      <w:b/>
      <w:kern w:val="28"/>
      <w:sz w:val="24"/>
    </w:rPr>
  </w:style>
  <w:style w:type="character" w:styleId="CommentReference">
    <w:name w:val="annotation reference"/>
    <w:basedOn w:val="DefaultParagraphFont"/>
    <w:uiPriority w:val="99"/>
    <w:semiHidden/>
    <w:unhideWhenUsed/>
    <w:rsid w:val="007F439C"/>
    <w:rPr>
      <w:sz w:val="16"/>
      <w:szCs w:val="16"/>
    </w:rPr>
  </w:style>
  <w:style w:type="paragraph" w:styleId="CommentText">
    <w:name w:val="annotation text"/>
    <w:basedOn w:val="Normal"/>
    <w:link w:val="CommentTextChar"/>
    <w:uiPriority w:val="99"/>
    <w:semiHidden/>
    <w:unhideWhenUsed/>
    <w:rsid w:val="007F439C"/>
    <w:pPr>
      <w:spacing w:line="240" w:lineRule="auto"/>
    </w:pPr>
    <w:rPr>
      <w:sz w:val="20"/>
    </w:rPr>
  </w:style>
  <w:style w:type="character" w:customStyle="1" w:styleId="CommentTextChar">
    <w:name w:val="Comment Text Char"/>
    <w:basedOn w:val="DefaultParagraphFont"/>
    <w:link w:val="CommentText"/>
    <w:uiPriority w:val="99"/>
    <w:semiHidden/>
    <w:rsid w:val="007F439C"/>
  </w:style>
  <w:style w:type="paragraph" w:styleId="CommentSubject">
    <w:name w:val="annotation subject"/>
    <w:basedOn w:val="CommentText"/>
    <w:next w:val="CommentText"/>
    <w:link w:val="CommentSubjectChar"/>
    <w:uiPriority w:val="99"/>
    <w:semiHidden/>
    <w:unhideWhenUsed/>
    <w:rsid w:val="007F439C"/>
    <w:rPr>
      <w:b/>
      <w:bCs/>
    </w:rPr>
  </w:style>
  <w:style w:type="character" w:customStyle="1" w:styleId="CommentSubjectChar">
    <w:name w:val="Comment Subject Char"/>
    <w:basedOn w:val="CommentTextChar"/>
    <w:link w:val="CommentSubject"/>
    <w:uiPriority w:val="99"/>
    <w:semiHidden/>
    <w:rsid w:val="007F439C"/>
    <w:rPr>
      <w:b/>
      <w:bCs/>
    </w:rPr>
  </w:style>
  <w:style w:type="paragraph" w:customStyle="1" w:styleId="Compact">
    <w:name w:val="Compact"/>
    <w:basedOn w:val="Normal"/>
    <w:qFormat/>
    <w:rsid w:val="00810BB1"/>
    <w:pPr>
      <w:spacing w:before="36" w:after="36"/>
    </w:pPr>
  </w:style>
  <w:style w:type="paragraph" w:customStyle="1" w:styleId="BlockQuote">
    <w:name w:val="Block Quote"/>
    <w:basedOn w:val="Normal"/>
    <w:next w:val="Normal"/>
    <w:uiPriority w:val="9"/>
    <w:unhideWhenUsed/>
    <w:qFormat/>
    <w:rsid w:val="00810BB1"/>
    <w:pPr>
      <w:spacing w:after="100" w:afterAutospacing="1" w:line="240" w:lineRule="auto"/>
      <w:ind w:left="720" w:firstLine="0"/>
    </w:pPr>
    <w:rPr>
      <w:rFonts w:eastAsiaTheme="majorEastAsia" w:cstheme="majorBidi"/>
      <w:bCs/>
      <w:szCs w:val="24"/>
    </w:rPr>
  </w:style>
  <w:style w:type="paragraph" w:customStyle="1" w:styleId="BookReview">
    <w:name w:val="Book Review"/>
    <w:basedOn w:val="Normal"/>
    <w:next w:val="Normal"/>
    <w:qFormat/>
    <w:rsid w:val="00810BB1"/>
    <w:pPr>
      <w:ind w:firstLine="0"/>
    </w:pPr>
  </w:style>
  <w:style w:type="paragraph" w:customStyle="1" w:styleId="TitlePageTitleCaps">
    <w:name w:val="Title Page Title Caps"/>
    <w:basedOn w:val="Normal"/>
    <w:link w:val="TitlePageTitleCapsChar"/>
    <w:qFormat/>
    <w:rsid w:val="00810BB1"/>
    <w:pPr>
      <w:ind w:firstLine="0"/>
      <w:jc w:val="center"/>
    </w:pPr>
  </w:style>
  <w:style w:type="character" w:customStyle="1" w:styleId="TitlePageTitleCapsChar">
    <w:name w:val="Title Page Title Caps Char"/>
    <w:basedOn w:val="DefaultParagraphFont"/>
    <w:link w:val="TitlePageTitleCaps"/>
    <w:rsid w:val="00810BB1"/>
    <w:rPr>
      <w:sz w:val="24"/>
    </w:rPr>
  </w:style>
  <w:style w:type="paragraph" w:customStyle="1" w:styleId="WorksCitedentry">
    <w:name w:val="Works Cited entry"/>
    <w:basedOn w:val="Normal"/>
    <w:qFormat/>
    <w:rsid w:val="00810BB1"/>
    <w:pPr>
      <w:spacing w:after="240" w:line="240" w:lineRule="auto"/>
      <w:ind w:left="720" w:hanging="720"/>
    </w:pPr>
    <w:rPr>
      <w:szCs w:val="24"/>
    </w:rPr>
  </w:style>
  <w:style w:type="character" w:customStyle="1" w:styleId="Heading2Char">
    <w:name w:val="Heading 2 Char"/>
    <w:basedOn w:val="DefaultParagraphFont"/>
    <w:link w:val="Heading2"/>
    <w:rsid w:val="00810BB1"/>
    <w:rPr>
      <w:rFonts w:eastAsiaTheme="majorEastAsia" w:cstheme="majorBidi"/>
      <w:sz w:val="24"/>
    </w:rPr>
  </w:style>
  <w:style w:type="character" w:customStyle="1" w:styleId="Heading3Char">
    <w:name w:val="Heading 3 Char"/>
    <w:basedOn w:val="DefaultParagraphFont"/>
    <w:link w:val="Heading3"/>
    <w:rsid w:val="00810BB1"/>
    <w:rPr>
      <w:rFonts w:eastAsiaTheme="majorEastAsia" w:cstheme="majorBidi"/>
      <w:b/>
      <w:sz w:val="24"/>
    </w:rPr>
  </w:style>
  <w:style w:type="character" w:customStyle="1" w:styleId="Heading4Char">
    <w:name w:val="Heading 4 Char"/>
    <w:basedOn w:val="DefaultParagraphFont"/>
    <w:link w:val="Heading4"/>
    <w:rsid w:val="00810BB1"/>
    <w:rPr>
      <w:rFonts w:ascii="Times" w:eastAsiaTheme="majorEastAsia" w:hAnsi="Times" w:cstheme="majorBidi"/>
      <w:sz w:val="24"/>
    </w:rPr>
  </w:style>
  <w:style w:type="character" w:customStyle="1" w:styleId="Heading6Char">
    <w:name w:val="Heading 6 Char"/>
    <w:basedOn w:val="DefaultParagraphFont"/>
    <w:link w:val="Heading6"/>
    <w:rsid w:val="00810BB1"/>
    <w:rPr>
      <w:sz w:val="24"/>
    </w:rPr>
  </w:style>
  <w:style w:type="character" w:customStyle="1" w:styleId="Heading7Char">
    <w:name w:val="Heading 7 Char"/>
    <w:basedOn w:val="DefaultParagraphFont"/>
    <w:link w:val="Heading7"/>
    <w:rsid w:val="00810BB1"/>
    <w:rPr>
      <w:sz w:val="24"/>
    </w:rPr>
  </w:style>
  <w:style w:type="character" w:customStyle="1" w:styleId="Heading8Char">
    <w:name w:val="Heading 8 Char"/>
    <w:basedOn w:val="DefaultParagraphFont"/>
    <w:link w:val="Heading8"/>
    <w:rsid w:val="00810BB1"/>
    <w:rPr>
      <w:sz w:val="24"/>
    </w:rPr>
  </w:style>
  <w:style w:type="character" w:customStyle="1" w:styleId="FootnoteTextChar">
    <w:name w:val="Footnote Text Char"/>
    <w:basedOn w:val="DefaultParagraphFont"/>
    <w:link w:val="FootnoteText"/>
    <w:rsid w:val="00810BB1"/>
  </w:style>
  <w:style w:type="paragraph" w:styleId="Title">
    <w:name w:val="Title"/>
    <w:basedOn w:val="Normal"/>
    <w:next w:val="Normal"/>
    <w:link w:val="TitleChar"/>
    <w:uiPriority w:val="10"/>
    <w:qFormat/>
    <w:rsid w:val="00810BB1"/>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810BB1"/>
    <w:rPr>
      <w:rFonts w:asciiTheme="majorHAnsi" w:eastAsiaTheme="majorEastAsia" w:hAnsiTheme="majorHAnsi" w:cstheme="majorBidi"/>
      <w:b/>
      <w:bCs/>
      <w:kern w:val="28"/>
      <w:sz w:val="32"/>
      <w:szCs w:val="32"/>
    </w:rPr>
  </w:style>
  <w:style w:type="paragraph" w:styleId="Subtitle">
    <w:name w:val="Subtitle"/>
    <w:basedOn w:val="Title"/>
    <w:next w:val="Normal"/>
    <w:link w:val="SubtitleChar"/>
    <w:uiPriority w:val="11"/>
    <w:qFormat/>
    <w:rsid w:val="00810BB1"/>
    <w:pPr>
      <w:numPr>
        <w:ilvl w:val="1"/>
      </w:numPr>
      <w:spacing w:before="0" w:after="0"/>
      <w:ind w:firstLine="720"/>
      <w:jc w:val="left"/>
      <w:outlineLvl w:val="9"/>
    </w:pPr>
    <w:rPr>
      <w:b w:val="0"/>
      <w:bCs w:val="0"/>
      <w:i/>
      <w:iCs/>
      <w:color w:val="4F81BD" w:themeColor="accent1"/>
      <w:spacing w:val="15"/>
      <w:kern w:val="0"/>
      <w:sz w:val="24"/>
      <w:szCs w:val="24"/>
    </w:rPr>
  </w:style>
  <w:style w:type="character" w:customStyle="1" w:styleId="SubtitleChar">
    <w:name w:val="Subtitle Char"/>
    <w:basedOn w:val="DefaultParagraphFont"/>
    <w:link w:val="Subtitle"/>
    <w:uiPriority w:val="11"/>
    <w:rsid w:val="00810BB1"/>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5688311">
      <w:bodyDiv w:val="1"/>
      <w:marLeft w:val="0"/>
      <w:marRight w:val="0"/>
      <w:marTop w:val="0"/>
      <w:marBottom w:val="0"/>
      <w:divBdr>
        <w:top w:val="none" w:sz="0" w:space="0" w:color="auto"/>
        <w:left w:val="none" w:sz="0" w:space="0" w:color="auto"/>
        <w:bottom w:val="none" w:sz="0" w:space="0" w:color="auto"/>
        <w:right w:val="none" w:sz="0" w:space="0" w:color="auto"/>
      </w:divBdr>
    </w:div>
    <w:div w:id="584916855">
      <w:bodyDiv w:val="1"/>
      <w:marLeft w:val="0"/>
      <w:marRight w:val="0"/>
      <w:marTop w:val="0"/>
      <w:marBottom w:val="0"/>
      <w:divBdr>
        <w:top w:val="none" w:sz="0" w:space="0" w:color="auto"/>
        <w:left w:val="none" w:sz="0" w:space="0" w:color="auto"/>
        <w:bottom w:val="none" w:sz="0" w:space="0" w:color="auto"/>
        <w:right w:val="none" w:sz="0" w:space="0" w:color="auto"/>
      </w:divBdr>
    </w:div>
    <w:div w:id="772021408">
      <w:bodyDiv w:val="1"/>
      <w:marLeft w:val="0"/>
      <w:marRight w:val="0"/>
      <w:marTop w:val="0"/>
      <w:marBottom w:val="0"/>
      <w:divBdr>
        <w:top w:val="none" w:sz="0" w:space="0" w:color="auto"/>
        <w:left w:val="none" w:sz="0" w:space="0" w:color="auto"/>
        <w:bottom w:val="none" w:sz="0" w:space="0" w:color="auto"/>
        <w:right w:val="none" w:sz="0" w:space="0" w:color="auto"/>
      </w:divBdr>
    </w:div>
    <w:div w:id="1091589185">
      <w:bodyDiv w:val="1"/>
      <w:marLeft w:val="0"/>
      <w:marRight w:val="0"/>
      <w:marTop w:val="0"/>
      <w:marBottom w:val="0"/>
      <w:divBdr>
        <w:top w:val="none" w:sz="0" w:space="0" w:color="auto"/>
        <w:left w:val="none" w:sz="0" w:space="0" w:color="auto"/>
        <w:bottom w:val="none" w:sz="0" w:space="0" w:color="auto"/>
        <w:right w:val="none" w:sz="0" w:space="0" w:color="auto"/>
      </w:divBdr>
    </w:div>
    <w:div w:id="1157115348">
      <w:bodyDiv w:val="1"/>
      <w:marLeft w:val="0"/>
      <w:marRight w:val="0"/>
      <w:marTop w:val="0"/>
      <w:marBottom w:val="0"/>
      <w:divBdr>
        <w:top w:val="none" w:sz="0" w:space="0" w:color="auto"/>
        <w:left w:val="none" w:sz="0" w:space="0" w:color="auto"/>
        <w:bottom w:val="none" w:sz="0" w:space="0" w:color="auto"/>
        <w:right w:val="none" w:sz="0" w:space="0" w:color="auto"/>
      </w:divBdr>
    </w:div>
    <w:div w:id="2011828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J\Desktop\Style_manual_formatting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b:Source>
    <b:Tag>Mou00</b:Tag>
    <b:SourceType>Book</b:SourceType>
    <b:Guid>{31F551AC-D605-43CB-8D93-D1F3073DC53A}</b:Guid>
    <b:Title>Pastoral Epistles</b:Title>
    <b:Year>2000</b:Year>
    <b:City>Nashville</b:City>
    <b:Publisher>Thomas Nelson Publishers</b:Publisher>
    <b:StateProvince>TN</b:StateProvince>
    <b:Author>
      <b:Author>
        <b:NameList>
          <b:Person>
            <b:Last>Mounce</b:Last>
            <b:Middle>D.</b:Middle>
            <b:First>William</b:First>
          </b:Person>
        </b:NameList>
      </b:Author>
    </b:Author>
    <b:RefOrder>2</b:RefOrder>
  </b:Source>
</b:Sources>
</file>

<file path=customXml/itemProps1.xml><?xml version="1.0" encoding="utf-8"?>
<ds:datastoreItem xmlns:ds="http://schemas.openxmlformats.org/officeDocument/2006/customXml" ds:itemID="{AF720489-A14C-F844-8733-0DFFA50D1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\Users\PJ\Desktop\Style_manual_formatting_template.dot</Template>
  <TotalTime>3</TotalTime>
  <Pages>20</Pages>
  <Words>4219</Words>
  <Characters>24053</Characters>
  <Application>Microsoft Macintosh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Qualifications of Overseers</vt:lpstr>
    </vt:vector>
  </TitlesOfParts>
  <Company>SWBTS</Company>
  <LinksUpToDate>false</LinksUpToDate>
  <CharactersWithSpaces>28216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Qualifications of Overseers</dc:title>
  <dc:creator>PJ King</dc:creator>
  <cp:lastModifiedBy>PJ King</cp:lastModifiedBy>
  <cp:revision>3</cp:revision>
  <cp:lastPrinted>2011-11-06T02:25:00Z</cp:lastPrinted>
  <dcterms:created xsi:type="dcterms:W3CDTF">2015-03-14T22:51:00Z</dcterms:created>
  <dcterms:modified xsi:type="dcterms:W3CDTF">2015-03-14T23:05:00Z</dcterms:modified>
</cp:coreProperties>
</file>