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/>
        <w:jc w:val="center"/>
        <w:textAlignment w:val="auto"/>
        <w:outlineLvl w:val="9"/>
        <w:rPr>
          <w:rFonts w:hint="eastAsia" w:ascii="宋体" w:hAnsi="宋体"/>
          <w:b/>
          <w:sz w:val="30"/>
          <w:szCs w:val="30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sz w:val="44"/>
          <w:szCs w:val="44"/>
        </w:rPr>
        <w:t>总值班制度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一</w:t>
      </w:r>
      <w:r>
        <w:rPr>
          <w:rFonts w:hint="eastAsia" w:ascii="仿宋_GB2312" w:hAnsi="仿宋_GB2312" w:eastAsia="仿宋_GB2312" w:cs="仿宋_GB2312"/>
          <w:sz w:val="32"/>
          <w:szCs w:val="32"/>
        </w:rPr>
        <w:t>、医院设总值班室，总值班时间：夜班为晚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16:30</w:t>
      </w:r>
      <w:r>
        <w:rPr>
          <w:rFonts w:hint="eastAsia" w:ascii="仿宋_GB2312" w:hAnsi="仿宋_GB2312" w:eastAsia="仿宋_GB2312" w:cs="仿宋_GB2312"/>
          <w:sz w:val="32"/>
          <w:szCs w:val="32"/>
        </w:rPr>
        <w:t>到次日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8:00</w:t>
      </w:r>
      <w:r>
        <w:rPr>
          <w:rFonts w:hint="eastAsia" w:ascii="仿宋_GB2312" w:hAnsi="仿宋_GB2312" w:eastAsia="仿宋_GB2312" w:cs="仿宋_GB2312"/>
          <w:sz w:val="32"/>
          <w:szCs w:val="32"/>
        </w:rPr>
        <w:t>交班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，白班为周六下午及周日全天（周六为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11:30至16:30，周日为8:00至16:30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</w:rPr>
        <w:t>。职能科室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副部级以上人员</w:t>
      </w:r>
      <w:r>
        <w:rPr>
          <w:rFonts w:hint="eastAsia" w:ascii="仿宋_GB2312" w:hAnsi="仿宋_GB2312" w:eastAsia="仿宋_GB2312" w:cs="仿宋_GB2312"/>
          <w:sz w:val="32"/>
          <w:szCs w:val="32"/>
        </w:rPr>
        <w:t>参加总值班，总值班由院办公室安排人员。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二</w:t>
      </w:r>
      <w:r>
        <w:rPr>
          <w:rFonts w:hint="eastAsia" w:ascii="仿宋_GB2312" w:hAnsi="仿宋_GB2312" w:eastAsia="仿宋_GB2312" w:cs="仿宋_GB2312"/>
          <w:sz w:val="32"/>
          <w:szCs w:val="32"/>
        </w:rPr>
        <w:t>、总值班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职责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全权</w:t>
      </w:r>
      <w:r>
        <w:rPr>
          <w:rFonts w:hint="eastAsia" w:ascii="仿宋_GB2312" w:hAnsi="仿宋_GB2312" w:eastAsia="仿宋_GB2312" w:cs="仿宋_GB2312"/>
          <w:sz w:val="32"/>
          <w:szCs w:val="32"/>
        </w:rPr>
        <w:t>处理值班期间全院行政、医疗、后勤等方面的重大事项。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及时传达、处理上级指示和紧急通知精神，重大事项汇报院领导。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协调各相关职能科室，组织院内、院外重大事故、灾害和应急突发事件的抢救及处理，重大事件请示代班院领导。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接待外来领导、贵宾和副市级以上领导并立即向院主要领导汇报。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遇外转病人时，协调“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120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”急救站及“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120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”车队，由急救站主任或车队队长派车。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遇到“三无”患者时，核实患者所在科室，核实无误后电话告知急诊挂号收款处，予以垫付急诊挂号费、急诊处置费和相关检查费；需办理住院者，电话告知住院处，予以一次垫付住院费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3000元整。次日由收治科室将情况报医务部处理。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left="0" w:leftChars="0" w:right="0" w:rightChars="0" w:firstLine="640" w:firstLineChars="20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三、总值班人员必须坚守岗位，不得擅离职守，不能漏岗，要填写总值班日记，做好交接班。因故不能值班时自行调班（必须与有资格的总值班人员调换），不准空岗。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20" w:lineRule="exact"/>
        <w:ind w:right="0" w:rightChars="0"/>
        <w:textAlignment w:val="auto"/>
        <w:outlineLvl w:val="9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四、值班期间出现离岗、漏岗引发医疗纠纷、事故者，全部责任由本人承担。</w:t>
      </w:r>
    </w:p>
    <w:sectPr>
      <w:pgSz w:w="11906" w:h="16838"/>
      <w:pgMar w:top="1440" w:right="1463" w:bottom="1440" w:left="1463" w:header="851" w:footer="992" w:gutter="0"/>
      <w:paperSrc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singleLevel"/>
    <w:tmpl w:val="00000004"/>
    <w:lvl w:ilvl="0" w:tentative="0">
      <w:start w:val="1"/>
      <w:numFmt w:val="chineseCounting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D9E1F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0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2012-06-06T01:30:27Z</dcterms:created>
  <dc:creator>千羽网络</dc:creator>
  <cp:lastModifiedBy>千羽网络</cp:lastModifiedBy>
  <dcterms:modified xsi:type="dcterms:W3CDTF">2019-08-19T06:31:31Z</dcterms:modified>
  <dc:title>总值班制度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