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eastAsia="Aptos"/>
          <w:b/>
          <w:color w:val="2F7A7B"/>
          <w:sz w:val="17"/>
        </w:rPr>
        <w:t>EXECUTIVE LEADERSHIP PORTFOLIO</w:t>
      </w:r>
    </w:p>
    <w:p>
      <w:pPr>
        <w:spacing w:after="40"/>
      </w:pPr>
      <w:r>
        <w:rPr>
          <w:rFonts w:ascii="Aptos Display" w:hAnsi="Aptos Display" w:eastAsia="Aptos Display"/>
          <w:b/>
          <w:color w:val="193B5A"/>
          <w:sz w:val="48"/>
        </w:rPr>
        <w:t>PATRICK J. MCLAUGHLIN, Ed.D.</w:t>
      </w:r>
    </w:p>
    <w:p>
      <w:pPr>
        <w:spacing w:after="60"/>
      </w:pPr>
      <w:r>
        <w:rPr>
          <w:rFonts w:ascii="Aptos" w:hAnsi="Aptos" w:eastAsia="Aptos"/>
          <w:b/>
          <w:color w:val="B48A47"/>
          <w:sz w:val="22"/>
        </w:rPr>
        <w:t>PUBLIC SCHOOL EXECUTIVE LEADER</w:t>
      </w:r>
    </w:p>
    <w:p>
      <w:pPr>
        <w:spacing w:after="200"/>
      </w:pPr>
      <w:r>
        <w:rPr>
          <w:rFonts w:ascii="Aptos" w:hAnsi="Aptos" w:eastAsia="Aptos"/>
          <w:color w:val="5B6570"/>
          <w:sz w:val="28"/>
        </w:rPr>
        <w:t>Schools improve when people know what matters, receive useful support, and are accountable for results.</w:t>
      </w:r>
    </w:p>
    <w:tbl>
      <w:tblPr>
        <w:tblW w:type="auto" w:w="0"/>
        <w:tblLayout w:type="fixed"/>
        <w:tblLook w:firstColumn="1" w:firstRow="1" w:lastColumn="0" w:lastRow="0" w:noHBand="0" w:noVBand="1" w:val="04A0"/>
      </w:tblPr>
      <w:tblGrid>
        <w:gridCol w:w="3456"/>
        <w:gridCol w:w="3456"/>
        <w:gridCol w:w="3456"/>
      </w:tblGrid>
      <w:tr>
        <w:tc>
          <w:tcPr>
            <w:tcW w:type="dxa" w:w="3456"/>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28</w:t>
            </w:r>
          </w:p>
          <w:p>
            <w:pPr>
              <w:spacing w:after="0"/>
              <w:jc w:val="center"/>
            </w:pPr>
            <w:r>
              <w:rPr>
                <w:rFonts w:ascii="Aptos" w:hAnsi="Aptos" w:eastAsia="Aptos"/>
                <w:b/>
                <w:color w:val="193B5A"/>
                <w:sz w:val="14"/>
              </w:rPr>
              <w:t>YEARS IN VIRGINIA PUBLIC EDUCATION</w:t>
            </w:r>
          </w:p>
          <w:p>
            <w:pPr>
              <w:spacing w:after="0"/>
              <w:jc w:val="center"/>
            </w:pPr>
            <w:r>
              <w:rPr>
                <w:rFonts w:ascii="Aptos" w:hAnsi="Aptos" w:eastAsia="Aptos"/>
                <w:color w:val="5B6570"/>
                <w:sz w:val="14"/>
              </w:rPr>
              <w:t>teacher to assistant superintendent</w:t>
            </w:r>
          </w:p>
        </w:tc>
        <w:tc>
          <w:tcPr>
            <w:tcW w:type="dxa" w:w="3456"/>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13</w:t>
            </w:r>
          </w:p>
          <w:p>
            <w:pPr>
              <w:spacing w:after="0"/>
              <w:jc w:val="center"/>
            </w:pPr>
            <w:r>
              <w:rPr>
                <w:rFonts w:ascii="Aptos" w:hAnsi="Aptos" w:eastAsia="Aptos"/>
                <w:b/>
                <w:color w:val="193B5A"/>
                <w:sz w:val="14"/>
              </w:rPr>
              <w:t>YEARS IN SCHOOL ADMINISTRATION</w:t>
            </w:r>
          </w:p>
          <w:p>
            <w:pPr>
              <w:spacing w:after="0"/>
              <w:jc w:val="center"/>
            </w:pPr>
            <w:r>
              <w:rPr>
                <w:rFonts w:ascii="Aptos" w:hAnsi="Aptos" w:eastAsia="Aptos"/>
                <w:color w:val="5B6570"/>
                <w:sz w:val="14"/>
              </w:rPr>
              <w:t>assistant principal and principal</w:t>
            </w:r>
          </w:p>
        </w:tc>
        <w:tc>
          <w:tcPr>
            <w:tcW w:type="dxa" w:w="3456"/>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11</w:t>
            </w:r>
          </w:p>
          <w:p>
            <w:pPr>
              <w:spacing w:after="0"/>
              <w:jc w:val="center"/>
            </w:pPr>
            <w:r>
              <w:rPr>
                <w:rFonts w:ascii="Aptos" w:hAnsi="Aptos" w:eastAsia="Aptos"/>
                <w:b/>
                <w:color w:val="193B5A"/>
                <w:sz w:val="14"/>
              </w:rPr>
              <w:t>YEARS IN CENTRAL OFFICE</w:t>
            </w:r>
          </w:p>
          <w:p>
            <w:pPr>
              <w:spacing w:after="0"/>
              <w:jc w:val="center"/>
            </w:pPr>
            <w:r>
              <w:rPr>
                <w:rFonts w:ascii="Aptos" w:hAnsi="Aptos" w:eastAsia="Aptos"/>
                <w:color w:val="5B6570"/>
                <w:sz w:val="14"/>
              </w:rPr>
              <w:t>strategy, improvement, accountability</w:t>
            </w:r>
          </w:p>
        </w:tc>
      </w:tr>
    </w:tbl>
    <w:p>
      <w:pPr>
        <w:spacing w:before="280" w:after="100"/>
      </w:pPr>
      <w:r>
        <w:rPr>
          <w:rFonts w:ascii="Aptos" w:hAnsi="Aptos" w:eastAsia="Aptos"/>
          <w:b/>
          <w:color w:val="193B5A"/>
          <w:sz w:val="26"/>
        </w:rPr>
        <w:t>How I lead</w:t>
      </w:r>
    </w:p>
    <w:p>
      <w:pPr>
        <w:spacing w:after="160" w:line="257" w:lineRule="auto"/>
      </w:pPr>
      <w:r>
        <w:rPr>
          <w:rFonts w:ascii="Aptos" w:hAnsi="Aptos" w:eastAsia="Aptos"/>
          <w:color w:val="222B33"/>
          <w:sz w:val="22"/>
        </w:rPr>
        <w:t>I have spent my career moving between classrooms, schools, and division-level work. The lesson has been consistent: plans only matter when they help people do better work for students. I try to make priorities clear, support leaders directly, use evidence honestly, involve people in important decisions, and follow through.</w:t>
      </w:r>
    </w:p>
    <w:tbl>
      <w:tblPr>
        <w:tblW w:type="auto" w:w="0"/>
        <w:tblLook w:firstColumn="1" w:firstRow="1" w:lastColumn="0" w:lastRow="0" w:noHBand="0" w:noVBand="1" w:val="04A0"/>
      </w:tblPr>
      <w:tblGrid>
        <w:gridCol w:w="10368"/>
      </w:tblGrid>
      <w:tr>
        <w:tc>
          <w:tcPr>
            <w:tcW w:type="dxa" w:w="10368"/>
            <w:shd w:fill="EAF3F3"/>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WHAT THIS PORTFOLIO SHOWS</w:t>
            </w:r>
          </w:p>
          <w:p>
            <w:pPr>
              <w:spacing w:after="0"/>
            </w:pPr>
            <w:r>
              <w:rPr>
                <w:rFonts w:ascii="Aptos" w:hAnsi="Aptos" w:eastAsia="Aptos"/>
                <w:color w:val="222B33"/>
                <w:sz w:val="18"/>
              </w:rPr>
              <w:t>A small number of examples of work I personally led or helped lead, what I did, and what changed. It is meant to show my approach through actual work rather than leadership theory.</w:t>
            </w:r>
          </w:p>
        </w:tc>
      </w:tr>
    </w:tbl>
    <w:p>
      <w:pPr>
        <w:spacing w:before="300"/>
        <w:jc w:val="center"/>
      </w:pPr>
      <w:r>
        <w:rPr>
          <w:rFonts w:ascii="Aptos" w:hAnsi="Aptos" w:eastAsia="Aptos"/>
          <w:color w:val="5B6570"/>
          <w:sz w:val="17"/>
        </w:rPr>
        <w:t>Central Virginia  |  (434) 234-2844  |  pjmclaughlin74@gmail.com</w:t>
      </w:r>
    </w:p>
    <w:p>
      <w:r>
        <w:br w:type="page"/>
      </w:r>
    </w:p>
    <w:p>
      <w:pPr>
        <w:spacing w:after="80"/>
      </w:pPr>
      <w:r>
        <w:rPr>
          <w:rFonts w:ascii="Aptos" w:hAnsi="Aptos" w:eastAsia="Aptos"/>
          <w:b/>
          <w:color w:val="2F7A7B"/>
          <w:sz w:val="17"/>
        </w:rPr>
        <w:t>MY STORY</w:t>
      </w:r>
    </w:p>
    <w:p>
      <w:pPr>
        <w:spacing w:after="40"/>
        <w:pBdr>
          <w:bottom w:val="single" w:sz="12" w:space="4" w:color="B48A47"/>
        </w:pBdr>
      </w:pPr>
      <w:r>
        <w:rPr>
          <w:rFonts w:ascii="Aptos Display" w:hAnsi="Aptos Display" w:eastAsia="Aptos Display"/>
          <w:b/>
          <w:color w:val="193B5A"/>
          <w:sz w:val="44"/>
        </w:rPr>
        <w:t>I know schools from the classroom to the central office</w:t>
      </w:r>
    </w:p>
    <w:p>
      <w:pPr>
        <w:spacing w:after="140"/>
      </w:pPr>
      <w:r>
        <w:rPr>
          <w:rFonts w:ascii="Aptos" w:hAnsi="Aptos" w:eastAsia="Aptos"/>
          <w:color w:val="5B6570"/>
          <w:sz w:val="20"/>
        </w:rPr>
        <w:t>Teacher. Assistant principal. Principal. Division leader. Each role shaped how I lead.</w:t>
      </w:r>
    </w:p>
    <w:p>
      <w:pPr>
        <w:spacing w:after="160" w:line="252" w:lineRule="auto"/>
      </w:pPr>
      <w:r>
        <w:rPr>
          <w:rFonts w:ascii="Aptos" w:hAnsi="Aptos" w:eastAsia="Aptos"/>
          <w:color w:val="222B33"/>
          <w:sz w:val="19"/>
        </w:rPr>
        <w:t>I started as an English teacher. I spent five years as a high school assistant principal and eight years as principal of Henley Middle School. When Western Albemarle High School had an unexpected vacancy, I stepped in as principal for a year while continuing my division leadership role. Since 2015, I have worked in central office, first in strategic planning, then as Chief of Strategic Planning, and now as Assistant Superintendent.</w:t>
      </w:r>
    </w:p>
    <w:tbl>
      <w:tblPr>
        <w:tblW w:type="auto" w:w="0"/>
        <w:tblLook w:firstColumn="1" w:firstRow="1" w:lastColumn="0" w:lastRow="0" w:noHBand="0" w:noVBand="1" w:val="04A0"/>
      </w:tblPr>
      <w:tblGrid>
        <w:gridCol w:w="3456"/>
        <w:gridCol w:w="3456"/>
        <w:gridCol w:w="3456"/>
      </w:tblGrid>
      <w:tr>
        <w:tc>
          <w:tcPr>
            <w:tcW w:type="dxa" w:w="3456"/>
            <w:shd w:fill="193B5A"/>
            <w:tcBorders>
              <w:top w:val="single" w:sz="2" w:color="193B5A"/>
              <w:bottom w:val="single" w:sz="2" w:color="193B5A"/>
              <w:left w:val="single" w:sz="2" w:color="193B5A"/>
              <w:right w:val="single" w:sz="2" w:color="193B5A"/>
            </w:tcBorders>
          </w:tcPr>
          <w:p>
            <w:r>
              <w:rPr>
                <w:rFonts w:ascii="Aptos" w:hAnsi="Aptos" w:eastAsia="Aptos"/>
                <w:b/>
                <w:color w:val="FFFFFF"/>
                <w:sz w:val="16"/>
              </w:rPr>
              <w:t>Role</w:t>
            </w:r>
          </w:p>
        </w:tc>
        <w:tc>
          <w:tcPr>
            <w:tcW w:type="dxa" w:w="3456"/>
            <w:shd w:fill="193B5A"/>
            <w:tcBorders>
              <w:top w:val="single" w:sz="2" w:color="193B5A"/>
              <w:bottom w:val="single" w:sz="2" w:color="193B5A"/>
              <w:left w:val="single" w:sz="2" w:color="193B5A"/>
              <w:right w:val="single" w:sz="2" w:color="193B5A"/>
            </w:tcBorders>
          </w:tcPr>
          <w:p>
            <w:r>
              <w:rPr>
                <w:rFonts w:ascii="Aptos" w:hAnsi="Aptos" w:eastAsia="Aptos"/>
                <w:b/>
                <w:color w:val="FFFFFF"/>
                <w:sz w:val="16"/>
              </w:rPr>
              <w:t>Years</w:t>
            </w:r>
          </w:p>
        </w:tc>
        <w:tc>
          <w:tcPr>
            <w:tcW w:type="dxa" w:w="3456"/>
            <w:shd w:fill="193B5A"/>
            <w:tcBorders>
              <w:top w:val="single" w:sz="2" w:color="193B5A"/>
              <w:bottom w:val="single" w:sz="2" w:color="193B5A"/>
              <w:left w:val="single" w:sz="2" w:color="193B5A"/>
              <w:right w:val="single" w:sz="2" w:color="193B5A"/>
            </w:tcBorders>
          </w:tcPr>
          <w:p>
            <w:r>
              <w:rPr>
                <w:rFonts w:ascii="Aptos" w:hAnsi="Aptos" w:eastAsia="Aptos"/>
                <w:b/>
                <w:color w:val="FFFFFF"/>
                <w:sz w:val="16"/>
              </w:rPr>
              <w:t>What it taught me</w:t>
            </w:r>
          </w:p>
        </w:tc>
      </w:tr>
      <w:tr>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English teacher</w:t>
            </w:r>
          </w:p>
        </w:tc>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1998-2002</w:t>
            </w:r>
          </w:p>
        </w:tc>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Good plans only matter if they work in a classroom.</w:t>
            </w:r>
          </w:p>
        </w:tc>
      </w:tr>
      <w:tr>
        <w:tc>
          <w:tcPr>
            <w:tcW w:type="dxa" w:w="3456"/>
            <w:shd w:fill="F3F6F8"/>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Assistant principal</w:t>
            </w:r>
          </w:p>
        </w:tc>
        <w:tc>
          <w:tcPr>
            <w:tcW w:type="dxa" w:w="3456"/>
            <w:shd w:fill="F3F6F8"/>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2002-2007</w:t>
            </w:r>
          </w:p>
        </w:tc>
        <w:tc>
          <w:tcPr>
            <w:tcW w:type="dxa" w:w="3456"/>
            <w:shd w:fill="F3F6F8"/>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Schools need clear expectations, fair follow-through, and strong relationships.</w:t>
            </w:r>
          </w:p>
        </w:tc>
      </w:tr>
      <w:tr>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Principal, Henley Middle</w:t>
            </w:r>
          </w:p>
        </w:tc>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2007-2015</w:t>
            </w:r>
          </w:p>
        </w:tc>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The principal is the key link between division plans and daily school life.</w:t>
            </w:r>
          </w:p>
        </w:tc>
      </w:tr>
      <w:tr>
        <w:tc>
          <w:tcPr>
            <w:tcW w:type="dxa" w:w="3456"/>
            <w:shd w:fill="F3F6F8"/>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Division leader / Chief</w:t>
            </w:r>
          </w:p>
        </w:tc>
        <w:tc>
          <w:tcPr>
            <w:tcW w:type="dxa" w:w="3456"/>
            <w:shd w:fill="F3F6F8"/>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2015-2022</w:t>
            </w:r>
          </w:p>
        </w:tc>
        <w:tc>
          <w:tcPr>
            <w:tcW w:type="dxa" w:w="3456"/>
            <w:shd w:fill="F3F6F8"/>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Large systems improve when goals, data, support, and communication point in the same direction.</w:t>
            </w:r>
          </w:p>
        </w:tc>
      </w:tr>
      <w:tr>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Assistant Superintendent</w:t>
            </w:r>
          </w:p>
        </w:tc>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2022-present</w:t>
            </w:r>
          </w:p>
        </w:tc>
        <w:tc>
          <w:tcPr>
            <w:tcW w:type="dxa" w:w="3456"/>
            <w:shd w:fill="FFFFFF"/>
            <w:tcBorders>
              <w:top w:val="single" w:sz="2" w:color="D5DEE5"/>
              <w:bottom w:val="single" w:sz="2" w:color="D5DEE5"/>
              <w:left w:val="single" w:sz="2" w:color="D5DEE5"/>
              <w:right w:val="single" w:sz="2" w:color="D5DEE5"/>
            </w:tcBorders>
          </w:tcPr>
          <w:p>
            <w:pPr>
              <w:spacing w:after="0"/>
            </w:pPr>
            <w:r>
              <w:rPr>
                <w:rFonts w:ascii="Aptos" w:hAnsi="Aptos" w:eastAsia="Aptos"/>
                <w:color w:val="222B33"/>
                <w:sz w:val="16"/>
              </w:rPr>
              <w:t>The best central-office work gives school leaders clarity, useful support, and honest accountability.</w:t>
            </w:r>
          </w:p>
        </w:tc>
      </w:tr>
    </w:tbl>
    <w:p>
      <w:pPr>
        <w:spacing w:before="160" w:after="60"/>
      </w:pPr>
      <w:r>
        <w:rPr>
          <w:rFonts w:ascii="Aptos" w:hAnsi="Aptos" w:eastAsia="Aptos"/>
          <w:b/>
          <w:color w:val="193B5A"/>
          <w:sz w:val="20"/>
        </w:rPr>
        <w:t>What has stayed the same</w:t>
      </w:r>
    </w:p>
    <w:p>
      <w:pPr>
        <w:pStyle w:val="ListBullet"/>
        <w:spacing w:after="24"/>
        <w:ind w:left="288" w:hanging="173"/>
      </w:pPr>
      <w:r>
        <w:rPr>
          <w:rFonts w:ascii="Aptos" w:hAnsi="Aptos" w:eastAsia="Aptos"/>
          <w:color w:val="222B33"/>
          <w:sz w:val="18"/>
        </w:rPr>
        <w:t>Listen before deciding.</w:t>
      </w:r>
    </w:p>
    <w:p>
      <w:pPr>
        <w:pStyle w:val="ListBullet"/>
        <w:spacing w:after="24"/>
        <w:ind w:left="288" w:hanging="173"/>
      </w:pPr>
      <w:r>
        <w:rPr>
          <w:rFonts w:ascii="Aptos" w:hAnsi="Aptos" w:eastAsia="Aptos"/>
          <w:color w:val="222B33"/>
          <w:sz w:val="18"/>
        </w:rPr>
        <w:t>Make the goal clear and keep the number of priorities small.</w:t>
      </w:r>
    </w:p>
    <w:p>
      <w:pPr>
        <w:pStyle w:val="ListBullet"/>
        <w:spacing w:after="24"/>
        <w:ind w:left="288" w:hanging="173"/>
      </w:pPr>
      <w:r>
        <w:rPr>
          <w:rFonts w:ascii="Aptos" w:hAnsi="Aptos" w:eastAsia="Aptos"/>
          <w:color w:val="222B33"/>
          <w:sz w:val="18"/>
        </w:rPr>
        <w:t>Give leaders support, not just expectations.</w:t>
      </w:r>
    </w:p>
    <w:p>
      <w:pPr>
        <w:pStyle w:val="ListBullet"/>
        <w:spacing w:after="24"/>
        <w:ind w:left="288" w:hanging="173"/>
      </w:pPr>
      <w:r>
        <w:rPr>
          <w:rFonts w:ascii="Aptos" w:hAnsi="Aptos" w:eastAsia="Aptos"/>
          <w:color w:val="222B33"/>
          <w:sz w:val="18"/>
        </w:rPr>
        <w:t>Use evidence to see what is working and what is not.</w:t>
      </w:r>
    </w:p>
    <w:p>
      <w:pPr>
        <w:pStyle w:val="ListBullet"/>
        <w:spacing w:after="24"/>
        <w:ind w:left="288" w:hanging="173"/>
      </w:pPr>
      <w:r>
        <w:rPr>
          <w:rFonts w:ascii="Aptos" w:hAnsi="Aptos" w:eastAsia="Aptos"/>
          <w:color w:val="222B33"/>
          <w:sz w:val="18"/>
        </w:rPr>
        <w:t>Explain decisions plainly and follow through.</w:t>
      </w:r>
    </w:p>
    <w:tbl>
      <w:tblPr>
        <w:tblW w:type="auto" w:w="0"/>
        <w:tblLook w:firstColumn="1" w:firstRow="1" w:lastColumn="0" w:lastRow="0" w:noHBand="0" w:noVBand="1" w:val="04A0"/>
      </w:tblPr>
      <w:tblGrid>
        <w:gridCol w:w="10368"/>
      </w:tblGrid>
      <w:tr>
        <w:tc>
          <w:tcPr>
            <w:tcW w:type="dxa" w:w="10368"/>
            <w:shd w:fill="F6F0E5"/>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MY VIEW OF LEADERSHIP</w:t>
            </w:r>
          </w:p>
          <w:p>
            <w:pPr>
              <w:spacing w:after="0"/>
            </w:pPr>
            <w:r>
              <w:rPr>
                <w:rFonts w:ascii="Aptos" w:hAnsi="Aptos" w:eastAsia="Aptos"/>
                <w:color w:val="222B33"/>
                <w:sz w:val="18"/>
              </w:rPr>
              <w:t>People should know what matters, why it matters, what they are responsible for, and how we will know if the work is helping students.</w:t>
            </w:r>
          </w:p>
        </w:tc>
      </w:tr>
    </w:tbl>
    <w:p>
      <w:r>
        <w:br w:type="page"/>
      </w:r>
    </w:p>
    <w:p>
      <w:pPr>
        <w:spacing w:after="80"/>
      </w:pPr>
      <w:r>
        <w:rPr>
          <w:rFonts w:ascii="Aptos" w:hAnsi="Aptos" w:eastAsia="Aptos"/>
          <w:b/>
          <w:color w:val="2F7A7B"/>
          <w:sz w:val="17"/>
        </w:rPr>
        <w:t>SCHOOL IMPROVEMENT</w:t>
      </w:r>
    </w:p>
    <w:p>
      <w:pPr>
        <w:spacing w:after="40"/>
        <w:pBdr>
          <w:bottom w:val="single" w:sz="12" w:space="4" w:color="B48A47"/>
        </w:pBdr>
      </w:pPr>
      <w:r>
        <w:rPr>
          <w:rFonts w:ascii="Aptos Display" w:hAnsi="Aptos Display" w:eastAsia="Aptos Display"/>
          <w:b/>
          <w:color w:val="193B5A"/>
          <w:sz w:val="44"/>
        </w:rPr>
        <w:t>The schools I supervised improved in every focus area</w:t>
      </w:r>
    </w:p>
    <w:p>
      <w:pPr>
        <w:spacing w:after="140"/>
      </w:pPr>
      <w:r>
        <w:rPr>
          <w:rFonts w:ascii="Aptos" w:hAnsi="Aptos" w:eastAsia="Aptos"/>
          <w:color w:val="5B6570"/>
          <w:sz w:val="20"/>
        </w:rPr>
        <w:t>Four schools. Seven focus areas. Every one improved in 2025-26.</w:t>
      </w:r>
    </w:p>
    <w:tbl>
      <w:tblPr>
        <w:tblW w:type="auto" w:w="0"/>
        <w:tblLayout w:type="fixed"/>
        <w:tblLook w:firstColumn="1" w:firstRow="1" w:lastColumn="0" w:lastRow="0" w:noHBand="0" w:noVBand="1" w:val="04A0"/>
      </w:tblPr>
      <w:tblGrid>
        <w:gridCol w:w="3456"/>
        <w:gridCol w:w="3456"/>
        <w:gridCol w:w="3456"/>
      </w:tblGrid>
      <w:tr>
        <w:tc>
          <w:tcPr>
            <w:tcW w:type="dxa" w:w="3456"/>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7 of 7</w:t>
            </w:r>
          </w:p>
          <w:p>
            <w:pPr>
              <w:spacing w:after="0"/>
              <w:jc w:val="center"/>
            </w:pPr>
            <w:r>
              <w:rPr>
                <w:rFonts w:ascii="Aptos" w:hAnsi="Aptos" w:eastAsia="Aptos"/>
                <w:b/>
                <w:color w:val="193B5A"/>
                <w:sz w:val="14"/>
              </w:rPr>
              <w:t>FOCUS AREAS IMPROVED</w:t>
            </w:r>
          </w:p>
          <w:p>
            <w:pPr>
              <w:spacing w:after="0"/>
              <w:jc w:val="center"/>
            </w:pPr>
            <w:r>
              <w:rPr>
                <w:rFonts w:ascii="Aptos" w:hAnsi="Aptos" w:eastAsia="Aptos"/>
                <w:color w:val="5B6570"/>
                <w:sz w:val="14"/>
              </w:rPr>
              <w:t>all reached a 3-year high</w:t>
            </w:r>
          </w:p>
        </w:tc>
        <w:tc>
          <w:tcPr>
            <w:tcW w:type="dxa" w:w="3456"/>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5-12</w:t>
            </w:r>
          </w:p>
          <w:p>
            <w:pPr>
              <w:spacing w:after="0"/>
              <w:jc w:val="center"/>
            </w:pPr>
            <w:r>
              <w:rPr>
                <w:rFonts w:ascii="Aptos" w:hAnsi="Aptos" w:eastAsia="Aptos"/>
                <w:b/>
                <w:color w:val="193B5A"/>
                <w:sz w:val="14"/>
              </w:rPr>
              <w:t>POINT GAINS IN ONE YEAR</w:t>
            </w:r>
          </w:p>
          <w:p>
            <w:pPr>
              <w:spacing w:after="0"/>
              <w:jc w:val="center"/>
            </w:pPr>
            <w:r>
              <w:rPr>
                <w:rFonts w:ascii="Aptos" w:hAnsi="Aptos" w:eastAsia="Aptos"/>
                <w:color w:val="5B6570"/>
                <w:sz w:val="14"/>
              </w:rPr>
              <w:t>across the selected areas</w:t>
            </w:r>
          </w:p>
        </w:tc>
        <w:tc>
          <w:tcPr>
            <w:tcW w:type="dxa" w:w="3456"/>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+13</w:t>
            </w:r>
          </w:p>
          <w:p>
            <w:pPr>
              <w:spacing w:after="0"/>
              <w:jc w:val="center"/>
            </w:pPr>
            <w:r>
              <w:rPr>
                <w:rFonts w:ascii="Aptos" w:hAnsi="Aptos" w:eastAsia="Aptos"/>
                <w:b/>
                <w:color w:val="193B5A"/>
                <w:sz w:val="14"/>
              </w:rPr>
              <w:t>GREER MATH OVER TWO YEARS</w:t>
            </w:r>
          </w:p>
          <w:p>
            <w:pPr>
              <w:spacing w:after="0"/>
              <w:jc w:val="center"/>
            </w:pPr>
            <w:r>
              <w:rPr>
                <w:rFonts w:ascii="Aptos" w:hAnsi="Aptos" w:eastAsia="Aptos"/>
                <w:color w:val="5B6570"/>
                <w:sz w:val="14"/>
              </w:rPr>
              <w:t>45% to 58%</w:t>
            </w:r>
          </w:p>
        </w:tc>
      </w:tr>
    </w:tbl>
    <w:p>
      <w:pPr>
        <w:spacing w:after="140"/>
      </w:pPr>
      <w:r>
        <w:rPr>
          <w:rFonts w:ascii="Aptos" w:hAnsi="Aptos" w:eastAsia="Aptos"/>
          <w:color w:val="222B33"/>
          <w:sz w:val="19"/>
        </w:rPr>
        <w:t>I supervised and evaluated principals at schools with some of the division's biggest academic challenges. My job was not to run their schools for them. It was to help each principal focus the work, remove barriers, use evidence, and keep moving.</w:t>
      </w:r>
    </w:p>
    <w:tbl>
      <w:tblPr>
        <w:tblW w:type="auto" w:w="0"/>
        <w:tblLook w:firstColumn="1" w:firstRow="1" w:lastColumn="0" w:lastRow="0" w:noHBand="0" w:noVBand="1" w:val="04A0"/>
      </w:tblPr>
      <w:tblGrid>
        <w:gridCol w:w="2074"/>
        <w:gridCol w:w="2074"/>
        <w:gridCol w:w="2074"/>
        <w:gridCol w:w="2074"/>
        <w:gridCol w:w="2074"/>
      </w:tblGrid>
      <w:tr>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School</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Subject</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2024-25</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2025-26</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Gain</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Greer Elementary</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Math</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48%</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58%</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+10</w:t>
            </w:r>
          </w:p>
        </w:tc>
      </w:tr>
      <w:tr>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Mountain View Upper</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Reading</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63%</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68%</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+5</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Mountain View Upper</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Science</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51%</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63%</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+12</w:t>
            </w:r>
          </w:p>
        </w:tc>
      </w:tr>
      <w:tr>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Woodbrook Elementary</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Reading</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42%</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47%</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+5</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Woodbrook Elementary</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Math</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43%</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49%</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+6</w:t>
            </w:r>
          </w:p>
        </w:tc>
      </w:tr>
      <w:tr>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Journey Middle</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Math</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56%</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61%</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+5</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Journey Middle</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Science</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48%</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56%</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+8</w:t>
            </w:r>
          </w:p>
        </w:tc>
      </w:tr>
    </w:tbl>
    <w:p>
      <w:pPr>
        <w:spacing w:before="140" w:after="40"/>
      </w:pPr>
      <w:r>
        <w:rPr>
          <w:rFonts w:ascii="Aptos" w:hAnsi="Aptos" w:eastAsia="Aptos"/>
          <w:b/>
          <w:color w:val="193B5A"/>
          <w:sz w:val="20"/>
        </w:rPr>
        <w:t>What I did</w:t>
      </w:r>
    </w:p>
    <w:p>
      <w:pPr>
        <w:pStyle w:val="ListBullet"/>
        <w:spacing w:after="24"/>
        <w:ind w:left="288" w:hanging="173"/>
      </w:pPr>
      <w:r>
        <w:rPr>
          <w:rFonts w:ascii="Aptos" w:hAnsi="Aptos" w:eastAsia="Aptos"/>
          <w:color w:val="222B33"/>
          <w:sz w:val="17"/>
        </w:rPr>
        <w:t>Met with principals every two weeks to review progress and solve problems.</w:t>
      </w:r>
    </w:p>
    <w:p>
      <w:pPr>
        <w:pStyle w:val="ListBullet"/>
        <w:spacing w:after="24"/>
        <w:ind w:left="288" w:hanging="173"/>
      </w:pPr>
      <w:r>
        <w:rPr>
          <w:rFonts w:ascii="Aptos" w:hAnsi="Aptos" w:eastAsia="Aptos"/>
          <w:color w:val="222B33"/>
          <w:sz w:val="17"/>
        </w:rPr>
        <w:t>Used 90-day plans so the work stayed focused and measurable.</w:t>
      </w:r>
    </w:p>
    <w:p>
      <w:pPr>
        <w:pStyle w:val="ListBullet"/>
        <w:spacing w:after="24"/>
        <w:ind w:left="288" w:hanging="173"/>
      </w:pPr>
      <w:r>
        <w:rPr>
          <w:rFonts w:ascii="Aptos" w:hAnsi="Aptos" w:eastAsia="Aptos"/>
          <w:color w:val="222B33"/>
          <w:sz w:val="17"/>
        </w:rPr>
        <w:t>Connected extra staffing, expertise, and support to the schools with the greatest need.</w:t>
      </w:r>
    </w:p>
    <w:p>
      <w:pPr>
        <w:pStyle w:val="ListBullet"/>
        <w:spacing w:after="24"/>
        <w:ind w:left="288" w:hanging="173"/>
      </w:pPr>
      <w:r>
        <w:rPr>
          <w:rFonts w:ascii="Aptos" w:hAnsi="Aptos" w:eastAsia="Aptos"/>
          <w:color w:val="222B33"/>
          <w:sz w:val="17"/>
        </w:rPr>
        <w:t>Reviewed evidence regularly and changed course when the work was not producing enough progress.</w:t>
      </w:r>
    </w:p>
    <w:p>
      <w:r>
        <w:br w:type="page"/>
      </w:r>
    </w:p>
    <w:p>
      <w:pPr>
        <w:spacing w:after="80"/>
      </w:pPr>
      <w:r>
        <w:rPr>
          <w:rFonts w:ascii="Aptos" w:hAnsi="Aptos" w:eastAsia="Aptos"/>
          <w:b/>
          <w:color w:val="2F7A7B"/>
          <w:sz w:val="17"/>
        </w:rPr>
        <w:t>SCHOOL IMPROVEMENT</w:t>
      </w:r>
    </w:p>
    <w:p>
      <w:pPr>
        <w:spacing w:after="40"/>
        <w:pBdr>
          <w:bottom w:val="single" w:sz="12" w:space="4" w:color="B48A47"/>
        </w:pBdr>
      </w:pPr>
      <w:r>
        <w:rPr>
          <w:rFonts w:ascii="Aptos Display" w:hAnsi="Aptos Display" w:eastAsia="Aptos Display"/>
          <w:b/>
          <w:color w:val="193B5A"/>
          <w:sz w:val="44"/>
        </w:rPr>
        <w:t>The gains reached students facing economic barriers</w:t>
      </w:r>
    </w:p>
    <w:p>
      <w:pPr>
        <w:spacing w:after="140"/>
      </w:pPr>
      <w:r>
        <w:rPr>
          <w:rFonts w:ascii="Aptos" w:hAnsi="Aptos" w:eastAsia="Aptos"/>
          <w:color w:val="5B6570"/>
          <w:sz w:val="20"/>
        </w:rPr>
        <w:t>The same seven focus areas also improved for economically disadvantaged students.</w:t>
      </w:r>
    </w:p>
    <w:tbl>
      <w:tblPr>
        <w:tblW w:type="auto" w:w="0"/>
        <w:tblLayout w:type="fixed"/>
        <w:tblLook w:firstColumn="1" w:firstRow="1" w:lastColumn="0" w:lastRow="0" w:noHBand="0" w:noVBand="1" w:val="04A0"/>
      </w:tblPr>
      <w:tblGrid>
        <w:gridCol w:w="2592"/>
        <w:gridCol w:w="2592"/>
        <w:gridCol w:w="2592"/>
        <w:gridCol w:w="2592"/>
      </w:tblGrid>
      <w:tr>
        <w:tc>
          <w:tcPr>
            <w:tcW w:type="dxa" w:w="2592"/>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+17</w:t>
            </w:r>
          </w:p>
          <w:p>
            <w:pPr>
              <w:spacing w:after="0"/>
              <w:jc w:val="center"/>
            </w:pPr>
            <w:r>
              <w:rPr>
                <w:rFonts w:ascii="Aptos" w:hAnsi="Aptos" w:eastAsia="Aptos"/>
                <w:b/>
                <w:color w:val="193B5A"/>
                <w:sz w:val="14"/>
              </w:rPr>
              <w:t>MOUNTAIN VIEW SCIENCE</w:t>
            </w:r>
          </w:p>
          <w:p>
            <w:pPr>
              <w:spacing w:after="0"/>
              <w:jc w:val="center"/>
            </w:pPr>
            <w:r>
              <w:rPr>
                <w:rFonts w:ascii="Aptos" w:hAnsi="Aptos" w:eastAsia="Aptos"/>
                <w:color w:val="5B6570"/>
                <w:sz w:val="14"/>
              </w:rPr>
              <w:t>20% to 37%</w:t>
            </w:r>
          </w:p>
        </w:tc>
        <w:tc>
          <w:tcPr>
            <w:tcW w:type="dxa" w:w="2592"/>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+12</w:t>
            </w:r>
          </w:p>
          <w:p>
            <w:pPr>
              <w:spacing w:after="0"/>
              <w:jc w:val="center"/>
            </w:pPr>
            <w:r>
              <w:rPr>
                <w:rFonts w:ascii="Aptos" w:hAnsi="Aptos" w:eastAsia="Aptos"/>
                <w:b/>
                <w:color w:val="193B5A"/>
                <w:sz w:val="14"/>
              </w:rPr>
              <w:t>GREER MATH</w:t>
            </w:r>
          </w:p>
          <w:p>
            <w:pPr>
              <w:spacing w:after="0"/>
              <w:jc w:val="center"/>
            </w:pPr>
            <w:r>
              <w:rPr>
                <w:rFonts w:ascii="Aptos" w:hAnsi="Aptos" w:eastAsia="Aptos"/>
                <w:color w:val="5B6570"/>
                <w:sz w:val="14"/>
              </w:rPr>
              <w:t>40% to 52%</w:t>
            </w:r>
          </w:p>
        </w:tc>
        <w:tc>
          <w:tcPr>
            <w:tcW w:type="dxa" w:w="2592"/>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+10</w:t>
            </w:r>
          </w:p>
          <w:p>
            <w:pPr>
              <w:spacing w:after="0"/>
              <w:jc w:val="center"/>
            </w:pPr>
            <w:r>
              <w:rPr>
                <w:rFonts w:ascii="Aptos" w:hAnsi="Aptos" w:eastAsia="Aptos"/>
                <w:b/>
                <w:color w:val="193B5A"/>
                <w:sz w:val="14"/>
              </w:rPr>
              <w:t>WOODBROOK READING</w:t>
            </w:r>
          </w:p>
          <w:p>
            <w:pPr>
              <w:spacing w:after="0"/>
              <w:jc w:val="center"/>
            </w:pPr>
            <w:r>
              <w:rPr>
                <w:rFonts w:ascii="Aptos" w:hAnsi="Aptos" w:eastAsia="Aptos"/>
                <w:color w:val="5B6570"/>
                <w:sz w:val="14"/>
              </w:rPr>
              <w:t>29% to 39%</w:t>
            </w:r>
          </w:p>
        </w:tc>
        <w:tc>
          <w:tcPr>
            <w:tcW w:type="dxa" w:w="2592"/>
            <w:shd w:fill="F3F6F8"/>
            <w:tcBorders>
              <w:top w:val="single" w:sz="2" w:color="D5DEE5"/>
              <w:bottom w:val="single" w:sz="2" w:color="D5DEE5"/>
              <w:left w:val="single" w:sz="2" w:color="D5DEE5"/>
              <w:right w:val="single" w:sz="2" w:color="D5DEE5"/>
            </w:tcBorders>
            <w:vAlign w:val="center"/>
          </w:tcPr>
          <w:p>
            <w:pPr>
              <w:spacing w:after="0"/>
              <w:jc w:val="center"/>
            </w:pPr>
            <w:r>
              <w:rPr>
                <w:rFonts w:ascii="Aptos" w:hAnsi="Aptos" w:eastAsia="Aptos"/>
                <w:b/>
                <w:color w:val="2F7A7B"/>
                <w:sz w:val="32"/>
              </w:rPr>
              <w:t>+10</w:t>
            </w:r>
          </w:p>
          <w:p>
            <w:pPr>
              <w:spacing w:after="0"/>
              <w:jc w:val="center"/>
            </w:pPr>
            <w:r>
              <w:rPr>
                <w:rFonts w:ascii="Aptos" w:hAnsi="Aptos" w:eastAsia="Aptos"/>
                <w:b/>
                <w:color w:val="193B5A"/>
                <w:sz w:val="14"/>
              </w:rPr>
              <w:t>WOODBROOK MATH</w:t>
            </w:r>
          </w:p>
          <w:p>
            <w:pPr>
              <w:spacing w:after="0"/>
              <w:jc w:val="center"/>
            </w:pPr>
            <w:r>
              <w:rPr>
                <w:rFonts w:ascii="Aptos" w:hAnsi="Aptos" w:eastAsia="Aptos"/>
                <w:color w:val="5B6570"/>
                <w:sz w:val="14"/>
              </w:rPr>
              <w:t>31% to 41%</w:t>
            </w:r>
          </w:p>
        </w:tc>
      </w:tr>
    </w:tbl>
    <w:p>
      <w:pPr>
        <w:spacing w:after="140"/>
      </w:pPr>
      <w:r>
        <w:rPr>
          <w:rFonts w:ascii="Aptos" w:hAnsi="Aptos" w:eastAsia="Aptos"/>
          <w:color w:val="222B33"/>
          <w:sz w:val="19"/>
        </w:rPr>
        <w:t>Schoolwide averages can hide who is benefiting. I expect leaders to look at results by student group, recognize progress honestly, identify gaps clearly, and keep adjusting support until more students succeed.</w:t>
      </w:r>
    </w:p>
    <w:tbl>
      <w:tblPr>
        <w:tblW w:type="auto" w:w="0"/>
        <w:tblLook w:firstColumn="1" w:firstRow="1" w:lastColumn="0" w:lastRow="0" w:noHBand="0" w:noVBand="1" w:val="04A0"/>
      </w:tblPr>
      <w:tblGrid>
        <w:gridCol w:w="2074"/>
        <w:gridCol w:w="2074"/>
        <w:gridCol w:w="2074"/>
        <w:gridCol w:w="2074"/>
        <w:gridCol w:w="2074"/>
      </w:tblGrid>
      <w:tr>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School</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Subject</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2024-25</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2025-26</w:t>
            </w:r>
          </w:p>
        </w:tc>
        <w:tc>
          <w:tcPr>
            <w:tcW w:type="dxa" w:w="2074"/>
            <w:shd w:fill="193B5A"/>
            <w:tcBorders>
              <w:top w:val="single" w:sz="2" w:color="193B5A"/>
              <w:bottom w:val="single" w:sz="2" w:color="193B5A"/>
              <w:left w:val="single" w:sz="2" w:color="193B5A"/>
              <w:right w:val="single" w:sz="2" w:color="193B5A"/>
            </w:tcBorders>
          </w:tcPr>
          <w:p>
            <w:r>
              <w:rPr>
                <w:rFonts w:ascii="Aptos" w:hAnsi="Aptos" w:eastAsia="Aptos"/>
                <w:b/>
                <w:color w:val="FFFFFF"/>
                <w:sz w:val="15"/>
              </w:rPr>
              <w:t>Gain</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Greer Elementary</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Math</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40%</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52%</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+12</w:t>
            </w:r>
          </w:p>
        </w:tc>
      </w:tr>
      <w:tr>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Mountain View Upper</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Reading</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35%</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36%</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Mountain View Upper</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Science</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20%</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37%</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+17</w:t>
            </w:r>
          </w:p>
        </w:tc>
      </w:tr>
      <w:tr>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Woodbrook Elementary</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Reading</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29%</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39%</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+10</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Woodbrook Elementary</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Math</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31%</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41%</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+10</w:t>
            </w:r>
          </w:p>
        </w:tc>
      </w:tr>
      <w:tr>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Journey Middle</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Math</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42%</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47%</w:t>
            </w:r>
          </w:p>
        </w:tc>
        <w:tc>
          <w:tcPr>
            <w:tcW w:type="dxa" w:w="2074"/>
            <w:shd w:fill="F3F6F8"/>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+5</w:t>
            </w:r>
          </w:p>
        </w:tc>
      </w:tr>
      <w:tr>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Journey Middle</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Science</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35%</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val="0"/>
                <w:color w:val="222B33"/>
                <w:sz w:val="15"/>
              </w:rPr>
              <w:t>41%</w:t>
            </w:r>
          </w:p>
        </w:tc>
        <w:tc>
          <w:tcPr>
            <w:tcW w:type="dxa" w:w="2074"/>
            <w:shd w:fill="FFFFFF"/>
            <w:tcBorders>
              <w:top w:val="single" w:sz="2" w:color="D5DEE5"/>
              <w:bottom w:val="single" w:sz="2" w:color="D5DEE5"/>
              <w:left w:val="single" w:sz="2" w:color="D5DEE5"/>
              <w:right w:val="single" w:sz="2" w:color="D5DEE5"/>
            </w:tcBorders>
          </w:tcPr>
          <w:p>
            <w:pPr>
              <w:spacing w:after="0"/>
            </w:pPr>
            <w:r>
              <w:rPr>
                <w:rFonts w:ascii="Aptos" w:hAnsi="Aptos" w:eastAsia="Aptos"/>
                <w:b/>
                <w:color w:val="2F7A7B"/>
                <w:sz w:val="15"/>
              </w:rPr>
              <w:t>+6</w:t>
            </w:r>
          </w:p>
        </w:tc>
      </w:tr>
    </w:tbl>
    <w:tbl>
      <w:tblPr>
        <w:tblW w:type="auto" w:w="0"/>
        <w:tblLook w:firstColumn="1" w:firstRow="1" w:lastColumn="0" w:lastRow="0" w:noHBand="0" w:noVBand="1" w:val="04A0"/>
      </w:tblPr>
      <w:tblGrid>
        <w:gridCol w:w="10368"/>
      </w:tblGrid>
      <w:tr>
        <w:tc>
          <w:tcPr>
            <w:tcW w:type="dxa" w:w="10368"/>
            <w:shd w:fill="EAF3F3"/>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WHAT I LEARNED</w:t>
            </w:r>
          </w:p>
          <w:p>
            <w:pPr>
              <w:spacing w:after="0"/>
            </w:pPr>
            <w:r>
              <w:rPr>
                <w:rFonts w:ascii="Aptos" w:hAnsi="Aptos" w:eastAsia="Aptos"/>
                <w:color w:val="222B33"/>
                <w:sz w:val="18"/>
              </w:rPr>
              <w:t>Progress is real, but it is not the same as being finished. The next job is to hold the gains, extend them to more subjects and students, and keep improving the quality of daily instruction.</w:t>
            </w:r>
          </w:p>
        </w:tc>
      </w:tr>
    </w:tbl>
    <w:p>
      <w:r>
        <w:br w:type="page"/>
      </w:r>
    </w:p>
    <w:p>
      <w:pPr>
        <w:spacing w:after="80"/>
      </w:pPr>
      <w:r>
        <w:rPr>
          <w:rFonts w:ascii="Aptos" w:hAnsi="Aptos" w:eastAsia="Aptos"/>
          <w:b/>
          <w:color w:val="2F7A7B"/>
          <w:sz w:val="17"/>
        </w:rPr>
        <w:t>TEACHING AND LEARNING</w:t>
      </w:r>
    </w:p>
    <w:p>
      <w:pPr>
        <w:spacing w:after="40"/>
        <w:pBdr>
          <w:bottom w:val="single" w:sz="12" w:space="4" w:color="B48A47"/>
        </w:pBdr>
      </w:pPr>
      <w:r>
        <w:rPr>
          <w:rFonts w:ascii="Aptos Display" w:hAnsi="Aptos Display" w:eastAsia="Aptos Display"/>
          <w:b/>
          <w:color w:val="193B5A"/>
          <w:sz w:val="44"/>
        </w:rPr>
        <w:t>I helped turn an outside audit into changes teachers could use</w:t>
      </w:r>
    </w:p>
    <w:p>
      <w:pPr>
        <w:spacing w:after="140"/>
      </w:pPr>
      <w:r>
        <w:rPr>
          <w:rFonts w:ascii="Aptos" w:hAnsi="Aptos" w:eastAsia="Aptos"/>
          <w:color w:val="5B6570"/>
          <w:sz w:val="20"/>
        </w:rPr>
        <w:t>The value of an audit is not the report. It is what changes afterward.</w:t>
      </w:r>
    </w:p>
    <w:p>
      <w:pPr>
        <w:spacing w:after="140"/>
      </w:pPr>
      <w:r>
        <w:rPr>
          <w:rFonts w:ascii="Aptos" w:hAnsi="Aptos" w:eastAsia="Aptos"/>
          <w:color w:val="222B33"/>
          <w:sz w:val="19"/>
        </w:rPr>
        <w:t>When achievement gaps remained too large, ACPS asked Bellwether to study our instructional practices. I helped lead the work that followed. We used the findings to make expectations clearer and give schools better tools for acting on student needs.</w:t>
      </w:r>
    </w:p>
    <w:p>
      <w:pPr>
        <w:spacing w:after="40"/>
      </w:pPr>
      <w:r>
        <w:rPr>
          <w:rFonts w:ascii="Aptos" w:hAnsi="Aptos" w:eastAsia="Aptos"/>
          <w:b/>
          <w:color w:val="193B5A"/>
          <w:sz w:val="20"/>
        </w:rPr>
        <w:t>Changes I helped put in place</w:t>
      </w:r>
    </w:p>
    <w:p>
      <w:pPr>
        <w:pStyle w:val="ListBullet"/>
        <w:spacing w:after="24"/>
        <w:ind w:left="288" w:hanging="173"/>
      </w:pPr>
      <w:r>
        <w:rPr>
          <w:rFonts w:ascii="Aptos" w:hAnsi="Aptos" w:eastAsia="Aptos"/>
          <w:color w:val="222B33"/>
          <w:sz w:val="18"/>
        </w:rPr>
        <w:t>K-12 pacing guides so teachers had a clearer shared sequence for what to teach and when.</w:t>
      </w:r>
    </w:p>
    <w:p>
      <w:pPr>
        <w:pStyle w:val="ListBullet"/>
        <w:spacing w:after="24"/>
        <w:ind w:left="288" w:hanging="173"/>
      </w:pPr>
      <w:r>
        <w:rPr>
          <w:rFonts w:ascii="Aptos" w:hAnsi="Aptos" w:eastAsia="Aptos"/>
          <w:color w:val="222B33"/>
          <w:sz w:val="18"/>
        </w:rPr>
        <w:t>Common quarterly assessments so schools could see sooner what students had learned and what needed reteaching.</w:t>
      </w:r>
    </w:p>
    <w:p>
      <w:pPr>
        <w:pStyle w:val="ListBullet"/>
        <w:spacing w:after="24"/>
        <w:ind w:left="288" w:hanging="173"/>
      </w:pPr>
      <w:r>
        <w:rPr>
          <w:rFonts w:ascii="Aptos" w:hAnsi="Aptos" w:eastAsia="Aptos"/>
          <w:color w:val="222B33"/>
          <w:sz w:val="18"/>
        </w:rPr>
        <w:t>Better use of assessment data to identify content for review and students who needed more support.</w:t>
      </w:r>
    </w:p>
    <w:p>
      <w:pPr>
        <w:pStyle w:val="ListBullet"/>
        <w:spacing w:after="24"/>
        <w:ind w:left="288" w:hanging="173"/>
      </w:pPr>
      <w:r>
        <w:rPr>
          <w:rFonts w:ascii="Aptos" w:hAnsi="Aptos" w:eastAsia="Aptos"/>
          <w:color w:val="222B33"/>
          <w:sz w:val="18"/>
        </w:rPr>
        <w:t>Professional learning, coaching, PLC work, and instructional walks tied to the same priorities.</w:t>
      </w:r>
    </w:p>
    <w:p>
      <w:pPr>
        <w:pStyle w:val="ListBullet"/>
        <w:spacing w:after="24"/>
        <w:ind w:left="288" w:hanging="173"/>
      </w:pPr>
      <w:r>
        <w:rPr>
          <w:rFonts w:ascii="Aptos" w:hAnsi="Aptos" w:eastAsia="Aptos"/>
          <w:color w:val="222B33"/>
          <w:sz w:val="18"/>
        </w:rPr>
        <w:t>A Program Evaluation department to check whether programs are being used well and producing enough value to keep, change, expand, or stop.</w:t>
      </w:r>
    </w:p>
    <w:p>
      <w:pPr>
        <w:spacing w:before="100" w:after="40"/>
      </w:pPr>
      <w:r>
        <w:rPr>
          <w:rFonts w:ascii="Aptos" w:hAnsi="Aptos" w:eastAsia="Aptos"/>
          <w:b/>
          <w:color w:val="193B5A"/>
          <w:sz w:val="20"/>
        </w:rPr>
        <w:t>Other instructional work</w:t>
      </w:r>
    </w:p>
    <w:p>
      <w:pPr>
        <w:pStyle w:val="ListBullet"/>
        <w:spacing w:after="24"/>
        <w:ind w:left="288" w:hanging="173"/>
      </w:pPr>
      <w:r>
        <w:rPr>
          <w:rFonts w:ascii="Aptos" w:hAnsi="Aptos" w:eastAsia="Aptos"/>
          <w:color w:val="222B33"/>
          <w:sz w:val="18"/>
        </w:rPr>
        <w:t>Helped lead High School 2022 / high school redesign around Virginia's Profile of a Graduate, student interests, career pathways, and the Program of Studies.</w:t>
      </w:r>
    </w:p>
    <w:p>
      <w:pPr>
        <w:pStyle w:val="ListBullet"/>
        <w:spacing w:after="24"/>
        <w:ind w:left="288" w:hanging="173"/>
      </w:pPr>
      <w:r>
        <w:rPr>
          <w:rFonts w:ascii="Aptos" w:hAnsi="Aptos" w:eastAsia="Aptos"/>
          <w:color w:val="222B33"/>
          <w:sz w:val="18"/>
        </w:rPr>
        <w:t>Previously supervised school counseling and the division Program of Studies.</w:t>
      </w:r>
    </w:p>
    <w:p>
      <w:pPr>
        <w:pStyle w:val="ListBullet"/>
        <w:spacing w:after="24"/>
        <w:ind w:left="288" w:hanging="173"/>
      </w:pPr>
      <w:r>
        <w:rPr>
          <w:rFonts w:ascii="Aptos" w:hAnsi="Aptos" w:eastAsia="Aptos"/>
          <w:color w:val="222B33"/>
          <w:sz w:val="18"/>
        </w:rPr>
        <w:t>Produced State of the Division reports so the Board and public could see progress and remaining gaps.</w:t>
      </w:r>
    </w:p>
    <w:tbl>
      <w:tblPr>
        <w:tblW w:type="auto" w:w="0"/>
        <w:tblLook w:firstColumn="1" w:firstRow="1" w:lastColumn="0" w:lastRow="0" w:noHBand="0" w:noVBand="1" w:val="04A0"/>
      </w:tblPr>
      <w:tblGrid>
        <w:gridCol w:w="10368"/>
      </w:tblGrid>
      <w:tr>
        <w:tc>
          <w:tcPr>
            <w:tcW w:type="dxa" w:w="10368"/>
            <w:shd w:fill="F6F0E5"/>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SHARED DIVISION PROGRESS</w:t>
            </w:r>
          </w:p>
          <w:p>
            <w:pPr>
              <w:spacing w:after="0"/>
            </w:pPr>
            <w:r>
              <w:rPr>
                <w:rFonts w:ascii="Aptos" w:hAnsi="Aptos" w:eastAsia="Aptos"/>
                <w:color w:val="222B33"/>
                <w:sz w:val="18"/>
              </w:rPr>
              <w:t>Recent division results showed gains in reading, math, history, and writing, while chronic absenteeism fell from 17.7% in 2022-23 to 11.8% in 2024-25. I view those as shared results, not personal credit - but they are evidence that focused system work can move outcomes.</w:t>
            </w:r>
          </w:p>
        </w:tc>
      </w:tr>
    </w:tbl>
    <w:p>
      <w:r>
        <w:br w:type="page"/>
      </w:r>
    </w:p>
    <w:p>
      <w:pPr>
        <w:spacing w:after="80"/>
      </w:pPr>
      <w:r>
        <w:rPr>
          <w:rFonts w:ascii="Aptos" w:hAnsi="Aptos" w:eastAsia="Aptos"/>
          <w:b/>
          <w:color w:val="2F7A7B"/>
          <w:sz w:val="17"/>
        </w:rPr>
        <w:t>PEOPLE</w:t>
      </w:r>
    </w:p>
    <w:p>
      <w:pPr>
        <w:spacing w:after="40"/>
        <w:pBdr>
          <w:bottom w:val="single" w:sz="12" w:space="4" w:color="B48A47"/>
        </w:pBdr>
      </w:pPr>
      <w:r>
        <w:rPr>
          <w:rFonts w:ascii="Aptos Display" w:hAnsi="Aptos Display" w:eastAsia="Aptos Display"/>
          <w:b/>
          <w:color w:val="193B5A"/>
          <w:sz w:val="44"/>
        </w:rPr>
        <w:t>I invest in leaders and expect them to deliver</w:t>
      </w:r>
    </w:p>
    <w:p>
      <w:pPr>
        <w:spacing w:after="140"/>
      </w:pPr>
      <w:r>
        <w:rPr>
          <w:rFonts w:ascii="Aptos" w:hAnsi="Aptos" w:eastAsia="Aptos"/>
          <w:color w:val="5B6570"/>
          <w:sz w:val="20"/>
        </w:rPr>
        <w:t>Student results improve when the adults leading the work are supported, trusted, and held accountable.</w:t>
      </w:r>
    </w:p>
    <w:p>
      <w:pPr>
        <w:spacing w:after="160"/>
      </w:pPr>
      <w:r>
        <w:rPr>
          <w:rFonts w:ascii="Aptos" w:hAnsi="Aptos" w:eastAsia="Aptos"/>
          <w:color w:val="222B33"/>
          <w:sz w:val="19"/>
        </w:rPr>
        <w:t>My current work includes selecting principals, evaluating principals in high-need schools, coaching leaders through improvement work, and managing difficult employee-performance matters. I have also spent thirteen years in school administration, so I understand what central-office decisions feel like when they reach a school.</w:t>
      </w:r>
    </w:p>
    <w:tbl>
      <w:tblPr>
        <w:tblW w:type="auto" w:w="0"/>
        <w:tblLook w:firstColumn="1" w:firstRow="1" w:lastColumn="0" w:lastRow="0" w:noHBand="0" w:noVBand="1" w:val="04A0"/>
      </w:tblPr>
      <w:tblGrid>
        <w:gridCol w:w="5184"/>
        <w:gridCol w:w="5184"/>
      </w:tblGrid>
      <w:tr>
        <w:tc>
          <w:tcPr>
            <w:tcW w:type="dxa" w:w="5184"/>
            <w:shd w:fill="F3F6F8"/>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HIRING</w:t>
            </w:r>
          </w:p>
          <w:p>
            <w:pPr>
              <w:spacing w:after="0"/>
            </w:pPr>
            <w:r>
              <w:rPr>
                <w:rFonts w:ascii="Aptos" w:hAnsi="Aptos" w:eastAsia="Aptos"/>
                <w:color w:val="222B33"/>
                <w:sz w:val="16"/>
              </w:rPr>
              <w:t>Serve on the cabinet-level principal hiring team that makes final candidate recommendations to the superintendent.</w:t>
            </w:r>
          </w:p>
        </w:tc>
        <w:tc>
          <w:tcPr>
            <w:tcW w:type="dxa" w:w="5184"/>
            <w:shd w:fill="FFFFFF"/>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EVALUATION + COACHING</w:t>
            </w:r>
          </w:p>
          <w:p>
            <w:pPr>
              <w:spacing w:after="0"/>
            </w:pPr>
            <w:r>
              <w:rPr>
                <w:rFonts w:ascii="Aptos" w:hAnsi="Aptos" w:eastAsia="Aptos"/>
                <w:color w:val="222B33"/>
                <w:sz w:val="16"/>
              </w:rPr>
              <w:t>Evaluate principals at schools with the division's most significant academic challenges and meet with them regularly on measurable priorities.</w:t>
            </w:r>
          </w:p>
        </w:tc>
      </w:tr>
      <w:tr>
        <w:tc>
          <w:tcPr>
            <w:tcW w:type="dxa" w:w="5184"/>
            <w:shd w:fill="FFFFFF"/>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ACCOUNTABILITY</w:t>
            </w:r>
          </w:p>
          <w:p>
            <w:pPr>
              <w:spacing w:after="0"/>
            </w:pPr>
            <w:r>
              <w:rPr>
                <w:rFonts w:ascii="Aptos" w:hAnsi="Aptos" w:eastAsia="Aptos"/>
                <w:color w:val="222B33"/>
                <w:sz w:val="16"/>
              </w:rPr>
              <w:t>Have handled employee performance and disciplinary matters as both a principal and central-office supervisor, with clear documentation and follow-through.</w:t>
            </w:r>
          </w:p>
        </w:tc>
        <w:tc>
          <w:tcPr>
            <w:tcW w:type="dxa" w:w="5184"/>
            <w:shd w:fill="F3F6F8"/>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ENGAGEMENT</w:t>
            </w:r>
          </w:p>
          <w:p>
            <w:pPr>
              <w:spacing w:after="0"/>
            </w:pPr>
            <w:r>
              <w:rPr>
                <w:rFonts w:ascii="Aptos" w:hAnsi="Aptos" w:eastAsia="Aptos"/>
                <w:color w:val="222B33"/>
                <w:sz w:val="16"/>
              </w:rPr>
              <w:t>Lead a department with one of the division's highest Gallup employee-engagement scores.</w:t>
            </w:r>
          </w:p>
        </w:tc>
      </w:tr>
      <w:tr>
        <w:tc>
          <w:tcPr>
            <w:tcW w:type="dxa" w:w="5184"/>
            <w:shd w:fill="F3F6F8"/>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PROFESSIONAL GROWTH</w:t>
            </w:r>
          </w:p>
          <w:p>
            <w:pPr>
              <w:spacing w:after="0"/>
            </w:pPr>
            <w:r>
              <w:rPr>
                <w:rFonts w:ascii="Aptos" w:hAnsi="Aptos" w:eastAsia="Aptos"/>
                <w:color w:val="222B33"/>
                <w:sz w:val="16"/>
              </w:rPr>
              <w:t>Current development includes AASA principal-supervisor training and UVA Partnership for Leaders in Education.</w:t>
            </w:r>
          </w:p>
        </w:tc>
        <w:tc>
          <w:tcPr>
            <w:tcW w:type="dxa" w:w="5184"/>
            <w:shd w:fill="FFFFFF"/>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SCHOOL CREDIBILITY</w:t>
            </w:r>
          </w:p>
          <w:p>
            <w:pPr>
              <w:spacing w:after="0"/>
            </w:pPr>
            <w:r>
              <w:rPr>
                <w:rFonts w:ascii="Aptos" w:hAnsi="Aptos" w:eastAsia="Aptos"/>
                <w:color w:val="222B33"/>
                <w:sz w:val="16"/>
              </w:rPr>
              <w:t>Eight years as a middle school principal plus a one-year high school principal assignment keep my work grounded in school realities.</w:t>
            </w:r>
          </w:p>
        </w:tc>
      </w:tr>
    </w:tbl>
    <w:tbl>
      <w:tblPr>
        <w:tblW w:type="auto" w:w="0"/>
        <w:tblLook w:firstColumn="1" w:firstRow="1" w:lastColumn="0" w:lastRow="0" w:noHBand="0" w:noVBand="1" w:val="04A0"/>
      </w:tblPr>
      <w:tblGrid>
        <w:gridCol w:w="10368"/>
      </w:tblGrid>
      <w:tr>
        <w:tc>
          <w:tcPr>
            <w:tcW w:type="dxa" w:w="10368"/>
            <w:shd w:fill="EAF3F3"/>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WHAT STAFF SHOULD EXPERIENCE</w:t>
            </w:r>
          </w:p>
          <w:p>
            <w:pPr>
              <w:spacing w:after="0"/>
            </w:pPr>
            <w:r>
              <w:rPr>
                <w:rFonts w:ascii="Aptos" w:hAnsi="Aptos" w:eastAsia="Aptos"/>
                <w:color w:val="222B33"/>
                <w:sz w:val="18"/>
              </w:rPr>
              <w:t>Clear expectations. Honest feedback. Useful support. Fair decisions. Leaders who are present. And a workplace where people know their work matters.</w:t>
            </w:r>
          </w:p>
        </w:tc>
      </w:tr>
    </w:tbl>
    <w:p>
      <w:r>
        <w:br w:type="page"/>
      </w:r>
    </w:p>
    <w:p>
      <w:pPr>
        <w:spacing w:after="80"/>
      </w:pPr>
      <w:r>
        <w:rPr>
          <w:rFonts w:ascii="Aptos" w:hAnsi="Aptos" w:eastAsia="Aptos"/>
          <w:b/>
          <w:color w:val="2F7A7B"/>
          <w:sz w:val="17"/>
        </w:rPr>
        <w:t>BOARD AND COMMUNITY</w:t>
      </w:r>
    </w:p>
    <w:p>
      <w:pPr>
        <w:spacing w:after="40"/>
        <w:pBdr>
          <w:bottom w:val="single" w:sz="12" w:space="4" w:color="B48A47"/>
        </w:pBdr>
      </w:pPr>
      <w:r>
        <w:rPr>
          <w:rFonts w:ascii="Aptos Display" w:hAnsi="Aptos Display" w:eastAsia="Aptos Display"/>
          <w:b/>
          <w:color w:val="193B5A"/>
          <w:sz w:val="44"/>
        </w:rPr>
        <w:t>Listen first. Explain the choice. Close the loop.</w:t>
      </w:r>
    </w:p>
    <w:p>
      <w:pPr>
        <w:spacing w:after="140"/>
      </w:pPr>
      <w:r>
        <w:rPr>
          <w:rFonts w:ascii="Aptos" w:hAnsi="Aptos" w:eastAsia="Aptos"/>
          <w:color w:val="5B6570"/>
          <w:sz w:val="20"/>
        </w:rPr>
        <w:t>Trust is built when people can see how a decision was made and what happened after it.</w:t>
      </w:r>
    </w:p>
    <w:p>
      <w:pPr>
        <w:spacing w:after="140"/>
      </w:pPr>
      <w:r>
        <w:rPr>
          <w:rFonts w:ascii="Aptos" w:hAnsi="Aptos" w:eastAsia="Aptos"/>
          <w:color w:val="222B33"/>
          <w:sz w:val="19"/>
        </w:rPr>
        <w:t>I have worked closely with a School Board on strategic planning, policy, student learning, assessment, accreditation, program evaluation, and performance reporting. I also have experience with public decisions where there was no option that made everyone happy.</w:t>
      </w:r>
    </w:p>
    <w:p>
      <w:pPr>
        <w:spacing w:after="40"/>
      </w:pPr>
      <w:r>
        <w:rPr>
          <w:rFonts w:ascii="Aptos" w:hAnsi="Aptos" w:eastAsia="Aptos"/>
          <w:b/>
          <w:color w:val="193B5A"/>
          <w:sz w:val="20"/>
        </w:rPr>
        <w:t>Examples from my work</w:t>
      </w:r>
    </w:p>
    <w:p>
      <w:pPr>
        <w:pStyle w:val="ListBullet"/>
        <w:spacing w:after="24"/>
        <w:ind w:left="288" w:hanging="173"/>
      </w:pPr>
      <w:r>
        <w:rPr>
          <w:rFonts w:ascii="Aptos" w:hAnsi="Aptos" w:eastAsia="Aptos"/>
          <w:color w:val="222B33"/>
          <w:sz w:val="17"/>
        </w:rPr>
        <w:t>Planned and delivered summer retreats with the Board chair and vice chair to review progress and identify the next year's priorities, goals, and deliverables.</w:t>
      </w:r>
    </w:p>
    <w:p>
      <w:pPr>
        <w:pStyle w:val="ListBullet"/>
        <w:spacing w:after="24"/>
        <w:ind w:left="288" w:hanging="173"/>
      </w:pPr>
      <w:r>
        <w:rPr>
          <w:rFonts w:ascii="Aptos" w:hAnsi="Aptos" w:eastAsia="Aptos"/>
          <w:color w:val="222B33"/>
          <w:sz w:val="17"/>
        </w:rPr>
        <w:t>Frequently facilitated Board breakout sessions and work sessions on policy, student learning, learning environments, and performance results.</w:t>
      </w:r>
    </w:p>
    <w:p>
      <w:pPr>
        <w:pStyle w:val="ListBullet"/>
        <w:spacing w:after="24"/>
        <w:ind w:left="288" w:hanging="173"/>
      </w:pPr>
      <w:r>
        <w:rPr>
          <w:rFonts w:ascii="Aptos" w:hAnsi="Aptos" w:eastAsia="Aptos"/>
          <w:color w:val="222B33"/>
          <w:sz w:val="17"/>
        </w:rPr>
        <w:t>Led the division Parent Council and directly supervised Strategic Communications.</w:t>
      </w:r>
    </w:p>
    <w:p>
      <w:pPr>
        <w:pStyle w:val="ListBullet"/>
        <w:spacing w:after="24"/>
        <w:ind w:left="288" w:hanging="173"/>
      </w:pPr>
      <w:r>
        <w:rPr>
          <w:rFonts w:ascii="Aptos" w:hAnsi="Aptos" w:eastAsia="Aptos"/>
          <w:color w:val="222B33"/>
          <w:sz w:val="17"/>
        </w:rPr>
        <w:t>Directed a strategic-plan process that included a 112-member design team, public forums, surveys, and Board adoption.</w:t>
      </w:r>
    </w:p>
    <w:p>
      <w:pPr>
        <w:pStyle w:val="ListBullet"/>
        <w:spacing w:after="24"/>
        <w:ind w:left="288" w:hanging="173"/>
      </w:pPr>
      <w:r>
        <w:rPr>
          <w:rFonts w:ascii="Aptos" w:hAnsi="Aptos" w:eastAsia="Aptos"/>
          <w:color w:val="222B33"/>
          <w:sz w:val="17"/>
        </w:rPr>
        <w:t>Led a redistricting process in which public meetings, survey data, and advisory work changed the leading scenario before the final recommendation.</w:t>
      </w:r>
    </w:p>
    <w:tbl>
      <w:tblPr>
        <w:tblW w:type="auto" w:w="0"/>
        <w:tblLook w:firstColumn="1" w:firstRow="1" w:lastColumn="0" w:lastRow="0" w:noHBand="0" w:noVBand="1" w:val="04A0"/>
      </w:tblPr>
      <w:tblGrid>
        <w:gridCol w:w="10368"/>
      </w:tblGrid>
      <w:tr>
        <w:tc>
          <w:tcPr>
            <w:tcW w:type="dxa" w:w="10368"/>
            <w:shd w:fill="F6F0E5"/>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MY APPROACH</w:t>
            </w:r>
          </w:p>
          <w:p>
            <w:pPr>
              <w:spacing w:after="0"/>
            </w:pPr>
            <w:r>
              <w:rPr>
                <w:rFonts w:ascii="Aptos" w:hAnsi="Aptos" w:eastAsia="Aptos"/>
                <w:color w:val="222B33"/>
                <w:sz w:val="18"/>
              </w:rPr>
              <w:t>Public input should be consequential, not ceremonial. When people take the time to participate, they should be able to see what was heard, what changed, and why the final decision was made.</w:t>
            </w:r>
          </w:p>
        </w:tc>
      </w:tr>
    </w:tbl>
    <w:p>
      <w:r>
        <w:br w:type="page"/>
      </w:r>
    </w:p>
    <w:p>
      <w:pPr>
        <w:spacing w:after="80"/>
      </w:pPr>
      <w:r>
        <w:rPr>
          <w:rFonts w:ascii="Aptos" w:hAnsi="Aptos" w:eastAsia="Aptos"/>
          <w:b/>
          <w:color w:val="2F7A7B"/>
          <w:sz w:val="17"/>
        </w:rPr>
        <w:t>RESOURCES AND OPERATIONS</w:t>
      </w:r>
    </w:p>
    <w:p>
      <w:pPr>
        <w:spacing w:after="40"/>
        <w:pBdr>
          <w:bottom w:val="single" w:sz="12" w:space="4" w:color="B48A47"/>
        </w:pBdr>
      </w:pPr>
      <w:r>
        <w:rPr>
          <w:rFonts w:ascii="Aptos Display" w:hAnsi="Aptos Display" w:eastAsia="Aptos Display"/>
          <w:b/>
          <w:color w:val="193B5A"/>
          <w:sz w:val="44"/>
        </w:rPr>
        <w:t>I help make decisions about money, people, buildings, and future costs</w:t>
      </w:r>
    </w:p>
    <w:p>
      <w:pPr>
        <w:spacing w:after="140"/>
      </w:pPr>
      <w:r>
        <w:rPr>
          <w:rFonts w:ascii="Aptos" w:hAnsi="Aptos" w:eastAsia="Aptos"/>
          <w:color w:val="5B6570"/>
          <w:sz w:val="20"/>
        </w:rPr>
        <w:t>The work is not simply to spend less. It is to use limited resources where they create the most value.</w:t>
      </w:r>
    </w:p>
    <w:tbl>
      <w:tblPr>
        <w:tblW w:type="auto" w:w="0"/>
        <w:tblLook w:firstColumn="1" w:firstRow="1" w:lastColumn="0" w:lastRow="0" w:noHBand="0" w:noVBand="1" w:val="04A0"/>
      </w:tblPr>
      <w:tblGrid>
        <w:gridCol w:w="5184"/>
        <w:gridCol w:w="5184"/>
      </w:tblGrid>
      <w:tr>
        <w:tc>
          <w:tcPr>
            <w:tcW w:type="dxa" w:w="5184"/>
            <w:shd w:fill="F3F6F8"/>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BUDGET PRIORITIES</w:t>
            </w:r>
          </w:p>
          <w:p>
            <w:pPr>
              <w:spacing w:after="0"/>
            </w:pPr>
            <w:r>
              <w:rPr>
                <w:rFonts w:ascii="Aptos" w:hAnsi="Aptos" w:eastAsia="Aptos"/>
                <w:color w:val="222B33"/>
                <w:sz w:val="16"/>
              </w:rPr>
              <w:t>Serve on the ACPS Budget Advisory Committee, where staff and community members review priorities and help inform budget choices.</w:t>
            </w:r>
          </w:p>
        </w:tc>
        <w:tc>
          <w:tcPr>
            <w:tcW w:type="dxa" w:w="5184"/>
            <w:shd w:fill="FFFFFF"/>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LONG-RANGE COSTS</w:t>
            </w:r>
          </w:p>
          <w:p>
            <w:pPr>
              <w:spacing w:after="0"/>
            </w:pPr>
            <w:r>
              <w:rPr>
                <w:rFonts w:ascii="Aptos" w:hAnsi="Aptos" w:eastAsia="Aptos"/>
                <w:color w:val="222B33"/>
                <w:sz w:val="16"/>
              </w:rPr>
              <w:t>Serve on a joint local government-schools committee that works with providers, studies health-plan options and cost increases, and projects budget impact.</w:t>
            </w:r>
          </w:p>
        </w:tc>
      </w:tr>
      <w:tr>
        <w:tc>
          <w:tcPr>
            <w:tcW w:type="dxa" w:w="5184"/>
            <w:shd w:fill="FFFFFF"/>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RETURN ON INVESTMENT</w:t>
            </w:r>
          </w:p>
          <w:p>
            <w:pPr>
              <w:spacing w:after="0"/>
            </w:pPr>
            <w:r>
              <w:rPr>
                <w:rFonts w:ascii="Aptos" w:hAnsi="Aptos" w:eastAsia="Aptos"/>
                <w:color w:val="222B33"/>
                <w:sz w:val="16"/>
              </w:rPr>
              <w:t>Founded a team that reviews funded initiatives twice each year and recommends whether they should continue, change, grow, or end.</w:t>
            </w:r>
          </w:p>
        </w:tc>
        <w:tc>
          <w:tcPr>
            <w:tcW w:type="dxa" w:w="5184"/>
            <w:shd w:fill="F3F6F8"/>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CAPITAL + STAFFING</w:t>
            </w:r>
          </w:p>
          <w:p>
            <w:pPr>
              <w:spacing w:after="0"/>
            </w:pPr>
            <w:r>
              <w:rPr>
                <w:rFonts w:ascii="Aptos" w:hAnsi="Aptos" w:eastAsia="Aptos"/>
                <w:color w:val="222B33"/>
                <w:sz w:val="16"/>
              </w:rPr>
              <w:t>Previously served on a Long-Range Planning Committee for capital-project priorities; use enrollment projections to help align staffing with school needs.</w:t>
            </w:r>
          </w:p>
        </w:tc>
      </w:tr>
      <w:tr>
        <w:tc>
          <w:tcPr>
            <w:tcW w:type="dxa" w:w="5184"/>
            <w:shd w:fill="F3F6F8"/>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SCHOOL SAFETY</w:t>
            </w:r>
          </w:p>
          <w:p>
            <w:pPr>
              <w:spacing w:after="0"/>
            </w:pPr>
            <w:r>
              <w:rPr>
                <w:rFonts w:ascii="Aptos" w:hAnsi="Aptos" w:eastAsia="Aptos"/>
                <w:color w:val="222B33"/>
                <w:sz w:val="16"/>
              </w:rPr>
              <w:t>ALICE trained; participated in tabletop exercises with school officials and first responders; as principal developed crisis plans, trained staff, and led drills.</w:t>
            </w:r>
          </w:p>
        </w:tc>
        <w:tc>
          <w:tcPr>
            <w:tcW w:type="dxa" w:w="5184"/>
            <w:shd w:fill="FFFFFF"/>
            <w:tcBorders>
              <w:top w:val="single" w:sz="2" w:color="D5DEE5"/>
              <w:bottom w:val="single" w:sz="2" w:color="D5DEE5"/>
              <w:left w:val="single" w:sz="2" w:color="D5DEE5"/>
              <w:right w:val="single" w:sz="2" w:color="D5DEE5"/>
            </w:tcBorders>
          </w:tcPr>
          <w:p>
            <w:pPr>
              <w:spacing w:after="20"/>
            </w:pPr>
            <w:r>
              <w:rPr>
                <w:rFonts w:ascii="Aptos" w:hAnsi="Aptos" w:eastAsia="Aptos"/>
                <w:b/>
                <w:color w:val="2F7A7B"/>
                <w:sz w:val="16"/>
              </w:rPr>
              <w:t>OPERATIONS UNDER PRESSURE</w:t>
            </w:r>
          </w:p>
          <w:p>
            <w:pPr>
              <w:spacing w:after="0"/>
            </w:pPr>
            <w:r>
              <w:rPr>
                <w:rFonts w:ascii="Aptos" w:hAnsi="Aptos" w:eastAsia="Aptos"/>
                <w:color w:val="222B33"/>
                <w:sz w:val="16"/>
              </w:rPr>
              <w:t>Stepped into an unexpected high school principal vacancy while continuing chief-level division responsibilities, managing school and system needs at the same time.</w:t>
            </w:r>
          </w:p>
        </w:tc>
      </w:tr>
    </w:tbl>
    <w:tbl>
      <w:tblPr>
        <w:tblW w:type="auto" w:w="0"/>
        <w:tblLook w:firstColumn="1" w:firstRow="1" w:lastColumn="0" w:lastRow="0" w:noHBand="0" w:noVBand="1" w:val="04A0"/>
      </w:tblPr>
      <w:tblGrid>
        <w:gridCol w:w="10368"/>
      </w:tblGrid>
      <w:tr>
        <w:tc>
          <w:tcPr>
            <w:tcW w:type="dxa" w:w="10368"/>
            <w:shd w:fill="F6F0E5"/>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HOW I THINK ABOUT STEWARDSHIP</w:t>
            </w:r>
          </w:p>
          <w:p>
            <w:pPr>
              <w:spacing w:after="0"/>
            </w:pPr>
            <w:r>
              <w:rPr>
                <w:rFonts w:ascii="Aptos" w:hAnsi="Aptos" w:eastAsia="Aptos"/>
                <w:color w:val="222B33"/>
                <w:sz w:val="18"/>
              </w:rPr>
              <w:t>Fiscal leadership means choosing priorities, anticipating future obligations, checking whether investments are working, and being willing to change course when the evidence does not justify continuing them.</w:t>
            </w:r>
          </w:p>
        </w:tc>
      </w:tr>
    </w:tbl>
    <w:p>
      <w:r>
        <w:br w:type="page"/>
      </w:r>
    </w:p>
    <w:p>
      <w:pPr>
        <w:spacing w:after="80"/>
      </w:pPr>
      <w:r>
        <w:rPr>
          <w:rFonts w:ascii="Aptos" w:hAnsi="Aptos" w:eastAsia="Aptos"/>
          <w:b/>
          <w:color w:val="2F7A7B"/>
          <w:sz w:val="17"/>
        </w:rPr>
        <w:t>LEADERSHIP APPROACH</w:t>
      </w:r>
    </w:p>
    <w:p>
      <w:pPr>
        <w:spacing w:after="40"/>
        <w:pBdr>
          <w:bottom w:val="single" w:sz="12" w:space="4" w:color="B48A47"/>
        </w:pBdr>
      </w:pPr>
      <w:r>
        <w:rPr>
          <w:rFonts w:ascii="Aptos Display" w:hAnsi="Aptos Display" w:eastAsia="Aptos Display"/>
          <w:b/>
          <w:color w:val="193B5A"/>
          <w:sz w:val="44"/>
        </w:rPr>
        <w:t>What I bring to the next role</w:t>
      </w:r>
    </w:p>
    <w:p>
      <w:pPr>
        <w:spacing w:after="140"/>
      </w:pPr>
      <w:r>
        <w:rPr>
          <w:rFonts w:ascii="Aptos" w:hAnsi="Aptos" w:eastAsia="Aptos"/>
          <w:color w:val="5B6570"/>
          <w:sz w:val="20"/>
        </w:rPr>
        <w:t>Experience across schools and systems, with a focus on making difficult work understandable and manageable.</w:t>
      </w:r>
    </w:p>
    <w:p>
      <w:pPr>
        <w:spacing w:after="80"/>
      </w:pPr>
      <w:r>
        <w:rPr>
          <w:rFonts w:ascii="Aptos" w:hAnsi="Aptos" w:eastAsia="Aptos"/>
          <w:b/>
          <w:color w:val="193B5A"/>
          <w:sz w:val="21"/>
        </w:rPr>
        <w:t>The work I am most proud of has a few things in common:</w:t>
      </w:r>
    </w:p>
    <w:p>
      <w:pPr>
        <w:pStyle w:val="ListBullet"/>
        <w:spacing w:after="24"/>
        <w:ind w:left="288" w:hanging="173"/>
      </w:pPr>
      <w:r>
        <w:rPr>
          <w:rFonts w:ascii="Aptos" w:hAnsi="Aptos" w:eastAsia="Aptos"/>
          <w:color w:val="222B33"/>
          <w:sz w:val="18"/>
        </w:rPr>
        <w:t>A problem was important enough to require sustained attention, not a quick initiative.</w:t>
      </w:r>
    </w:p>
    <w:p>
      <w:pPr>
        <w:pStyle w:val="ListBullet"/>
        <w:spacing w:after="24"/>
        <w:ind w:left="288" w:hanging="173"/>
      </w:pPr>
      <w:r>
        <w:rPr>
          <w:rFonts w:ascii="Aptos" w:hAnsi="Aptos" w:eastAsia="Aptos"/>
          <w:color w:val="222B33"/>
          <w:sz w:val="18"/>
        </w:rPr>
        <w:t>People closest to the work were involved in understanding the problem and shaping the response.</w:t>
      </w:r>
    </w:p>
    <w:p>
      <w:pPr>
        <w:pStyle w:val="ListBullet"/>
        <w:spacing w:after="24"/>
        <w:ind w:left="288" w:hanging="173"/>
      </w:pPr>
      <w:r>
        <w:rPr>
          <w:rFonts w:ascii="Aptos" w:hAnsi="Aptos" w:eastAsia="Aptos"/>
          <w:color w:val="222B33"/>
          <w:sz w:val="18"/>
        </w:rPr>
        <w:t>The expectations became clearer, not more complicated.</w:t>
      </w:r>
    </w:p>
    <w:p>
      <w:pPr>
        <w:pStyle w:val="ListBullet"/>
        <w:spacing w:after="24"/>
        <w:ind w:left="288" w:hanging="173"/>
      </w:pPr>
      <w:r>
        <w:rPr>
          <w:rFonts w:ascii="Aptos" w:hAnsi="Aptos" w:eastAsia="Aptos"/>
          <w:color w:val="222B33"/>
          <w:sz w:val="18"/>
        </w:rPr>
        <w:t>Support and accountability were paired together.</w:t>
      </w:r>
    </w:p>
    <w:p>
      <w:pPr>
        <w:pStyle w:val="ListBullet"/>
        <w:spacing w:after="24"/>
        <w:ind w:left="288" w:hanging="173"/>
      </w:pPr>
      <w:r>
        <w:rPr>
          <w:rFonts w:ascii="Aptos" w:hAnsi="Aptos" w:eastAsia="Aptos"/>
          <w:color w:val="222B33"/>
          <w:sz w:val="18"/>
        </w:rPr>
        <w:t>We looked at evidence often enough to adjust before the year was over.</w:t>
      </w:r>
    </w:p>
    <w:p>
      <w:pPr>
        <w:pStyle w:val="ListBullet"/>
        <w:spacing w:after="24"/>
        <w:ind w:left="288" w:hanging="173"/>
      </w:pPr>
      <w:r>
        <w:rPr>
          <w:rFonts w:ascii="Aptos" w:hAnsi="Aptos" w:eastAsia="Aptos"/>
          <w:color w:val="222B33"/>
          <w:sz w:val="18"/>
        </w:rPr>
        <w:t>The result was a stronger system that could continue without depending on one person.</w:t>
      </w:r>
    </w:p>
    <w:tbl>
      <w:tblPr>
        <w:tblW w:type="auto" w:w="0"/>
        <w:tblLook w:firstColumn="1" w:firstRow="1" w:lastColumn="0" w:lastRow="0" w:noHBand="0" w:noVBand="1" w:val="04A0"/>
      </w:tblPr>
      <w:tblGrid>
        <w:gridCol w:w="10368"/>
      </w:tblGrid>
      <w:tr>
        <w:tc>
          <w:tcPr>
            <w:tcW w:type="dxa" w:w="10368"/>
            <w:shd w:fill="EAF3F3"/>
            <w:tcBorders>
              <w:top w:val="single" w:sz="2" w:color="D5DEE5"/>
              <w:bottom w:val="single" w:sz="2" w:color="D5DEE5"/>
              <w:left w:val="single" w:sz="2" w:color="D5DEE5"/>
              <w:right w:val="single" w:sz="2" w:color="D5DEE5"/>
            </w:tcBorders>
          </w:tcPr>
          <w:p>
            <w:pPr>
              <w:spacing w:after="20"/>
            </w:pPr>
            <w:r>
              <w:rPr>
                <w:rFonts w:ascii="Aptos" w:hAnsi="Aptos" w:eastAsia="Aptos"/>
                <w:b/>
                <w:color w:val="B48A47"/>
                <w:sz w:val="16"/>
              </w:rPr>
              <w:t>IN ONE SENTENCE</w:t>
            </w:r>
          </w:p>
          <w:p>
            <w:pPr>
              <w:spacing w:after="0"/>
            </w:pPr>
            <w:r>
              <w:rPr>
                <w:rFonts w:ascii="Aptos" w:hAnsi="Aptos" w:eastAsia="Aptos"/>
                <w:color w:val="222B33"/>
                <w:sz w:val="18"/>
              </w:rPr>
              <w:t>I know schools. I know systems. I know how to help leaders improve. And I believe the job of an executive leader is to make it easier for good people to do good work for students - and to be accountable for the results.</w:t>
            </w:r>
          </w:p>
        </w:tc>
      </w:tr>
    </w:tbl>
    <w:p>
      <w:pPr>
        <w:spacing w:before="200" w:after="40"/>
      </w:pPr>
      <w:r>
        <w:rPr>
          <w:rFonts w:ascii="Aptos" w:hAnsi="Aptos" w:eastAsia="Aptos"/>
          <w:b/>
          <w:color w:val="193B5A"/>
          <w:sz w:val="20"/>
        </w:rPr>
        <w:t>Selected professional development</w:t>
      </w:r>
    </w:p>
    <w:p>
      <w:pPr>
        <w:pStyle w:val="ListBullet"/>
        <w:spacing w:after="24"/>
        <w:ind w:left="288" w:hanging="173"/>
      </w:pPr>
      <w:r>
        <w:rPr>
          <w:rFonts w:ascii="Aptos" w:hAnsi="Aptos" w:eastAsia="Aptos"/>
          <w:color w:val="222B33"/>
          <w:sz w:val="17"/>
        </w:rPr>
        <w:t>UVA Partnership for Leaders in Education (2026)</w:t>
      </w:r>
    </w:p>
    <w:p>
      <w:pPr>
        <w:pStyle w:val="ListBullet"/>
        <w:spacing w:after="24"/>
        <w:ind w:left="288" w:hanging="173"/>
      </w:pPr>
      <w:r>
        <w:rPr>
          <w:rFonts w:ascii="Aptos" w:hAnsi="Aptos" w:eastAsia="Aptos"/>
          <w:color w:val="222B33"/>
          <w:sz w:val="17"/>
        </w:rPr>
        <w:t>AASA principal-supervisor development (2025-26)</w:t>
      </w:r>
    </w:p>
    <w:p>
      <w:pPr>
        <w:pStyle w:val="ListBullet"/>
        <w:spacing w:after="24"/>
        <w:ind w:left="288" w:hanging="173"/>
      </w:pPr>
      <w:r>
        <w:rPr>
          <w:rFonts w:ascii="Aptos" w:hAnsi="Aptos" w:eastAsia="Aptos"/>
          <w:color w:val="222B33"/>
          <w:sz w:val="17"/>
        </w:rPr>
        <w:t>Data-Driven Instruction Seminar (2024)</w:t>
      </w:r>
    </w:p>
    <w:p>
      <w:pPr>
        <w:pStyle w:val="ListBullet"/>
        <w:spacing w:after="24"/>
        <w:ind w:left="288" w:hanging="173"/>
      </w:pPr>
      <w:r>
        <w:rPr>
          <w:rFonts w:ascii="Aptos" w:hAnsi="Aptos" w:eastAsia="Aptos"/>
          <w:color w:val="222B33"/>
          <w:sz w:val="17"/>
        </w:rPr>
        <w:t>Virginia Tech Aspiring Superintendents Program (2019)</w:t>
      </w:r>
    </w:p>
    <w:p>
      <w:pPr>
        <w:pStyle w:val="ListBullet"/>
        <w:spacing w:after="24"/>
        <w:ind w:left="288" w:hanging="173"/>
      </w:pPr>
      <w:r>
        <w:rPr>
          <w:rFonts w:ascii="Aptos" w:hAnsi="Aptos" w:eastAsia="Aptos"/>
          <w:color w:val="222B33"/>
          <w:sz w:val="17"/>
        </w:rPr>
        <w:t>Deeper Learning Leadership Forum (2016-18)</w:t>
      </w:r>
    </w:p>
    <w:p>
      <w:pPr>
        <w:pStyle w:val="ListBullet"/>
        <w:spacing w:after="24"/>
        <w:ind w:left="288" w:hanging="173"/>
      </w:pPr>
      <w:r>
        <w:rPr>
          <w:rFonts w:ascii="Aptos" w:hAnsi="Aptos" w:eastAsia="Aptos"/>
          <w:color w:val="222B33"/>
          <w:sz w:val="17"/>
        </w:rPr>
        <w:t>EdLeader21 division liaison</w:t>
      </w:r>
    </w:p>
    <w:p>
      <w:pPr>
        <w:spacing w:before="160"/>
        <w:jc w:val="center"/>
      </w:pPr>
      <w:r>
        <w:rPr>
          <w:rFonts w:ascii="Aptos" w:hAnsi="Aptos" w:eastAsia="Aptos"/>
          <w:b/>
          <w:color w:val="5B6570"/>
          <w:sz w:val="18"/>
        </w:rPr>
        <w:t>Patrick J. McLaughlin, Ed.D.  |  (434) 234-2844  |  pjmclaughlin74@gmail.com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70"/>
        <w:sz w:val="15"/>
      </w:rPr>
      <w:t xml:space="preserve">Executive Leadership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B6570"/>
        <w:sz w:val="14"/>
      </w:rPr>
      <w:t>PATRICK J. MCLAUGHLIN, Ed.D. | EXECUTIVE LEADERSHIP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