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56"/>
          <w:szCs w:val="56"/>
        </w:rPr>
        <w:t xml:space="preserve">PRIME™</w:t>
      </w:r>
    </w:p>
    <w:p>
      <w:pPr>
        <w:spacing w:after="60"/>
      </w:pPr>
      <w:r>
        <w:rPr>
          <w:rFonts w:ascii="Arial" w:cs="Arial" w:eastAsia="Arial" w:hAnsi="Arial"/>
          <w:b/>
          <w:bCs/>
          <w:color w:val="2E75B6"/>
          <w:sz w:val="36"/>
          <w:szCs w:val="36"/>
        </w:rPr>
        <w:t xml:space="preserve">Toward Intelligent Trade Management:</w:t>
      </w:r>
    </w:p>
    <w:p>
      <w:pPr>
        <w:spacing w:after="60"/>
      </w:pPr>
      <w:r>
        <w:rPr>
          <w:rFonts w:ascii="Arial" w:cs="Arial" w:eastAsia="Arial" w:hAnsi="Arial"/>
          <w:b w:val="false"/>
          <w:bCs w:val="false"/>
          <w:color w:val="2E75B6"/>
          <w:sz w:val="28"/>
          <w:szCs w:val="28"/>
        </w:rPr>
        <w:t xml:space="preserve">A Trade Factor Registry, AI-Assisted Advisory, and the Dark Pool Constraint Framework</w:t>
      </w:r>
    </w:p>
    <w:p>
      <w:pPr>
        <w:spacing w:after="240"/>
      </w:pPr>
      <w:r>
        <w:rPr>
          <w:rFonts w:ascii="Arial" w:cs="Arial" w:eastAsia="Arial" w:hAnsi="Arial"/>
          <w:color w:val="595959"/>
          <w:sz w:val="20"/>
          <w:szCs w:val="20"/>
        </w:rPr>
        <w:t xml:space="preserve">May 22, 2026  ·  Pat Boulay  ·  xFormative AI  ·  v1.0  ·  INTERNAL</w:t>
      </w:r>
    </w:p>
    <w:p>
      <w:pPr>
        <w:pBdr>
          <w:bottom w:val="single" w:color="2E75B6" w:sz="6" w:space="1"/>
        </w:pBdr>
        <w:spacing w:after="200"/>
      </w:pPr>
      <w:r>
        <w:t xml:space="preserve"/>
      </w:r>
    </w:p>
    <w:p>
      <w:pPr>
        <w:pStyle w:val="Heading1"/>
        <w:spacing w:after="160" w:before="320"/>
      </w:pPr>
      <w:r>
        <w:rPr>
          <w:rFonts w:ascii="Arial" w:cs="Arial" w:eastAsia="Arial" w:hAnsi="Arial"/>
          <w:b/>
          <w:bCs/>
          <w:color w:val="1F3864"/>
          <w:sz w:val="36"/>
          <w:szCs w:val="36"/>
        </w:rPr>
        <w:t xml:space="preserve">Executive Summary</w:t>
      </w:r>
    </w:p>
    <w:p>
      <w:pPr>
        <w:spacing w:after="140"/>
      </w:pPr>
      <w:r>
        <w:rPr>
          <w:rFonts w:ascii="Arial" w:cs="Arial" w:eastAsia="Arial" w:hAnsi="Arial"/>
          <w:b w:val="false"/>
          <w:bCs w:val="false"/>
          <w:color w:val="000000"/>
          <w:sz w:val="20"/>
          <w:szCs w:val="20"/>
        </w:rPr>
        <w:t xml:space="preserve">PRIME is a quantitative trading system built on scanner-driven signals: Unusual Options Activity (UOA), Post-Earnings Drift (PEAD), Momentum Timing (MTS), and Sector Recovery (SRS). To date, signals are evaluated against relatively simple threshold criteria and converted directly into trade recommendations. Experience through Sprint 4 has revealed a structural gap: the strategies carry implicit assumptions about duration, market context, and signal purity that are never made explicit. When those assumptions are violated — when a UOA signal is actually a covered-call write, or when a PEAD signal fires in a bearish sector regime, or when institutional options activity has a 45-day thesis that conflicts with a same-day entry model — the strategy fails not because the thesis is wrong but because the conditions for the thesis to hold were not present.</w:t>
      </w:r>
    </w:p>
    <w:p>
      <w:pPr>
        <w:spacing w:after="140"/>
      </w:pPr>
      <w:r>
        <w:rPr>
          <w:rFonts w:ascii="Arial" w:cs="Arial" w:eastAsia="Arial" w:hAnsi="Arial"/>
          <w:b w:val="false"/>
          <w:bCs w:val="false"/>
          <w:color w:val="000000"/>
          <w:sz w:val="20"/>
          <w:szCs w:val="20"/>
        </w:rPr>
        <w:t xml:space="preserve">This paper proposes three interconnected enhancements that together constitute a significant architectural evolution of PRIME:</w:t>
      </w:r>
    </w:p>
    <w:p>
      <w:pPr>
        <w:pStyle w:val="ListParagraph"/>
        <w:numPr>
          <w:ilvl w:val="0"/>
          <w:numId w:val="2"/>
        </w:numPr>
        <w:spacing w:after="80"/>
      </w:pPr>
      <w:r>
        <w:rPr>
          <w:rFonts w:ascii="Arial" w:cs="Arial" w:eastAsia="Arial" w:hAnsi="Arial"/>
          <w:b w:val="false"/>
          <w:bCs w:val="false"/>
          <w:sz w:val="20"/>
          <w:szCs w:val="20"/>
        </w:rPr>
        <w:t xml:space="preserve">A Trade Factor Registry that makes all relevant conditions explicit at signal time, evaluates them systematically, and carries the evaluation through the full trade lifecycle.</w:t>
      </w:r>
    </w:p>
    <w:p>
      <w:pPr>
        <w:pStyle w:val="ListParagraph"/>
        <w:numPr>
          <w:ilvl w:val="0"/>
          <w:numId w:val="2"/>
        </w:numPr>
        <w:spacing w:after="80"/>
      </w:pPr>
      <w:r>
        <w:rPr>
          <w:rFonts w:ascii="Arial" w:cs="Arial" w:eastAsia="Arial" w:hAnsi="Arial"/>
          <w:b w:val="false"/>
          <w:bCs w:val="false"/>
          <w:sz w:val="20"/>
          <w:szCs w:val="20"/>
        </w:rPr>
        <w:t xml:space="preserve">An AI Trade Factor Analyst (ML-Pattern-20) that submits the complete factor evaluation to Claude via the Anthropic API and receives a structured advisory covering recommendation, duration, entry strategy, exit framework, and a plain-English risk narrative.</w:t>
      </w:r>
    </w:p>
    <w:p>
      <w:pPr>
        <w:pStyle w:val="ListParagraph"/>
        <w:numPr>
          <w:ilvl w:val="0"/>
          <w:numId w:val="2"/>
        </w:numPr>
        <w:spacing w:after="80"/>
      </w:pPr>
      <w:r>
        <w:rPr>
          <w:rFonts w:ascii="Arial" w:cs="Arial" w:eastAsia="Arial" w:hAnsi="Arial"/>
          <w:b w:val="false"/>
          <w:bCs w:val="false"/>
          <w:sz w:val="20"/>
          <w:szCs w:val="20"/>
        </w:rPr>
        <w:t xml:space="preserve">A Dark Pool / Off-Exchange Activity Scanner (CIL-PRIME-DK-001) that identifies patterns consistent with institutional manipulation and integrates them as nullifier conditions in the factor registry.</w:t>
      </w:r>
    </w:p>
    <w:p>
      <w:pPr>
        <w:spacing w:after="120"/>
      </w:pPr>
      <w:r>
        <w:t xml:space="preserve"/>
      </w:r>
    </w:p>
    <w:p>
      <w:pPr>
        <w:spacing w:after="140"/>
      </w:pPr>
      <w:r>
        <w:rPr>
          <w:rFonts w:ascii="Arial" w:cs="Arial" w:eastAsia="Arial" w:hAnsi="Arial"/>
          <w:b w:val="false"/>
          <w:bCs w:val="false"/>
          <w:color w:val="000000"/>
          <w:sz w:val="20"/>
          <w:szCs w:val="20"/>
        </w:rPr>
        <w:t xml:space="preserve">These three components are not independent features. They form a coherent system in which deterministic evaluation produces structured inputs, AI reasoning produces structured outputs, and the outputs govern both trade entry decisions and ongoing trade maintenance. The result is a system that is transparent, auditable, and continuously improvable.</w:t>
      </w:r>
    </w:p>
    <w:p>
      <w:pPr>
        <w:spacing w:after="120"/>
      </w:pPr>
      <w:r>
        <w:t xml:space="preserve"/>
      </w:r>
    </w:p>
    <w:p>
      <w:pPr>
        <w:pStyle w:val="Heading1"/>
        <w:spacing w:after="160" w:before="320"/>
      </w:pPr>
      <w:r>
        <w:rPr>
          <w:rFonts w:ascii="Arial" w:cs="Arial" w:eastAsia="Arial" w:hAnsi="Arial"/>
          <w:b/>
          <w:bCs/>
          <w:color w:val="1F3864"/>
          <w:sz w:val="36"/>
          <w:szCs w:val="36"/>
        </w:rPr>
        <w:t xml:space="preserve">1. The Problem: Implicit Assumptions and Conflicting Prescriptions</w:t>
      </w:r>
    </w:p>
    <w:p>
      <w:pPr>
        <w:spacing w:after="140"/>
      </w:pPr>
      <w:r>
        <w:rPr>
          <w:rFonts w:ascii="Arial" w:cs="Arial" w:eastAsia="Arial" w:hAnsi="Arial"/>
          <w:b w:val="false"/>
          <w:bCs w:val="false"/>
          <w:color w:val="000000"/>
          <w:sz w:val="20"/>
          <w:szCs w:val="20"/>
        </w:rPr>
        <w:t xml:space="preserve">Every trading strategy rests on a theory of market behavior: unusual options activity predicts near-term price movement; post-earnings price anchoring creates persistent drift; sector recovery signals identify relative strength opportunities. These theories are sound. But each theory carries embedded assumptions about when and how it applies — assumptions that are currently invisible in PRIME’s signal evaluation.</w:t>
      </w:r>
    </w:p>
    <w:p>
      <w:pPr>
        <w:pStyle w:val="Heading2"/>
        <w:spacing w:after="120" w:before="280"/>
      </w:pPr>
      <w:r>
        <w:rPr>
          <w:rFonts w:ascii="Arial" w:cs="Arial" w:eastAsia="Arial" w:hAnsi="Arial"/>
          <w:b/>
          <w:bCs/>
          <w:color w:val="2E75B6"/>
          <w:sz w:val="28"/>
          <w:szCs w:val="28"/>
        </w:rPr>
        <w:t xml:space="preserve">1.1 The MSFT Case Study</w:t>
      </w:r>
    </w:p>
    <w:p>
      <w:pPr>
        <w:spacing w:after="140"/>
      </w:pPr>
      <w:r>
        <w:rPr>
          <w:rFonts w:ascii="Arial" w:cs="Arial" w:eastAsia="Arial" w:hAnsi="Arial"/>
          <w:b w:val="false"/>
          <w:bCs w:val="false"/>
          <w:color w:val="000000"/>
          <w:sz w:val="20"/>
          <w:szCs w:val="20"/>
        </w:rPr>
        <w:t xml:space="preserve">On May 21, 2026, PRIME generated a UOA LONG signal on MSFT with a Sizzle Index of 56.9x and entered a live position of 36 shares at $424.02. By end of day the position was underwater by approximately $200. The signal was genuine — the options flow was real. But at least three factors created ambiguity that was never surfaced:</w:t>
      </w:r>
    </w:p>
    <w:p>
      <w:pPr>
        <w:pStyle w:val="ListParagraph"/>
        <w:numPr>
          <w:ilvl w:val="0"/>
          <w:numId w:val="2"/>
        </w:numPr>
        <w:spacing w:after="80"/>
      </w:pPr>
      <w:r>
        <w:rPr>
          <w:rFonts w:ascii="Arial" w:cs="Arial" w:eastAsia="Arial" w:hAnsi="Arial"/>
          <w:b w:val="false"/>
          <w:bCs w:val="false"/>
          <w:sz w:val="20"/>
          <w:szCs w:val="20"/>
        </w:rPr>
        <w:t xml:space="preserve">The weighted DTE of the dominant options activity was approximately 45 days — a long-term institutional thesis, not a same-day momentum trade.</w:t>
      </w:r>
    </w:p>
    <w:p>
      <w:pPr>
        <w:pStyle w:val="ListParagraph"/>
        <w:numPr>
          <w:ilvl w:val="0"/>
          <w:numId w:val="2"/>
        </w:numPr>
        <w:spacing w:after="80"/>
      </w:pPr>
      <w:r>
        <w:rPr>
          <w:rFonts w:ascii="Arial" w:cs="Arial" w:eastAsia="Arial" w:hAnsi="Arial"/>
          <w:b w:val="false"/>
          <w:bCs w:val="false"/>
          <w:sz w:val="20"/>
          <w:szCs w:val="20"/>
        </w:rPr>
        <w:t xml:space="preserve">The SPY backdrop at signal time showed a SHORT Sizzle of 300.85x, indicating index-level bearish positioning that was structurally at odds with a single-name LONG entry.</w:t>
      </w:r>
    </w:p>
    <w:p>
      <w:pPr>
        <w:pStyle w:val="ListParagraph"/>
        <w:numPr>
          <w:ilvl w:val="0"/>
          <w:numId w:val="2"/>
        </w:numPr>
        <w:spacing w:after="80"/>
      </w:pPr>
      <w:r>
        <w:rPr>
          <w:rFonts w:ascii="Arial" w:cs="Arial" w:eastAsia="Arial" w:hAnsi="Arial"/>
          <w:b w:val="false"/>
          <w:bCs w:val="false"/>
          <w:sz w:val="20"/>
          <w:szCs w:val="20"/>
        </w:rPr>
        <w:t xml:space="preserve">The signal arrived pre-market at 06:31 ET, a time window with elevated noise and no intraday confirmation of the thesis.</w:t>
      </w:r>
    </w:p>
    <w:p>
      <w:pPr>
        <w:spacing w:after="120"/>
      </w:pPr>
      <w:r>
        <w:t xml:space="preserve"/>
      </w:r>
    </w:p>
    <w:p>
      <w:pPr>
        <w:spacing w:after="140"/>
      </w:pPr>
      <w:r>
        <w:rPr>
          <w:rFonts w:ascii="Arial" w:cs="Arial" w:eastAsia="Arial" w:hAnsi="Arial"/>
          <w:b w:val="false"/>
          <w:bCs w:val="false"/>
          <w:color w:val="000000"/>
          <w:sz w:val="20"/>
          <w:szCs w:val="20"/>
        </w:rPr>
        <w:t xml:space="preserve">None of these factors individually would have nullified the signal. But together they described a trade that required a longer hold expectation, a more patient entry approach, and a clearer exit framework than the one applied. Without a system to capture, evaluate, and surface these factors, the trader is left to intuition — which is inconsistent, unscalable, and invisible to retrospective analysis.</w:t>
      </w:r>
    </w:p>
    <w:p>
      <w:pPr>
        <w:pStyle w:val="Heading2"/>
        <w:spacing w:after="120" w:before="280"/>
      </w:pPr>
      <w:r>
        <w:rPr>
          <w:rFonts w:ascii="Arial" w:cs="Arial" w:eastAsia="Arial" w:hAnsi="Arial"/>
          <w:b/>
          <w:bCs/>
          <w:color w:val="2E75B6"/>
          <w:sz w:val="28"/>
          <w:szCs w:val="28"/>
        </w:rPr>
        <w:t xml:space="preserve">1.2 The General Pattern</w:t>
      </w:r>
    </w:p>
    <w:p>
      <w:pPr>
        <w:spacing w:after="140"/>
      </w:pPr>
      <w:r>
        <w:rPr>
          <w:rFonts w:ascii="Arial" w:cs="Arial" w:eastAsia="Arial" w:hAnsi="Arial"/>
          <w:b w:val="false"/>
          <w:bCs w:val="false"/>
          <w:color w:val="000000"/>
          <w:sz w:val="20"/>
          <w:szCs w:val="20"/>
        </w:rPr>
        <w:t xml:space="preserve">The MSFT case is not anomalous. It illustrates a pattern that appears across UOA and PEAD trades: strategies are designed around a core thesis but the thesis carries a duration assumption that is never explicitly evaluated. A UOA signal with a 45-day DTE is fundamentally different from one with a 3-day DTE, even if both show similar Sizzle levels. A PEAD signal that fires in a BEARISH sector regime is fundamentally different from one that fires in a BULLISH regime. These differences affect every dimension of the trade: whether to enter at all, when to enter, how much to enter, how long to hold, and when to exit.</w:t>
      </w:r>
    </w:p>
    <w:p>
      <w:pPr>
        <w:spacing w:after="140"/>
      </w:pPr>
      <w:r>
        <w:rPr>
          <w:rFonts w:ascii="Arial" w:cs="Arial" w:eastAsia="Arial" w:hAnsi="Arial"/>
          <w:b w:val="false"/>
          <w:bCs w:val="false"/>
          <w:color w:val="000000"/>
          <w:sz w:val="20"/>
          <w:szCs w:val="20"/>
        </w:rPr>
        <w:t xml:space="preserve">The solution is not to add more threshold rules. Thresholds cannot capture the interaction effects between factors. What is needed is a framework that makes all relevant factors explicit, evaluates them systematically, and reasons over them coherently — producing a recommendation that accounts for the full picture simultaneously.</w:t>
      </w:r>
    </w:p>
    <w:p>
      <w:pPr>
        <w:spacing w:after="120"/>
      </w:pPr>
      <w:r>
        <w:t xml:space="preserve"/>
      </w:r>
    </w:p>
    <w:p>
      <w:pPr>
        <w:pStyle w:val="Heading1"/>
        <w:spacing w:after="160" w:before="320"/>
      </w:pPr>
      <w:r>
        <w:rPr>
          <w:rFonts w:ascii="Arial" w:cs="Arial" w:eastAsia="Arial" w:hAnsi="Arial"/>
          <w:b/>
          <w:bCs/>
          <w:color w:val="1F3864"/>
          <w:sz w:val="36"/>
          <w:szCs w:val="36"/>
        </w:rPr>
        <w:t xml:space="preserve">2. The Trade Factor Registry (CIL-PRIME-TF-001)</w:t>
      </w:r>
    </w:p>
    <w:p>
      <w:pPr>
        <w:spacing w:after="140"/>
      </w:pPr>
      <w:r>
        <w:rPr>
          <w:rFonts w:ascii="Arial" w:cs="Arial" w:eastAsia="Arial" w:hAnsi="Arial"/>
          <w:b w:val="false"/>
          <w:bCs w:val="false"/>
          <w:color w:val="000000"/>
          <w:sz w:val="20"/>
          <w:szCs w:val="20"/>
        </w:rPr>
        <w:t xml:space="preserve">The Trade Factor Registry is the foundational architectural change proposed in this paper. It defines, for each strategy, the complete set of conditions that govern whether and how a signal should be acted upon. At signal generation time, every factor in the set is evaluated against available market data, and the results are stored as a structured record — the Trade Factor Evaluation — alongside the trade in prime_trade_log.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20"/>
              <w:left w:type="dxa" w:w="200"/>
              <w:bottom w:type="dxa" w:w="120"/>
              <w:right w:type="dxa" w:w="200"/>
            </w:tcMar>
          </w:tcPr>
          <w:p>
            <w:r>
              <w:rPr>
                <w:rFonts w:ascii="Arial" w:cs="Arial" w:eastAsia="Arial" w:hAnsi="Arial"/>
                <w:color w:val="000000"/>
                <w:sz w:val="20"/>
                <w:szCs w:val="20"/>
              </w:rPr>
              <w:t xml:space="preserve">Architectural Principle: No trade recommendation is complete without a fully populated Trade Factor Evaluation. A signal without factor evaluation is a data point, not a recommendation.</w:t>
            </w:r>
          </w:p>
        </w:tc>
      </w:tr>
    </w:tbl>
    <w:p>
      <w:pPr>
        <w:spacing w:after="120"/>
      </w:pPr>
      <w:r>
        <w:t xml:space="preserve"/>
      </w:r>
    </w:p>
    <w:p>
      <w:pPr>
        <w:pStyle w:val="Heading2"/>
        <w:spacing w:after="120" w:before="280"/>
      </w:pPr>
      <w:r>
        <w:rPr>
          <w:rFonts w:ascii="Arial" w:cs="Arial" w:eastAsia="Arial" w:hAnsi="Arial"/>
          <w:b/>
          <w:bCs/>
          <w:color w:val="2E75B6"/>
          <w:sz w:val="28"/>
          <w:szCs w:val="28"/>
        </w:rPr>
        <w:t xml:space="preserve">2.1 Factor Taxonomy</w:t>
      </w:r>
    </w:p>
    <w:p>
      <w:pPr>
        <w:spacing w:after="140"/>
      </w:pPr>
      <w:r>
        <w:rPr>
          <w:rFonts w:ascii="Arial" w:cs="Arial" w:eastAsia="Arial" w:hAnsi="Arial"/>
          <w:b w:val="false"/>
          <w:bCs w:val="false"/>
          <w:color w:val="000000"/>
          <w:sz w:val="20"/>
          <w:szCs w:val="20"/>
        </w:rPr>
        <w:t xml:space="preserve">Factors fall into five categories. Each category produces a different type of output that feeds into a different part of the trade lifecycle.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2280"/>
        <w:gridCol w:w="1800"/>
      </w:tblGrid>
      <w:tr>
        <w:trPr>
          <w:tblHeader/>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Category</w:t>
            </w:r>
          </w:p>
        </w:tc>
        <w:tc>
          <w:tcPr>
            <w:tcW w:type="dxa" w:w="3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Key Factors</w:t>
            </w:r>
          </w:p>
        </w:tc>
        <w:tc>
          <w:tcPr>
            <w:tcW w:type="dxa" w:w="2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Output Values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Trade Lifecycle Impact</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20"/>
                <w:szCs w:val="20"/>
              </w:rPr>
              <w:t xml:space="preserve">Duration Classifiers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Weighted DTE of options activity; PEAD drift velocity; SRS sector regime; Historical avg hold by strategy + score band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 / MT / LT + confidence + rationale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Hold period; monitoring frequency; interpretation of short-term price moves</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20"/>
                <w:szCs w:val="20"/>
              </w:rPr>
              <w:t xml:space="preserve">Entry Modifiers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Signal confirmation timing; price extension before signal; intraday trend alignment; volume vs. ADV; tranche logic</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IMMEDIATE_FULL / IMMEDIATE_HALF / WAIT / SCALED + trigger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When and how much to enter; confirmation requirements</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Exit Triggers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Price target; stop loss; SMA break; DTE-based time stop; drift score decay; sector regime flip; duration mismatch resolution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Prioritized trigger list with ARMED / TRIGGERED / FIRED 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When to close; which condition fires first governs exit</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bCs/>
                <w:color w:val="000000"/>
                <w:sz w:val="20"/>
                <w:szCs w:val="20"/>
              </w:rPr>
              <w:t xml:space="preserve">Nullifiers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Covered-call pattern; dark pool suspect flags; contradictory signal; hard BEARISH regime; dual DK flags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CLEAR / SUSPECT / NULLIFIED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Prevents entry or recommends immediate exit when strategy thesis cannot hold</w:t>
            </w:r>
          </w:p>
        </w:tc>
      </w:tr>
      <w:tr>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bCs/>
                <w:color w:val="000000"/>
                <w:sz w:val="20"/>
                <w:szCs w:val="20"/>
              </w:rPr>
              <w:t xml:space="preserve">Trade Maintenance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Smart money confirmation; institutional divergence; earnings proximity; macro regime shift; position correlation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Active maintenance flag list, updated each scan cycle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Ongoing monitoring of open positions; triggers review without necessarily closing</w:t>
            </w:r>
          </w:p>
        </w:tc>
      </w:tr>
    </w:tbl>
    <w:p>
      <w:pPr>
        <w:spacing w:after="120"/>
      </w:pPr>
      <w:r>
        <w:t xml:space="preserve"/>
      </w:r>
    </w:p>
    <w:p>
      <w:pPr>
        <w:pStyle w:val="Heading2"/>
        <w:spacing w:after="120" w:before="280"/>
      </w:pPr>
      <w:r>
        <w:rPr>
          <w:rFonts w:ascii="Arial" w:cs="Arial" w:eastAsia="Arial" w:hAnsi="Arial"/>
          <w:b/>
          <w:bCs/>
          <w:color w:val="2E75B6"/>
          <w:sz w:val="28"/>
          <w:szCs w:val="28"/>
        </w:rPr>
        <w:t xml:space="preserve">2.2 Duration Classifiers in Detail</w:t>
      </w:r>
    </w:p>
    <w:p>
      <w:pPr>
        <w:spacing w:after="140"/>
      </w:pPr>
      <w:r>
        <w:rPr>
          <w:rFonts w:ascii="Arial" w:cs="Arial" w:eastAsia="Arial" w:hAnsi="Arial"/>
          <w:b w:val="false"/>
          <w:bCs w:val="false"/>
          <w:color w:val="000000"/>
          <w:sz w:val="20"/>
          <w:szCs w:val="20"/>
        </w:rPr>
        <w:t xml:space="preserve">Duration is the most consequential factor because it governs the interpretation of all subsequent price action. A position entered on a long-term thesis should not be evaluated against short-term price movements. The primary duration classifier is the weighted DTE of the dominant options activity, as defined in UOA-ENH-001: ST (short-term) for DTE ≤ 10 days, MT (medium-term) for 11–30 days, and LT (long-term) for DTE &gt; 30 days.</w:t>
      </w:r>
    </w:p>
    <w:p>
      <w:pPr>
        <w:spacing w:after="140"/>
      </w:pPr>
      <w:r>
        <w:rPr>
          <w:rFonts w:ascii="Arial" w:cs="Arial" w:eastAsia="Arial" w:hAnsi="Arial"/>
          <w:b w:val="false"/>
          <w:bCs w:val="false"/>
          <w:color w:val="000000"/>
          <w:sz w:val="20"/>
          <w:szCs w:val="20"/>
        </w:rPr>
        <w:t xml:space="preserve">However, the DTE classification is not the sole determinant. PEAD drift velocity — how rapidly price has moved since the earnings event — provides an independent duration signal. Fast drift suggests near-term exhaustion (ST/MT); slow or no drift suggests the market has not yet fully priced the earnings surprise (MT/LT). SRS sector regime adds a third dimension: a BULLISH regime supports longer holds; a BEARISH regime compresses expected duration regardless of DTE.</w:t>
      </w:r>
    </w:p>
    <w:p>
      <w:pPr>
        <w:spacing w:after="140"/>
      </w:pPr>
      <w:r>
        <w:rPr>
          <w:rFonts w:ascii="Arial" w:cs="Arial" w:eastAsia="Arial" w:hAnsi="Arial"/>
          <w:b w:val="false"/>
          <w:bCs w:val="false"/>
          <w:color w:val="000000"/>
          <w:sz w:val="20"/>
          <w:szCs w:val="20"/>
        </w:rPr>
        <w:t xml:space="preserve">Historical average hold time for the specific strategy and score band, derived from prime_trade_log outcomes, provides a ground-truth calibration that will improve as PRIME accumulates history. This feed is the entry point for the ML feedback loop described in Section 4.</w:t>
      </w:r>
    </w:p>
    <w:p>
      <w:pPr>
        <w:pStyle w:val="Heading2"/>
        <w:spacing w:after="120" w:before="280"/>
      </w:pPr>
      <w:r>
        <w:rPr>
          <w:rFonts w:ascii="Arial" w:cs="Arial" w:eastAsia="Arial" w:hAnsi="Arial"/>
          <w:b/>
          <w:bCs/>
          <w:color w:val="2E75B6"/>
          <w:sz w:val="28"/>
          <w:szCs w:val="28"/>
        </w:rPr>
        <w:t xml:space="preserve">2.3 Nullifiers in Detail</w:t>
      </w:r>
    </w:p>
    <w:p>
      <w:pPr>
        <w:spacing w:after="140"/>
      </w:pPr>
      <w:r>
        <w:rPr>
          <w:rFonts w:ascii="Arial" w:cs="Arial" w:eastAsia="Arial" w:hAnsi="Arial"/>
          <w:b w:val="false"/>
          <w:bCs w:val="false"/>
          <w:color w:val="000000"/>
          <w:sz w:val="20"/>
          <w:szCs w:val="20"/>
        </w:rPr>
        <w:t xml:space="preserve">Nullifiers are the most critical factor category because they represent conditions under which the strategy’s core thesis cannot be expected to hold. They must be evaluated before any entry decision and must override all positive factor evaluations when present.</w:t>
      </w:r>
    </w:p>
    <w:p>
      <w:pPr>
        <w:pStyle w:val="ListParagraph"/>
        <w:numPr>
          <w:ilvl w:val="0"/>
          <w:numId w:val="2"/>
        </w:numPr>
        <w:spacing w:after="80"/>
      </w:pPr>
      <w:r>
        <w:rPr>
          <w:rFonts w:ascii="Arial" w:cs="Arial" w:eastAsia="Arial" w:hAnsi="Arial"/>
          <w:b w:val="false"/>
          <w:bCs w:val="false"/>
          <w:sz w:val="20"/>
          <w:szCs w:val="20"/>
        </w:rPr>
        <w:t xml:space="preserve">Covered-call pattern: A call volume / open interest ratio below 1.5, combined with strike distribution clustered within 2% above current price, indicates that the unusual call volume is likely covered-call writing activity rather than a directional bet. The signal looks bullish but the underlying intent is neutral-to-bearish. This is a nullifier for ST signals and a SUSPECT flag for LT signals.</w:t>
      </w:r>
    </w:p>
    <w:p>
      <w:pPr>
        <w:pStyle w:val="ListParagraph"/>
        <w:numPr>
          <w:ilvl w:val="0"/>
          <w:numId w:val="2"/>
        </w:numPr>
        <w:spacing w:after="80"/>
      </w:pPr>
      <w:r>
        <w:rPr>
          <w:rFonts w:ascii="Arial" w:cs="Arial" w:eastAsia="Arial" w:hAnsi="Arial"/>
          <w:b w:val="false"/>
          <w:bCs w:val="false"/>
          <w:sz w:val="20"/>
          <w:szCs w:val="20"/>
        </w:rPr>
        <w:t xml:space="preserve">Dark pool suspect — price-movement check: If price moved more than 2% in the signal direction before the UOA signal appeared in the same session, this suggests potential manipulation — driving price before going short, or covering a short before the visible signal fires. This is a nullifier for ST signals and a SUSPECT flag for LT signals.</w:t>
      </w:r>
    </w:p>
    <w:p>
      <w:pPr>
        <w:pStyle w:val="ListParagraph"/>
        <w:numPr>
          <w:ilvl w:val="0"/>
          <w:numId w:val="2"/>
        </w:numPr>
        <w:spacing w:after="80"/>
      </w:pPr>
      <w:r>
        <w:rPr>
          <w:rFonts w:ascii="Arial" w:cs="Arial" w:eastAsia="Arial" w:hAnsi="Arial"/>
          <w:b w:val="false"/>
          <w:bCs w:val="false"/>
          <w:sz w:val="20"/>
          <w:szCs w:val="20"/>
        </w:rPr>
        <w:t xml:space="preserve">Contradictory signal: An active opposing signal from another PRIME strategy on the same symbol represents a direct thesis conflict. This is a nullifier unless the strategies are explicitly designed to be independent.</w:t>
      </w:r>
    </w:p>
    <w:p>
      <w:pPr>
        <w:pStyle w:val="ListParagraph"/>
        <w:numPr>
          <w:ilvl w:val="0"/>
          <w:numId w:val="2"/>
        </w:numPr>
        <w:spacing w:after="80"/>
      </w:pPr>
      <w:r>
        <w:rPr>
          <w:rFonts w:ascii="Arial" w:cs="Arial" w:eastAsia="Arial" w:hAnsi="Arial"/>
          <w:b w:val="false"/>
          <w:bCs w:val="false"/>
          <w:sz w:val="20"/>
          <w:szCs w:val="20"/>
        </w:rPr>
        <w:t xml:space="preserve">Sector regime hard BEARISH: A confirmed BEARISH SRS regime while a LONG signal is generated represents a structural headwind that overrides individual signal quality except for high-conviction LT signals (score &gt; 75).</w:t>
      </w:r>
    </w:p>
    <w:p>
      <w:pPr>
        <w:pStyle w:val="ListParagraph"/>
        <w:numPr>
          <w:ilvl w:val="0"/>
          <w:numId w:val="2"/>
        </w:numPr>
        <w:spacing w:after="80"/>
      </w:pPr>
      <w:r>
        <w:rPr>
          <w:rFonts w:ascii="Arial" w:cs="Arial" w:eastAsia="Arial" w:hAnsi="Arial"/>
          <w:b w:val="false"/>
          <w:bCs w:val="false"/>
          <w:sz w:val="20"/>
          <w:szCs w:val="20"/>
        </w:rPr>
        <w:t xml:space="preserve">Dual dark pool flags: Two or more dark pool suspect conditions present simultaneously on the same signal constitute a hard nullifier regardless of duration or score.</w:t>
      </w:r>
    </w:p>
    <w:p>
      <w:pPr>
        <w:spacing w:after="120"/>
      </w:pPr>
      <w:r>
        <w:t xml:space="preserve"/>
      </w:r>
    </w:p>
    <w:p>
      <w:pPr>
        <w:pStyle w:val="Heading1"/>
        <w:spacing w:after="160" w:before="320"/>
      </w:pPr>
      <w:r>
        <w:rPr>
          <w:rFonts w:ascii="Arial" w:cs="Arial" w:eastAsia="Arial" w:hAnsi="Arial"/>
          <w:b/>
          <w:bCs/>
          <w:color w:val="1F3864"/>
          <w:sz w:val="36"/>
          <w:szCs w:val="36"/>
        </w:rPr>
        <w:t xml:space="preserve">3. The AI Trade Factor Analyst (ML-Pattern-20)</w:t>
      </w:r>
    </w:p>
    <w:p>
      <w:pPr>
        <w:spacing w:after="140"/>
      </w:pPr>
      <w:r>
        <w:rPr>
          <w:rFonts w:ascii="Arial" w:cs="Arial" w:eastAsia="Arial" w:hAnsi="Arial"/>
          <w:b w:val="false"/>
          <w:bCs w:val="false"/>
          <w:color w:val="000000"/>
          <w:sz w:val="20"/>
          <w:szCs w:val="20"/>
        </w:rPr>
        <w:t xml:space="preserve">The Trade Factor Registry produces a complete, structured evaluation of all relevant conditions for a given signal. That evaluation is necessary but not sufficient. The interaction effects between factors — how a long DTE modifies the interpretation of a SUSPECT nullifier, how a MIXED sector regime interacts with a high Sizzle index, how pre-market timing compounds the uncertainty of a borderline covered-call pattern — cannot be captured by deterministic threshold rules without enumerating every possible combination. The combinatorial space is too large and too context-dependent.</w:t>
      </w:r>
    </w:p>
    <w:p>
      <w:pPr>
        <w:spacing w:after="140"/>
      </w:pPr>
      <w:r>
        <w:rPr>
          <w:rFonts w:ascii="Arial" w:cs="Arial" w:eastAsia="Arial" w:hAnsi="Arial"/>
          <w:b w:val="false"/>
          <w:bCs w:val="false"/>
          <w:color w:val="000000"/>
          <w:sz w:val="20"/>
          <w:szCs w:val="20"/>
        </w:rPr>
        <w:t xml:space="preserve">ML-Pattern-20 proposes a hybrid architecture: the deterministic layer assembles the facts; Claude provides the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color w:val="000000"/>
                <w:sz w:val="20"/>
                <w:szCs w:val="20"/>
              </w:rPr>
              <w:t xml:space="preserve">Architectural Distinction: PRIME’s code is responsible for data collection, factor evaluation, and structured output. Claude is responsible for reasoning over factor interactions, identifying non-obvious conflicts, and producing a coherent recommendation that accounts for the full factor set simultaneously. This division of responsibility means that as new factors are added to the registry, Claude’s reasoning automatically incorporates them without requiring new rule code.</w:t>
            </w:r>
          </w:p>
        </w:tc>
      </w:tr>
    </w:tbl>
    <w:p>
      <w:pPr>
        <w:spacing w:after="120"/>
      </w:pPr>
      <w:r>
        <w:t xml:space="preserve"/>
      </w:r>
    </w:p>
    <w:p>
      <w:pPr>
        <w:pStyle w:val="Heading2"/>
        <w:spacing w:after="120" w:before="280"/>
      </w:pPr>
      <w:r>
        <w:rPr>
          <w:rFonts w:ascii="Arial" w:cs="Arial" w:eastAsia="Arial" w:hAnsi="Arial"/>
          <w:b/>
          <w:bCs/>
          <w:color w:val="2E75B6"/>
          <w:sz w:val="28"/>
          <w:szCs w:val="28"/>
        </w:rPr>
        <w:t xml:space="preserve">3.1 Prompt Architecture</w:t>
      </w:r>
    </w:p>
    <w:p>
      <w:pPr>
        <w:spacing w:after="140"/>
      </w:pPr>
      <w:r>
        <w:rPr>
          <w:rFonts w:ascii="Arial" w:cs="Arial" w:eastAsia="Arial" w:hAnsi="Arial"/>
          <w:b w:val="false"/>
          <w:bCs w:val="false"/>
          <w:color w:val="000000"/>
          <w:sz w:val="20"/>
          <w:szCs w:val="20"/>
        </w:rPr>
        <w:t xml:space="preserve">The prompt submitted to Claude is structured in three sections: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Section</w:t>
            </w:r>
          </w:p>
        </w:tc>
        <w:tc>
          <w:tcPr>
            <w:tcW w:type="dxa" w:w="7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Content</w:t>
            </w:r>
          </w:p>
        </w:tc>
      </w:tr>
      <w:tr>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20"/>
                <w:szCs w:val="20"/>
              </w:rPr>
              <w:t xml:space="preserve">System Context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Static — loaded once per session. Establishes Claude's role as AI Trade Factor Analyst. Defines the five factor categories, their possible values, and the decision space. Specifies advisory-only output (no autonomous execution). Defines required JSON response schema.</w:t>
            </w:r>
          </w:p>
        </w:tc>
      </w:tr>
      <w:tr>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20"/>
                <w:szCs w:val="20"/>
              </w:rPr>
              <w:t xml:space="preserve">Trade Factor Record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Dynamic — assembled per signal. Complete evaluated Trade Factor record for the candidate signal. Every field is included even if value is CLEAR or N/A. Covers: strategy, symbol, sector, signal timestamp, direction, sizzle index, options volume, score, all five factor category evaluations, SPY context, account context.</w:t>
            </w:r>
          </w:p>
        </w:tc>
      </w:tr>
      <w:tr>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Advisory Request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Static per signal type. Instructs Claude to respond in the exact JSON format specified, with no text outside the JSON structure.</w:t>
            </w:r>
          </w:p>
        </w:tc>
      </w:tr>
    </w:tbl>
    <w:p>
      <w:pPr>
        <w:spacing w:after="120"/>
      </w:pPr>
      <w:r>
        <w:t xml:space="preserve"/>
      </w:r>
    </w:p>
    <w:p>
      <w:pPr>
        <w:spacing w:after="140"/>
      </w:pPr>
      <w:r>
        <w:rPr>
          <w:rFonts w:ascii="Arial" w:cs="Arial" w:eastAsia="Arial" w:hAnsi="Arial"/>
          <w:b w:val="false"/>
          <w:bCs w:val="false"/>
          <w:color w:val="000000"/>
          <w:sz w:val="20"/>
          <w:szCs w:val="20"/>
        </w:rPr>
        <w:t xml:space="preserve">The Trade Factor Record section is the core of the prompt. It includes every evaluated factor field, even those with CLEAR or N/A values. Omitting fields creates ambiguity about whether they were evaluated or simply missing. The record is structured as labeled text rather than raw JSON to maximize Claude’s ability to reason over the content in natural language while still being parseable.</w:t>
      </w:r>
    </w:p>
    <w:p>
      <w:pPr>
        <w:pStyle w:val="Heading2"/>
        <w:spacing w:after="120" w:before="280"/>
      </w:pPr>
      <w:r>
        <w:rPr>
          <w:rFonts w:ascii="Arial" w:cs="Arial" w:eastAsia="Arial" w:hAnsi="Arial"/>
          <w:b/>
          <w:bCs/>
          <w:color w:val="2E75B6"/>
          <w:sz w:val="28"/>
          <w:szCs w:val="28"/>
        </w:rPr>
        <w:t xml:space="preserve">3.2 Response Structure</w:t>
      </w:r>
    </w:p>
    <w:p>
      <w:pPr>
        <w:spacing w:after="140"/>
      </w:pPr>
      <w:r>
        <w:rPr>
          <w:rFonts w:ascii="Arial" w:cs="Arial" w:eastAsia="Arial" w:hAnsi="Arial"/>
          <w:b w:val="false"/>
          <w:bCs w:val="false"/>
          <w:color w:val="000000"/>
          <w:sz w:val="20"/>
          <w:szCs w:val="20"/>
        </w:rPr>
        <w:t xml:space="preserve">Claude returns a JSON object with the following fields, which PRIME parses and stores as the claude_advisory field in prime_trade_log: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rPr>
          <w:tblHeader/>
        </w:trPr>
        <w:tc>
          <w:tcPr>
            <w:tcW w:type="dxa" w:w="25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Field</w:t>
            </w:r>
          </w:p>
        </w:tc>
        <w:tc>
          <w:tcPr>
            <w:tcW w:type="dxa" w:w="25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Values</w:t>
            </w:r>
          </w:p>
        </w:tc>
        <w:tc>
          <w:tcPr>
            <w:tcW w:type="dxa" w:w="43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Description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recommendation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ENTER / MONITOR / PASS / NULLIFY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Primary trading recommendation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conviction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 / MEDIUM / LOW</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Claude's confidence level in the recommendation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duration_guidance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 / MT / LT + rationale + override flag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Duration class with reasoning; flags if Claude overrides deterministic classification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entry_strategy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Method + trigger + rationale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How and when to enter the position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exit_framework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Primary + secondary trigger + time stop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Ordered exit conditions with rationale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key_risks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Array of strings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Top risks to the trade thesis (max 3)</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risk_narrative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Plain English, 3-5 sentences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Human-readable summary of the full factor picture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factor_interactions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Plain English, 2-3 sentences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Non-obvious interactions between factors that drive the recommendation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maintenance_flags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Array of strings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Conditions to monitor throughout the hold period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confidence_note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Plain English</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What new information would change the recommendation</w:t>
            </w:r>
          </w:p>
        </w:tc>
      </w:tr>
    </w:tbl>
    <w:p>
      <w:pPr>
        <w:spacing w:after="120"/>
      </w:pPr>
      <w:r>
        <w:t xml:space="preserve"/>
      </w:r>
    </w:p>
    <w:p>
      <w:pPr>
        <w:pStyle w:val="Heading2"/>
        <w:spacing w:after="120" w:before="280"/>
      </w:pPr>
      <w:r>
        <w:rPr>
          <w:rFonts w:ascii="Arial" w:cs="Arial" w:eastAsia="Arial" w:hAnsi="Arial"/>
          <w:b/>
          <w:bCs/>
          <w:color w:val="2E75B6"/>
          <w:sz w:val="28"/>
          <w:szCs w:val="28"/>
        </w:rPr>
        <w:t xml:space="preserve">3.3 Advisory as an Evolving Record</w:t>
      </w:r>
    </w:p>
    <w:p>
      <w:pPr>
        <w:spacing w:after="140"/>
      </w:pPr>
      <w:r>
        <w:rPr>
          <w:rFonts w:ascii="Arial" w:cs="Arial" w:eastAsia="Arial" w:hAnsi="Arial"/>
          <w:b w:val="false"/>
          <w:bCs w:val="false"/>
          <w:color w:val="000000"/>
          <w:sz w:val="20"/>
          <w:szCs w:val="20"/>
        </w:rPr>
        <w:t xml:space="preserve">The Claude advisory is not a one-time output. It is refreshed throughout the trade lifecycle when significant conditions change: when nullifier status changes (a new flag detected or an existing flag cleared), when duration class shifts (as time passes and DTE decreases), when a new contradictory signal appears on the same symbol, or when a manual refresh is requested from the Trade Management Panel.</w:t>
      </w:r>
    </w:p>
    <w:p>
      <w:pPr>
        <w:spacing w:after="140"/>
      </w:pPr>
      <w:r>
        <w:rPr>
          <w:rFonts w:ascii="Arial" w:cs="Arial" w:eastAsia="Arial" w:hAnsi="Arial"/>
          <w:b w:val="false"/>
          <w:bCs w:val="false"/>
          <w:color w:val="000000"/>
          <w:sz w:val="20"/>
          <w:szCs w:val="20"/>
        </w:rPr>
        <w:t xml:space="preserve">Each refresh creates a new timestamped advisory record. Historical advisories are retained for the life of the trade so the evolution of Claude’s assessment can be reviewed at exit and used to improve future prompts. The progression from ENTER to MONITOR to PASS as conditions evolve is as analytically valuable as the initial recommendation.</w:t>
      </w:r>
    </w:p>
    <w:p>
      <w:pPr>
        <w:pStyle w:val="Heading2"/>
        <w:spacing w:after="120" w:before="280"/>
      </w:pPr>
      <w:r>
        <w:rPr>
          <w:rFonts w:ascii="Arial" w:cs="Arial" w:eastAsia="Arial" w:hAnsi="Arial"/>
          <w:b/>
          <w:bCs/>
          <w:color w:val="2E75B6"/>
          <w:sz w:val="28"/>
          <w:szCs w:val="28"/>
        </w:rPr>
        <w:t xml:space="preserve">3.4 Advisory is Advisory</w:t>
      </w:r>
    </w:p>
    <w:p>
      <w:pPr>
        <w:spacing w:after="140"/>
      </w:pPr>
      <w:r>
        <w:rPr>
          <w:rFonts w:ascii="Arial" w:cs="Arial" w:eastAsia="Arial" w:hAnsi="Arial"/>
          <w:b w:val="false"/>
          <w:bCs w:val="false"/>
          <w:color w:val="000000"/>
          <w:sz w:val="20"/>
          <w:szCs w:val="20"/>
        </w:rPr>
        <w:t xml:space="preserve">This point merits explicit statement. Claude’s output is advisory. The human trader makes all final decisions. PRIME displays Claude’s recommendation and rationale in the Trade Management Panel; it does not execute autonomously based on Claude’s output. The system must never block a trade because the API call failed. Claude’s advisory is an enhancement, not a gate.</w:t>
      </w:r>
    </w:p>
    <w:p>
      <w:pPr>
        <w:spacing w:after="140"/>
      </w:pPr>
      <w:r>
        <w:rPr>
          <w:rFonts w:ascii="Arial" w:cs="Arial" w:eastAsia="Arial" w:hAnsi="Arial"/>
          <w:b w:val="false"/>
          <w:bCs w:val="false"/>
          <w:color w:val="000000"/>
          <w:sz w:val="20"/>
          <w:szCs w:val="20"/>
        </w:rPr>
        <w:t xml:space="preserve">This constraint is not a temporary limitation to be removed in a future version. It reflects a considered architectural decision: quantitative trading systems that remove human judgment from the loop create risks that are difficult to bound. The value of the AI layer is in the quality of the decision support it provides, not in the speed at which it can execute without human review.</w:t>
      </w:r>
    </w:p>
    <w:p>
      <w:pPr>
        <w:spacing w:after="120"/>
      </w:pPr>
      <w:r>
        <w:t xml:space="preserve"/>
      </w:r>
    </w:p>
    <w:p>
      <w:pPr>
        <w:pStyle w:val="Heading1"/>
        <w:spacing w:after="160" w:before="320"/>
      </w:pPr>
      <w:r>
        <w:rPr>
          <w:rFonts w:ascii="Arial" w:cs="Arial" w:eastAsia="Arial" w:hAnsi="Arial"/>
          <w:b/>
          <w:bCs/>
          <w:color w:val="1F3864"/>
          <w:sz w:val="36"/>
          <w:szCs w:val="36"/>
        </w:rPr>
        <w:t xml:space="preserve">4. The Trade Management Panel</w:t>
      </w:r>
    </w:p>
    <w:p>
      <w:pPr>
        <w:spacing w:after="140"/>
      </w:pPr>
      <w:r>
        <w:rPr>
          <w:rFonts w:ascii="Arial" w:cs="Arial" w:eastAsia="Arial" w:hAnsi="Arial"/>
          <w:b w:val="false"/>
          <w:bCs w:val="false"/>
          <w:color w:val="000000"/>
          <w:sz w:val="20"/>
          <w:szCs w:val="20"/>
        </w:rPr>
        <w:t xml:space="preserve">The Trade Management Panel is the user-facing component that surfaces the Trade Factor Evaluation and Claude advisory for each open position. It appears as a new panel section on every trader tab (UOA, PEAD, MTS, SRS, and future tabs), associated with each open position from that strategy.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Panel Element</w:t>
            </w:r>
          </w:p>
        </w:tc>
        <w:tc>
          <w:tcPr>
            <w:tcW w:type="dxa" w:w="6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Content and Behavior</w:t>
            </w:r>
          </w:p>
        </w:tc>
      </w:tr>
      <w:tr>
        <w:tc>
          <w:tcPr>
            <w:tcW w:type="dxa" w:w="28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20"/>
                <w:szCs w:val="20"/>
              </w:rPr>
              <w:t xml:space="preserve">Signal Summary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Symbol, direction, entry price, entry date, current price, current P&amp;L — live-updated on each scan cycle</w:t>
            </w:r>
          </w:p>
        </w:tc>
      </w:tr>
      <w:tr>
        <w:tc>
          <w:tcPr>
            <w:tcW w:type="dxa" w:w="28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20"/>
                <w:szCs w:val="20"/>
              </w:rPr>
              <w:t xml:space="preserve">Duration Class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 / MT / LT badge with DTE or drift velocity basis; override indicator if Claude modified the deterministic classification</w:t>
            </w:r>
          </w:p>
        </w:tc>
      </w:tr>
      <w:tr>
        <w:tc>
          <w:tcPr>
            <w:tcW w:type="dxa" w:w="28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20"/>
                <w:szCs w:val="20"/>
              </w:rPr>
              <w:t xml:space="preserve">Entry Method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Entry approach used and rationale — displayed for audit; not editable post-entry</w:t>
            </w:r>
          </w:p>
        </w:tc>
      </w:tr>
      <w:tr>
        <w:tc>
          <w:tcPr>
            <w:tcW w:type="dxa" w:w="2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Active Exit Triggers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Prioritized list of armed triggers with live status. Example: "SMA break: ARMED — price $418.75 vs SMA $419.31" | "DTE stop: ARMED — 38 days remaining" | "Price target: $445.00 — not reached". Updated each scan cycle.</w:t>
            </w:r>
          </w:p>
        </w:tc>
      </w:tr>
      <w:tr>
        <w:tc>
          <w:tcPr>
            <w:tcW w:type="dxa" w:w="28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bCs/>
                <w:color w:val="000000"/>
                <w:sz w:val="20"/>
                <w:szCs w:val="20"/>
              </w:rPr>
              <w:t xml:space="preserve">Nullifier Status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CLEAR (green) / SUSPECT with flag description (yellow) / NULLIFIED (red). If NULLIFIED post-entry, immediate alert is surfaced.</w:t>
            </w:r>
          </w:p>
        </w:tc>
      </w:tr>
      <w:tr>
        <w:tc>
          <w:tcPr>
            <w:tcW w:type="dxa" w:w="288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bCs/>
                <w:color w:val="000000"/>
                <w:sz w:val="20"/>
                <w:szCs w:val="20"/>
              </w:rPr>
              <w:t xml:space="preserve">Maintenance Flags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Active maintenance conditions from Claude and deterministic layer. Example: "Earnings in 12 days — apply pre-earnings rules" | "New contradictory UOA signal detected — institutional divergence"</w:t>
            </w:r>
          </w:p>
        </w:tc>
      </w:tr>
      <w:tr>
        <w:tc>
          <w:tcPr>
            <w:tcW w:type="dxa" w:w="2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Claude Advisory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Recommendation badge (color-coded) + conviction + one-line rationale summary. Full risk narrative and factor interactions available on expand. Advisory timestamp and "Refresh Advisory" button.</w:t>
            </w:r>
          </w:p>
        </w:tc>
      </w:tr>
      <w:tr>
        <w:tc>
          <w:tcPr>
            <w:tcW w:type="dxa" w:w="2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Confidence Note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What new information would change the recommendation — surfaces the key uncertainty in the current thesis</w:t>
            </w:r>
          </w:p>
        </w:tc>
      </w:tr>
    </w:tbl>
    <w:p>
      <w:pPr>
        <w:spacing w:after="120"/>
      </w:pPr>
      <w:r>
        <w:t xml:space="preserve"/>
      </w:r>
    </w:p>
    <w:p>
      <w:pPr>
        <w:spacing w:after="140"/>
      </w:pPr>
      <w:r>
        <w:rPr>
          <w:rFonts w:ascii="Arial" w:cs="Arial" w:eastAsia="Arial" w:hAnsi="Arial"/>
          <w:b w:val="false"/>
          <w:bCs w:val="false"/>
          <w:color w:val="000000"/>
          <w:sz w:val="20"/>
          <w:szCs w:val="20"/>
        </w:rPr>
        <w:t xml:space="preserve">The panel updates automatically on each scan cycle for exit triggers and maintenance conditions. The Claude advisory is not automatically refreshed on every scan — that would be costly and generate excessive API calls. Instead, advisory refresh is triggered by meaningful condition changes (nullifier status change, duration class change, new contradictory signal) or by manual request.</w:t>
      </w:r>
    </w:p>
    <w:p>
      <w:pPr>
        <w:spacing w:after="120"/>
      </w:pPr>
      <w:r>
        <w:t xml:space="preserve"/>
      </w:r>
    </w:p>
    <w:p>
      <w:pPr>
        <w:pStyle w:val="Heading1"/>
        <w:spacing w:after="160" w:before="320"/>
      </w:pPr>
      <w:r>
        <w:rPr>
          <w:rFonts w:ascii="Arial" w:cs="Arial" w:eastAsia="Arial" w:hAnsi="Arial"/>
          <w:b/>
          <w:bCs/>
          <w:color w:val="1F3864"/>
          <w:sz w:val="36"/>
          <w:szCs w:val="36"/>
        </w:rPr>
        <w:t xml:space="preserve">5. Dark Pool and Off-Exchange Activity (CIL-PRIME-DK-001)</w:t>
      </w:r>
    </w:p>
    <w:p>
      <w:pPr>
        <w:spacing w:after="140"/>
      </w:pPr>
      <w:r>
        <w:rPr>
          <w:rFonts w:ascii="Arial" w:cs="Arial" w:eastAsia="Arial" w:hAnsi="Arial"/>
          <w:b w:val="false"/>
          <w:bCs w:val="false"/>
          <w:color w:val="000000"/>
          <w:sz w:val="20"/>
          <w:szCs w:val="20"/>
        </w:rPr>
        <w:t xml:space="preserve">Approximately 35–40% of US equity volume trades off-exchange through dark pools, Alternative Trading Systems (ATS), and broker internalization networks. This activity is legal, common, and largely invisible in standard market data. Some fraction of it represents sophisticated institutional positioning that precedes visible price movement. A smaller but significant fraction represents coordinated manipulation: driving price in one direction before reversing.</w:t>
      </w:r>
    </w:p>
    <w:p>
      <w:pPr>
        <w:pStyle w:val="Heading2"/>
        <w:spacing w:after="120" w:before="280"/>
      </w:pPr>
      <w:r>
        <w:rPr>
          <w:rFonts w:ascii="Arial" w:cs="Arial" w:eastAsia="Arial" w:hAnsi="Arial"/>
          <w:b/>
          <w:bCs/>
          <w:color w:val="2E75B6"/>
          <w:sz w:val="28"/>
          <w:szCs w:val="28"/>
        </w:rPr>
        <w:t xml:space="preserve">5.1 What Is Trackable</w:t>
      </w:r>
    </w:p>
    <w:p>
      <w:pPr>
        <w:spacing w:after="140"/>
      </w:pPr>
      <w:r>
        <w:rPr>
          <w:rFonts w:ascii="Arial" w:cs="Arial" w:eastAsia="Arial" w:hAnsi="Arial"/>
          <w:b w:val="false"/>
          <w:bCs w:val="false"/>
          <w:color w:val="000000"/>
          <w:sz w:val="20"/>
          <w:szCs w:val="20"/>
        </w:rPr>
        <w:t xml:space="preserve">Several proxies for dark pool activity are available through public data sources:</w:t>
      </w:r>
    </w:p>
    <w:p>
      <w:pPr>
        <w:pStyle w:val="ListParagraph"/>
        <w:numPr>
          <w:ilvl w:val="0"/>
          <w:numId w:val="2"/>
        </w:numPr>
        <w:spacing w:after="80"/>
      </w:pPr>
      <w:r>
        <w:rPr>
          <w:rFonts w:ascii="Arial" w:cs="Arial" w:eastAsia="Arial" w:hAnsi="Arial"/>
          <w:b w:val="false"/>
          <w:bCs w:val="false"/>
          <w:sz w:val="20"/>
          <w:szCs w:val="20"/>
        </w:rPr>
        <w:t xml:space="preserve">FINRA publishes weekly ATS volume by symbol with approximately a two-week lag. This establishes a baseline dark pool participation rate for each symbol that can be compared against current activity.</w:t>
      </w:r>
    </w:p>
    <w:p>
      <w:pPr>
        <w:pStyle w:val="ListParagraph"/>
        <w:numPr>
          <w:ilvl w:val="0"/>
          <w:numId w:val="2"/>
        </w:numPr>
        <w:spacing w:after="80"/>
      </w:pPr>
      <w:r>
        <w:rPr>
          <w:rFonts w:ascii="Arial" w:cs="Arial" w:eastAsia="Arial" w:hAnsi="Arial"/>
          <w:b w:val="false"/>
          <w:bCs w:val="false"/>
          <w:sz w:val="20"/>
          <w:szCs w:val="20"/>
        </w:rPr>
        <w:t xml:space="preserve">Large off-price tape prints — block trades that appear in time and sales at mid or away from the NBBO — are visible in real time and represent the most direct evidence of dark pool execution.</w:t>
      </w:r>
    </w:p>
    <w:p>
      <w:pPr>
        <w:pStyle w:val="ListParagraph"/>
        <w:numPr>
          <w:ilvl w:val="0"/>
          <w:numId w:val="2"/>
        </w:numPr>
        <w:spacing w:after="80"/>
      </w:pPr>
      <w:r>
        <w:rPr>
          <w:rFonts w:ascii="Arial" w:cs="Arial" w:eastAsia="Arial" w:hAnsi="Arial"/>
          <w:b w:val="false"/>
          <w:bCs w:val="false"/>
          <w:sz w:val="20"/>
          <w:szCs w:val="20"/>
        </w:rPr>
        <w:t xml:space="preserve">Short volume data is published daily by FINRA and serves as a proxy for institutional short positioning, which often precedes or accompanies dark pool entry.</w:t>
      </w:r>
    </w:p>
    <w:p>
      <w:pPr>
        <w:pStyle w:val="ListParagraph"/>
        <w:numPr>
          <w:ilvl w:val="0"/>
          <w:numId w:val="2"/>
        </w:numPr>
        <w:spacing w:after="80"/>
      </w:pPr>
      <w:r>
        <w:rPr>
          <w:rFonts w:ascii="Arial" w:cs="Arial" w:eastAsia="Arial" w:hAnsi="Arial"/>
          <w:b w:val="false"/>
          <w:bCs w:val="false"/>
          <w:sz w:val="20"/>
          <w:szCs w:val="20"/>
        </w:rPr>
        <w:t xml:space="preserve">Bid-ask spread widening concurrent with unusual options flow suggests that market makers are seeing the same institutional footprint and pricing in additional uncertainty.</w:t>
      </w:r>
    </w:p>
    <w:p>
      <w:pPr>
        <w:pStyle w:val="ListParagraph"/>
        <w:numPr>
          <w:ilvl w:val="0"/>
          <w:numId w:val="2"/>
        </w:numPr>
        <w:spacing w:after="80"/>
      </w:pPr>
      <w:r>
        <w:rPr>
          <w:rFonts w:ascii="Arial" w:cs="Arial" w:eastAsia="Arial" w:hAnsi="Arial"/>
          <w:b w:val="false"/>
          <w:bCs w:val="false"/>
          <w:sz w:val="20"/>
          <w:szCs w:val="20"/>
        </w:rPr>
        <w:t xml:space="preserve">Dark pool print direction contradicting options flow direction — a large off-exchange block sold while call volume spikes — is one of the strongest signals of potential manipulation.</w:t>
      </w:r>
    </w:p>
    <w:p>
      <w:pPr>
        <w:pStyle w:val="Heading2"/>
        <w:spacing w:after="120" w:before="280"/>
      </w:pPr>
      <w:r>
        <w:rPr>
          <w:rFonts w:ascii="Arial" w:cs="Arial" w:eastAsia="Arial" w:hAnsi="Arial"/>
          <w:b/>
          <w:bCs/>
          <w:color w:val="2E75B6"/>
          <w:sz w:val="28"/>
          <w:szCs w:val="28"/>
        </w:rPr>
        <w:t xml:space="preserve">5.2 Manipulation Patterns</w:t>
      </w:r>
    </w:p>
    <w:p>
      <w:pPr>
        <w:spacing w:after="140"/>
      </w:pPr>
      <w:r>
        <w:rPr>
          <w:rFonts w:ascii="Arial" w:cs="Arial" w:eastAsia="Arial" w:hAnsi="Arial"/>
          <w:b w:val="false"/>
          <w:bCs w:val="false"/>
          <w:color w:val="000000"/>
          <w:sz w:val="20"/>
          <w:szCs w:val="20"/>
        </w:rPr>
        <w:t xml:space="preserve">Several specific patterns are consistent with coordinated manipulation of the kind colloquially called “dark money” activity:</w:t>
      </w:r>
    </w:p>
    <w:p>
      <w:pPr>
        <w:pStyle w:val="ListParagraph"/>
        <w:numPr>
          <w:ilvl w:val="0"/>
          <w:numId w:val="2"/>
        </w:numPr>
        <w:spacing w:after="80"/>
      </w:pPr>
      <w:r>
        <w:rPr>
          <w:rFonts w:ascii="Arial" w:cs="Arial" w:eastAsia="Arial" w:hAnsi="Arial"/>
          <w:b w:val="false"/>
          <w:bCs w:val="false"/>
          <w:sz w:val="20"/>
          <w:szCs w:val="20"/>
        </w:rPr>
        <w:t xml:space="preserve">Price spike into UOA signal: if price moved significantly upward just before a large put purchase appears, the put buyer may have driven the price up before going short. The UOA signal looks bullish (unusual put volume is often read as hedging) but the intent is bearish.</w:t>
      </w:r>
    </w:p>
    <w:p>
      <w:pPr>
        <w:pStyle w:val="ListParagraph"/>
        <w:numPr>
          <w:ilvl w:val="0"/>
          <w:numId w:val="2"/>
        </w:numPr>
        <w:spacing w:after="80"/>
      </w:pPr>
      <w:r>
        <w:rPr>
          <w:rFonts w:ascii="Arial" w:cs="Arial" w:eastAsia="Arial" w:hAnsi="Arial"/>
          <w:b w:val="false"/>
          <w:bCs w:val="false"/>
          <w:sz w:val="20"/>
          <w:szCs w:val="20"/>
        </w:rPr>
        <w:t xml:space="preserve">Call volume spike plus price already extended: if a stock is already up 3–5% on the day when unusual call volume appears, the call buyer may be the one who drove it up and is now positioning to exit into the retail enthusiasm the spike creates.</w:t>
      </w:r>
    </w:p>
    <w:p>
      <w:pPr>
        <w:pStyle w:val="ListParagraph"/>
        <w:numPr>
          <w:ilvl w:val="0"/>
          <w:numId w:val="2"/>
        </w:numPr>
        <w:spacing w:after="80"/>
      </w:pPr>
      <w:r>
        <w:rPr>
          <w:rFonts w:ascii="Arial" w:cs="Arial" w:eastAsia="Arial" w:hAnsi="Arial"/>
          <w:b w:val="false"/>
          <w:bCs w:val="false"/>
          <w:sz w:val="20"/>
          <w:szCs w:val="20"/>
        </w:rPr>
        <w:t xml:space="preserve">Block print against options direction: a large off-exchange sell print while call volume is spiking is inconsistent with a genuine bullish thesis and suggests the institutional actor is using the options flow as a screen for stock distribution.</w:t>
      </w:r>
    </w:p>
    <w:p>
      <w:pPr>
        <w:pStyle w:val="Heading2"/>
        <w:spacing w:after="120" w:before="280"/>
      </w:pPr>
      <w:r>
        <w:rPr>
          <w:rFonts w:ascii="Arial" w:cs="Arial" w:eastAsia="Arial" w:hAnsi="Arial"/>
          <w:b/>
          <w:bCs/>
          <w:color w:val="2E75B6"/>
          <w:sz w:val="28"/>
          <w:szCs w:val="28"/>
        </w:rPr>
        <w:t xml:space="preserve">5.3 Integration as Nullifier Conditions</w:t>
      </w:r>
    </w:p>
    <w:p>
      <w:pPr>
        <w:spacing w:after="140"/>
      </w:pPr>
      <w:r>
        <w:rPr>
          <w:rFonts w:ascii="Arial" w:cs="Arial" w:eastAsia="Arial" w:hAnsi="Arial"/>
          <w:b w:val="false"/>
          <w:bCs w:val="false"/>
          <w:color w:val="000000"/>
          <w:sz w:val="20"/>
          <w:szCs w:val="20"/>
        </w:rPr>
        <w:t xml:space="preserve">Dark pool signals are integrated into the Trade Factor Registry as nullifier conditions, not as independent signals. A dark pool suspect flag alone does not make a trade — it modifies the evaluation of an existing UOA or PEAD signal by adding evidence that the signal may not mean what it appears to mean.</w:t>
      </w:r>
    </w:p>
    <w:p>
      <w:pPr>
        <w:spacing w:after="140"/>
      </w:pPr>
      <w:r>
        <w:rPr>
          <w:rFonts w:ascii="Arial" w:cs="Arial" w:eastAsia="Arial" w:hAnsi="Arial"/>
          <w:b w:val="false"/>
          <w:bCs w:val="false"/>
          <w:color w:val="000000"/>
          <w:sz w:val="20"/>
          <w:szCs w:val="20"/>
        </w:rPr>
        <w:t xml:space="preserve">The integration rules are as follows. A SUSPECT flag (one dark pool red flag) does not prevent entry on LT signals but must be displayed in the Trade Management Panel and incorporated into Claude’s advisory. A SUSPECT flag combined with an ST classification is a nullifier — covered-call-style manipulation on short-DTE options is almost always noise. Two or more dark pool flags on the same signal constitute a hard nullifier regardless of duration or score.</w:t>
      </w:r>
    </w:p>
    <w:p>
      <w:pPr>
        <w:spacing w:after="120"/>
      </w:pPr>
      <w:r>
        <w:t xml:space="preserve"/>
      </w:r>
    </w:p>
    <w:p>
      <w:pPr>
        <w:pStyle w:val="Heading1"/>
        <w:spacing w:after="160" w:before="320"/>
      </w:pPr>
      <w:r>
        <w:rPr>
          <w:rFonts w:ascii="Arial" w:cs="Arial" w:eastAsia="Arial" w:hAnsi="Arial"/>
          <w:b/>
          <w:bCs/>
          <w:color w:val="1F3864"/>
          <w:sz w:val="36"/>
          <w:szCs w:val="36"/>
        </w:rPr>
        <w:t xml:space="preserve">6. Future Evolution and the Feedback Loop</w:t>
      </w:r>
    </w:p>
    <w:p>
      <w:pPr>
        <w:spacing w:after="140"/>
      </w:pPr>
      <w:r>
        <w:rPr>
          <w:rFonts w:ascii="Arial" w:cs="Arial" w:eastAsia="Arial" w:hAnsi="Arial"/>
          <w:b w:val="false"/>
          <w:bCs w:val="false"/>
          <w:color w:val="000000"/>
          <w:sz w:val="20"/>
          <w:szCs w:val="20"/>
        </w:rPr>
        <w:t xml:space="preserve">The system described in this paper is designed to improve over time through a feedback loop that connects trade outcomes to both the factor registry and the AI advisory layer.</w:t>
      </w:r>
    </w:p>
    <w:p>
      <w:pPr>
        <w:spacing w:after="140"/>
      </w:pPr>
      <w:r>
        <w:rPr>
          <w:rFonts w:ascii="Arial" w:cs="Arial" w:eastAsia="Arial" w:hAnsi="Arial"/>
          <w:b w:val="false"/>
          <w:bCs w:val="false"/>
          <w:color w:val="000000"/>
          <w:sz w:val="20"/>
          <w:szCs w:val="20"/>
        </w:rPr>
        <w:t xml:space="preserve">As PRIME accumulates trade history, each outcome — actual P&amp;L, hold time, exit condition that fired — is stored in ml_training_data alongside the Trade Factor Evaluation and Claude advisory that were active at entry. Periodic analysis (ML-Pattern-18, AI Settings Advisor) reviews whether Claude’s recommendations are predictive. Factors that Claude consistently over- or under-weights are surfaced for prompt refinement.</w:t>
      </w:r>
    </w:p>
    <w:p>
      <w:pPr>
        <w:spacing w:after="140"/>
      </w:pPr>
      <w:r>
        <w:rPr>
          <w:rFonts w:ascii="Arial" w:cs="Arial" w:eastAsia="Arial" w:hAnsi="Arial"/>
          <w:b w:val="false"/>
          <w:bCs w:val="false"/>
          <w:color w:val="000000"/>
          <w:sz w:val="20"/>
          <w:szCs w:val="20"/>
        </w:rPr>
        <w:t xml:space="preserve">Eventually, the outcome history is included in the prompt context itself: “In the last 30 signals matching this factor profile, HIGH conviction ENTER recommendations had a 68% win rate with average P&amp;L of +2.3%.” This creates a continuously improving advisory system without requiring changes to the deterministic factor evaluation layer.</w:t>
      </w:r>
    </w:p>
    <w:p>
      <w:pPr>
        <w:spacing w:after="140"/>
      </w:pPr>
      <w:r>
        <w:rPr>
          <w:rFonts w:ascii="Arial" w:cs="Arial" w:eastAsia="Arial" w:hAnsi="Arial"/>
          <w:b w:val="false"/>
          <w:bCs w:val="false"/>
          <w:color w:val="000000"/>
          <w:sz w:val="20"/>
          <w:szCs w:val="20"/>
        </w:rPr>
        <w:t xml:space="preserve">The Active Trades Management Module (UOA-ENH-002, Sprint 6+) is the natural destination for this system at maturity. It absorbs Trade Management Panel data across all open positions, provides portfolio-level factor awareness (correlated positions, aggregate sector exposure, portfolio-level dark pool flags), and eventually integrates with ML-Pattern-17 (AI Portfolio Rebalancing) and ML-Pattern-18 (AI Settings Advisor) to create a coherent active management layer.</w:t>
      </w:r>
    </w:p>
    <w:p>
      <w:pPr>
        <w:spacing w:after="120"/>
      </w:pPr>
      <w:r>
        <w:t xml:space="preserve"/>
      </w:r>
    </w:p>
    <w:p>
      <w:pPr>
        <w:pStyle w:val="Heading1"/>
        <w:spacing w:after="160" w:before="320"/>
      </w:pPr>
      <w:r>
        <w:rPr>
          <w:rFonts w:ascii="Arial" w:cs="Arial" w:eastAsia="Arial" w:hAnsi="Arial"/>
          <w:b/>
          <w:bCs/>
          <w:color w:val="1F3864"/>
          <w:sz w:val="36"/>
          <w:szCs w:val="36"/>
        </w:rPr>
        <w:t xml:space="preserve">7. Implementation Roadmap</w:t>
      </w:r>
    </w:p>
    <w:p>
      <w:pPr>
        <w:spacing w:after="140"/>
      </w:pPr>
      <w:r>
        <w:rPr>
          <w:rFonts w:ascii="Arial" w:cs="Arial" w:eastAsia="Arial" w:hAnsi="Arial"/>
          <w:b w:val="false"/>
          <w:bCs w:val="false"/>
          <w:color w:val="000000"/>
          <w:sz w:val="20"/>
          <w:szCs w:val="20"/>
        </w:rPr>
        <w:t xml:space="preserve">Implementation is organized into four phases, each independently deployable: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rPr>
          <w:tblHeader/>
        </w:trPr>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Phase</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Sprint</w:t>
            </w:r>
          </w:p>
        </w:tc>
        <w:tc>
          <w:tcPr>
            <w:tcW w:type="dxa" w:w="6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Scope</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Sprint 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Factor registry defined for UOA strategy. Trade Factor Evaluation stored in prime_trade_log as trade_factors JSON field. Trade Management Panel added to UOA trader tab. Claude API integration (ML-Pattern-20). Nullifier evaluation for covered-call pattern and price-movement dark pool check.</w:t>
            </w:r>
          </w:p>
        </w:tc>
      </w:tr>
      <w:tr>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Sprint 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PEAD strategy factor set defined and integrated. Trade Management Panel added to PEAD trader tab. DTE-based exit triggers operational. Drift score decay trigger operational.</w:t>
            </w:r>
          </w:p>
        </w:tc>
      </w:tr>
      <w:tr>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20"/>
                <w:szCs w:val="20"/>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Sprint 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MTS and SRS strategy factor sets. Full CIL-PRIME-DK-001 dark pool scanner integrated as nullifier source. Index strategies (CIL-PRIME-IDX-001) added with their own factor set.</w:t>
            </w:r>
          </w:p>
        </w:tc>
      </w:tr>
      <w:tr>
        <w:tc>
          <w:tcPr>
            <w:tcW w:type="dxa" w:w="144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bCs/>
                <w:color w:val="000000"/>
                <w:sz w:val="20"/>
                <w:szCs w:val="20"/>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Sprint 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Active Trades Management Module (UOA-ENH-002) absorbs Trade Management Panel data. ML layer (ML-Pattern-20 feedback loop) begins refining factor weights based on outcome history stored in ml_training_data.</w:t>
            </w:r>
          </w:p>
        </w:tc>
      </w:tr>
    </w:tbl>
    <w:p>
      <w:pPr>
        <w:spacing w:after="120"/>
      </w:pPr>
      <w:r>
        <w:t xml:space="preserve"/>
      </w:r>
    </w:p>
    <w:p>
      <w:pPr>
        <w:spacing w:after="140"/>
      </w:pPr>
      <w:r>
        <w:rPr>
          <w:rFonts w:ascii="Arial" w:cs="Arial" w:eastAsia="Arial" w:hAnsi="Arial"/>
          <w:b w:val="false"/>
          <w:bCs w:val="false"/>
          <w:color w:val="000000"/>
          <w:sz w:val="20"/>
          <w:szCs w:val="20"/>
        </w:rPr>
        <w:t xml:space="preserve">The immediate priority, per direction from xFormative AI leadership, is Phase 1: UOA strategy factor set, Trade Management Panel on the UOA tab, and Claude API integration. This is the highest-leverage starting point because UOA is the strategy with the most active live trades and the most acute need for factor disambiguation (as demonstrated by the MSFT case).</w:t>
      </w:r>
    </w:p>
    <w:p>
      <w:pPr>
        <w:spacing w:after="120"/>
      </w:pPr>
      <w:r>
        <w:t xml:space="preserve"/>
      </w:r>
    </w:p>
    <w:p>
      <w:pPr>
        <w:pStyle w:val="Heading1"/>
        <w:spacing w:after="160" w:before="320"/>
      </w:pPr>
      <w:r>
        <w:rPr>
          <w:rFonts w:ascii="Arial" w:cs="Arial" w:eastAsia="Arial" w:hAnsi="Arial"/>
          <w:b/>
          <w:bCs/>
          <w:color w:val="1F3864"/>
          <w:sz w:val="36"/>
          <w:szCs w:val="36"/>
        </w:rPr>
        <w:t xml:space="preserve">8. Acceptance Criteria</w:t>
      </w:r>
    </w:p>
    <w:p>
      <w:pPr>
        <w:spacing w:after="140"/>
      </w:pPr>
      <w:r>
        <w:rPr>
          <w:rFonts w:ascii="Arial" w:cs="Arial" w:eastAsia="Arial" w:hAnsi="Arial"/>
          <w:b w:val="false"/>
          <w:bCs w:val="false"/>
          <w:color w:val="000000"/>
          <w:sz w:val="20"/>
          <w:szCs w:val="20"/>
        </w:rPr>
        <w:t xml:space="preserve">The following criteria define successful implementation of the core system (Phases 1 and 2):</w:t>
      </w:r>
    </w:p>
    <w:p>
      <w:pPr>
        <w:pStyle w:val="ListParagraph"/>
        <w:numPr>
          <w:ilvl w:val="0"/>
          <w:numId w:val="2"/>
        </w:numPr>
        <w:spacing w:after="80"/>
      </w:pPr>
      <w:r>
        <w:rPr>
          <w:rFonts w:ascii="Arial" w:cs="Arial" w:eastAsia="Arial" w:hAnsi="Arial"/>
          <w:b w:val="false"/>
          <w:bCs w:val="false"/>
          <w:sz w:val="20"/>
          <w:szCs w:val="20"/>
        </w:rPr>
        <w:t xml:space="preserve">Every new UOA or PEAD trade generates a fully populated trade_factors JSON record in prime_trade_log at entry time.</w:t>
      </w:r>
    </w:p>
    <w:p>
      <w:pPr>
        <w:pStyle w:val="ListParagraph"/>
        <w:numPr>
          <w:ilvl w:val="0"/>
          <w:numId w:val="2"/>
        </w:numPr>
        <w:spacing w:after="80"/>
      </w:pPr>
      <w:r>
        <w:rPr>
          <w:rFonts w:ascii="Arial" w:cs="Arial" w:eastAsia="Arial" w:hAnsi="Arial"/>
          <w:b w:val="false"/>
          <w:bCs w:val="false"/>
          <w:sz w:val="20"/>
          <w:szCs w:val="20"/>
        </w:rPr>
        <w:t xml:space="preserve">Trade Management Panel displays on UOA and PEAD trader tabs, showing all five factor categories for each open position with live-updating exit trigger status.</w:t>
      </w:r>
    </w:p>
    <w:p>
      <w:pPr>
        <w:pStyle w:val="ListParagraph"/>
        <w:numPr>
          <w:ilvl w:val="0"/>
          <w:numId w:val="2"/>
        </w:numPr>
        <w:spacing w:after="80"/>
      </w:pPr>
      <w:r>
        <w:rPr>
          <w:rFonts w:ascii="Arial" w:cs="Arial" w:eastAsia="Arial" w:hAnsi="Arial"/>
          <w:b w:val="false"/>
          <w:bCs w:val="false"/>
          <w:sz w:val="20"/>
          <w:szCs w:val="20"/>
        </w:rPr>
        <w:t xml:space="preserve">At least one nullifier condition (covered-call pattern) is evaluated and displayed in real time; NULLIFIED status prevents entry confirmation from proceeding without manual override.</w:t>
      </w:r>
    </w:p>
    <w:p>
      <w:pPr>
        <w:pStyle w:val="ListParagraph"/>
        <w:numPr>
          <w:ilvl w:val="0"/>
          <w:numId w:val="2"/>
        </w:numPr>
        <w:spacing w:after="80"/>
      </w:pPr>
      <w:r>
        <w:rPr>
          <w:rFonts w:ascii="Arial" w:cs="Arial" w:eastAsia="Arial" w:hAnsi="Arial"/>
          <w:b w:val="false"/>
          <w:bCs w:val="false"/>
          <w:sz w:val="20"/>
          <w:szCs w:val="20"/>
        </w:rPr>
        <w:t xml:space="preserve">Claude advisory is generated for every new signal and displayed in the Trade Management Panel within 10 seconds of signal generation under normal API conditions.</w:t>
      </w:r>
    </w:p>
    <w:p>
      <w:pPr>
        <w:pStyle w:val="ListParagraph"/>
        <w:numPr>
          <w:ilvl w:val="0"/>
          <w:numId w:val="2"/>
        </w:numPr>
        <w:spacing w:after="80"/>
      </w:pPr>
      <w:r>
        <w:rPr>
          <w:rFonts w:ascii="Arial" w:cs="Arial" w:eastAsia="Arial" w:hAnsi="Arial"/>
          <w:b w:val="false"/>
          <w:bCs w:val="false"/>
          <w:sz w:val="20"/>
          <w:szCs w:val="20"/>
        </w:rPr>
        <w:t xml:space="preserve">Exit triggers update on each scan cycle without manual refresh; triggered status is displayed immediately when a trigger condition is met.</w:t>
      </w:r>
    </w:p>
    <w:p>
      <w:pPr>
        <w:pStyle w:val="ListParagraph"/>
        <w:numPr>
          <w:ilvl w:val="0"/>
          <w:numId w:val="2"/>
        </w:numPr>
        <w:spacing w:after="80"/>
      </w:pPr>
      <w:r>
        <w:rPr>
          <w:rFonts w:ascii="Arial" w:cs="Arial" w:eastAsia="Arial" w:hAnsi="Arial"/>
          <w:b w:val="false"/>
          <w:bCs w:val="false"/>
          <w:sz w:val="20"/>
          <w:szCs w:val="20"/>
        </w:rPr>
        <w:t xml:space="preserve">A simulated trade where nullifier conditions are present displays NULLIFIED status; Claude advisory reflects the nullification rationale in the risk narrative.</w:t>
      </w:r>
    </w:p>
    <w:p>
      <w:pPr>
        <w:pStyle w:val="ListParagraph"/>
        <w:numPr>
          <w:ilvl w:val="0"/>
          <w:numId w:val="2"/>
        </w:numPr>
        <w:spacing w:after="80"/>
      </w:pPr>
      <w:r>
        <w:rPr>
          <w:rFonts w:ascii="Arial" w:cs="Arial" w:eastAsia="Arial" w:hAnsi="Arial"/>
          <w:b w:val="false"/>
          <w:bCs w:val="false"/>
          <w:sz w:val="20"/>
          <w:szCs w:val="20"/>
        </w:rPr>
        <w:t xml:space="preserve">API failure (timeout, rate limit, model unavailable) does not block trade entry; system falls back to deterministic-only mode with appropriate display message.</w:t>
      </w:r>
    </w:p>
    <w:p>
      <w:pPr>
        <w:pStyle w:val="ListParagraph"/>
        <w:numPr>
          <w:ilvl w:val="0"/>
          <w:numId w:val="2"/>
        </w:numPr>
        <w:spacing w:after="80"/>
      </w:pPr>
      <w:r>
        <w:rPr>
          <w:rFonts w:ascii="Arial" w:cs="Arial" w:eastAsia="Arial" w:hAnsi="Arial"/>
          <w:b w:val="false"/>
          <w:bCs w:val="false"/>
          <w:sz w:val="20"/>
          <w:szCs w:val="20"/>
        </w:rPr>
        <w:t xml:space="preserve">Historical advisories are retained and queryable for each closed trade.</w:t>
      </w:r>
    </w:p>
    <w:p>
      <w:pPr>
        <w:spacing w:after="120"/>
      </w:pPr>
      <w:r>
        <w:t xml:space="preserve"/>
      </w:r>
    </w:p>
    <w:p>
      <w:pPr>
        <w:pStyle w:val="Heading1"/>
        <w:spacing w:after="160" w:before="320"/>
      </w:pPr>
      <w:r>
        <w:rPr>
          <w:rFonts w:ascii="Arial" w:cs="Arial" w:eastAsia="Arial" w:hAnsi="Arial"/>
          <w:b/>
          <w:bCs/>
          <w:color w:val="1F3864"/>
          <w:sz w:val="36"/>
          <w:szCs w:val="36"/>
        </w:rPr>
        <w:t xml:space="preserve">9. Conclusion</w:t>
      </w:r>
    </w:p>
    <w:p>
      <w:pPr>
        <w:spacing w:after="140"/>
      </w:pPr>
      <w:r>
        <w:rPr>
          <w:rFonts w:ascii="Arial" w:cs="Arial" w:eastAsia="Arial" w:hAnsi="Arial"/>
          <w:b w:val="false"/>
          <w:bCs w:val="false"/>
          <w:color w:val="000000"/>
          <w:sz w:val="20"/>
          <w:szCs w:val="20"/>
        </w:rPr>
        <w:t xml:space="preserve">PRIME’s evolution from a signal-generation system to an intelligent trade management platform requires three foundational changes: making implicit strategy assumptions explicit through the Trade Factor Registry, reasoning over those assumptions coherently through the AI Trade Factor Analyst, and expanding the definition of a valid signal to include the absence of manipulation evidence through the Dark Pool scanner.</w:t>
      </w:r>
    </w:p>
    <w:p>
      <w:pPr>
        <w:spacing w:after="140"/>
      </w:pPr>
      <w:r>
        <w:rPr>
          <w:rFonts w:ascii="Arial" w:cs="Arial" w:eastAsia="Arial" w:hAnsi="Arial"/>
          <w:b w:val="false"/>
          <w:bCs w:val="false"/>
          <w:color w:val="000000"/>
          <w:sz w:val="20"/>
          <w:szCs w:val="20"/>
        </w:rPr>
        <w:t xml:space="preserve">These are not incremental improvements. They represent a shift in the system’s fundamental architecture: from “this signal looks like a buy” to “this signal, in this context, with these conditions, at this duration, suggests the following course of action for the following reasons.” That shift is what separates a scanning tool from a trading intelligence system.</w:t>
      </w:r>
    </w:p>
    <w:p>
      <w:pPr>
        <w:spacing w:after="140"/>
      </w:pPr>
      <w:r>
        <w:rPr>
          <w:rFonts w:ascii="Arial" w:cs="Arial" w:eastAsia="Arial" w:hAnsi="Arial"/>
          <w:b w:val="false"/>
          <w:bCs w:val="false"/>
          <w:color w:val="000000"/>
          <w:sz w:val="20"/>
          <w:szCs w:val="20"/>
        </w:rPr>
        <w:t xml:space="preserve">The human trader remains at the center of every decision. What changes is the quality and completeness of the information available at the moment of decision.</w:t>
      </w:r>
    </w:p>
    <w:p>
      <w:pPr>
        <w:spacing w:after="120"/>
      </w:pPr>
      <w:r>
        <w:t xml:space="preserve"/>
      </w:r>
    </w:p>
    <w:p>
      <w:pPr>
        <w:pBdr>
          <w:bottom w:val="single" w:color="2E75B6" w:sz="6" w:space="1"/>
        </w:pBdr>
        <w:spacing w:after="200"/>
      </w:pPr>
      <w:r>
        <w:t xml:space="preserve"/>
      </w:r>
    </w:p>
    <w:p>
      <w:pPr>
        <w:spacing w:after="0"/>
      </w:pPr>
      <w:r>
        <w:rPr>
          <w:rFonts w:ascii="Arial" w:cs="Arial" w:eastAsia="Arial" w:hAnsi="Arial"/>
          <w:color w:val="808080"/>
          <w:sz w:val="18"/>
          <w:szCs w:val="18"/>
        </w:rPr>
        <w:t xml:space="preserve">Prepared by Claude (Anthropic) in collaboration with Pat Boulay  ·  xFormative AI  ·  May 22, 2026  ·  v1.0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680"/>
        <w:tab w:val="right" w:pos="9360"/>
      </w:tabs>
      <w:spacing w:before="80"/>
    </w:pPr>
    <w:r>
      <w:rPr>
        <w:rFonts w:ascii="Aptos" w:cs="Aptos" w:eastAsia="Aptos" w:hAnsi="Aptos"/>
        <w:color w:val="808080"/>
        <w:sz w:val="18"/>
        <w:szCs w:val="18"/>
      </w:rPr>
      <w:t xml:space="preserve">PRIME_TradeIntelligence_Paper_2026-05-22_v1.0.docx  ·  C:\Dev\PRIME\PRIME Documentation\PRIME_TradeIntelligence_Paper_2026-05-22_v1.0.docx</w:t>
    </w:r>
    <w:r>
      <w:rPr>
        <w:rFonts w:ascii="Aptos" w:cs="Aptos" w:eastAsia="Aptos" w:hAnsi="Aptos"/>
        <w:sz w:val="18"/>
        <w:szCs w:val="18"/>
      </w:rPr>
      <w:t xml:space="preserve">		</w:t>
    </w:r>
    <w:r>
      <w:rPr>
        <w:rFonts w:ascii="Aptos" w:cs="Aptos" w:eastAsia="Aptos" w:hAnsi="Aptos"/>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2026-05-22T22:05:24.243Z</dcterms:created>
  <dcterms:modified xsi:type="dcterms:W3CDTF">2026-05-22T22:05:24.257Z</dcterms:modified>
</cp:coreProperties>
</file>

<file path=docProps/custom.xml><?xml version="1.0" encoding="utf-8"?>
<Properties xmlns="http://schemas.openxmlformats.org/officeDocument/2006/custom-properties" xmlns:vt="http://schemas.openxmlformats.org/officeDocument/2006/docPropsVTypes"/>
</file>