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8.jpg" ContentType="image/jpeg"/>
  <Override PartName="/word/media/rId64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26.jpg" ContentType="image/jpeg"/>
  <Override PartName="/word/media/rId104.jpg" ContentType="image/jpeg"/>
  <Override PartName="/word/media/rId108.jpg" ContentType="image/jpeg"/>
  <Override PartName="/word/media/rId112.jpg" ContentType="image/jpeg"/>
  <Override PartName="/word/media/rId116.jpg" ContentType="image/jpeg"/>
  <Override PartName="/word/media/rId120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помощью блока Modelica в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OpenModelica;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1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6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3863340" cy="3009900"/>
            <wp:effectExtent b="0" l="0" r="0" t="0"/>
            <wp:docPr descr="Рис. 1: 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переменных окружения в xcos</w:t>
      </w:r>
    </w:p>
    <w:p>
      <w:pPr>
        <w:pStyle w:val="BodyText"/>
      </w:pPr>
      <w:r>
        <w:t xml:space="preserve">Для реализации модели (рис. 2) потребуются следующие блоки xcos: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bookmarkStart w:id="29" w:name="fig:002"/>
      <w:r>
        <w:drawing>
          <wp:inline>
            <wp:extent cx="5334000" cy="4108368"/>
            <wp:effectExtent b="0" l="0" r="0" t="0"/>
            <wp:docPr descr="Рис. 2: Модель SIR в xcos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8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Модель SIR в xcos</w:t>
      </w:r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3,4).</w:t>
      </w:r>
    </w:p>
    <w:p>
      <w:pPr>
        <w:pStyle w:val="CaptionedFigure"/>
      </w:pPr>
      <w:bookmarkStart w:id="33" w:name="fig:003"/>
      <w:r>
        <w:drawing>
          <wp:inline>
            <wp:extent cx="3215640" cy="2225040"/>
            <wp:effectExtent b="0" l="0" r="0" t="0"/>
            <wp:docPr descr="Рис. 3: Задание начальных значений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bookmarkStart w:id="37" w:name="fig:004"/>
      <w:r>
        <w:drawing>
          <wp:inline>
            <wp:extent cx="3253740" cy="2148840"/>
            <wp:effectExtent b="0" l="0" r="0" t="0"/>
            <wp:docPr descr="Рис. 4: Задание начальных значений в блоках интегрирования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 5).</w:t>
      </w:r>
    </w:p>
    <w:p>
      <w:pPr>
        <w:pStyle w:val="CaptionedFigure"/>
      </w:pPr>
      <w:bookmarkStart w:id="41" w:name="fig:005"/>
      <w:r>
        <w:drawing>
          <wp:inline>
            <wp:extent cx="5013960" cy="2689860"/>
            <wp:effectExtent b="0" l="0" r="0" t="0"/>
            <wp:docPr descr="Рис. 5: Задание конечного времени интегрирования в xcos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Задание конечного времени интегрирования в xcos</w:t>
      </w:r>
    </w:p>
    <w:p>
      <w:pPr>
        <w:pStyle w:val="BodyText"/>
      </w:pPr>
      <w:r>
        <w:t xml:space="preserve">Результат моделирования представлен на рис. 6,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p>
      <w:pPr>
        <w:pStyle w:val="CaptionedFigure"/>
      </w:pPr>
      <w:bookmarkStart w:id="45" w:name="fig:006"/>
      <w:r>
        <w:drawing>
          <wp:inline>
            <wp:extent cx="4914900" cy="3299460"/>
            <wp:effectExtent b="0" l="0" r="0" t="0"/>
            <wp:docPr descr="Рис. 6: Эпидемический порог модели SIR при \beta = 1, \nu = 0.3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6"/>
    <w:bookmarkStart w:id="63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 7.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50" w:name="fig:007"/>
      <w:r>
        <w:drawing>
          <wp:inline>
            <wp:extent cx="5105400" cy="2590800"/>
            <wp:effectExtent b="0" l="0" r="0" t="0"/>
            <wp:docPr descr="Рис. 7: Модель SIR в xcos с применением блока Modelica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Модель SIR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8,9.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54" w:name="fig:008"/>
      <w:r>
        <w:drawing>
          <wp:inline>
            <wp:extent cx="2918460" cy="2689860"/>
            <wp:effectExtent b="0" l="0" r="0" t="0"/>
            <wp:docPr descr="Рис. 8: Параметры блока Modelica для модели SIR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Параметры блока Modelica для модели SIR</w:t>
      </w:r>
    </w:p>
    <w:p>
      <w:pPr>
        <w:pStyle w:val="CaptionedFigure"/>
      </w:pPr>
      <w:bookmarkStart w:id="58" w:name="fig:009"/>
      <w:r>
        <w:drawing>
          <wp:inline>
            <wp:extent cx="3086100" cy="3322320"/>
            <wp:effectExtent b="0" l="0" r="0" t="0"/>
            <wp:docPr descr="Рис. 9: Параметры блока Modelica для модели SIR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Параметры блока Modelica для модели SIR</w:t>
      </w:r>
    </w:p>
    <w:p>
      <w:pPr>
        <w:pStyle w:val="BodyText"/>
      </w:pPr>
      <w:r>
        <w:t xml:space="preserve">В результате получаем график (рис. 10), построенный с помощью блока Modelica идентичный графику (рис. 6), построенному без них.</w:t>
      </w:r>
    </w:p>
    <w:p>
      <w:pPr>
        <w:pStyle w:val="CaptionedFigure"/>
      </w:pPr>
      <w:bookmarkStart w:id="62" w:name="fig:010"/>
      <w:r>
        <w:drawing>
          <wp:inline>
            <wp:extent cx="4724400" cy="3444240"/>
            <wp:effectExtent b="0" l="0" r="0" t="0"/>
            <wp:docPr descr="Рис. 10: Эпидемический порог модели SIR при \beta = 1, \nu = 0.3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3"/>
    <w:bookmarkStart w:id="72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</w:p>
    <w:p>
      <w:pPr>
        <w:pStyle w:val="FirstParagraph"/>
      </w:pPr>
      <w:r>
        <w:t xml:space="preserve">Теперь выполним симуляции, задав конечное время 30 с (рис. 11).</w:t>
      </w:r>
    </w:p>
    <w:p>
      <w:pPr>
        <w:pStyle w:val="CaptionedFigure"/>
      </w:pPr>
      <w:bookmarkStart w:id="67" w:name="fig:011"/>
      <w:r>
        <w:drawing>
          <wp:inline>
            <wp:extent cx="5334000" cy="2164845"/>
            <wp:effectExtent b="0" l="0" r="0" t="0"/>
            <wp:docPr descr="Рис. 11: Установка симуляции в OpenModelica" title="" id="65" name="Picture"/>
            <a:graphic>
              <a:graphicData uri="http://schemas.openxmlformats.org/drawingml/2006/picture">
                <pic:pic>
                  <pic:nvPicPr>
                    <pic:cNvPr descr="image/12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Установка симуляции в OpenModelica</w:t>
      </w:r>
    </w:p>
    <w:p>
      <w:pPr>
        <w:pStyle w:val="BodyText"/>
      </w:pPr>
      <w:r>
        <w:t xml:space="preserve">В результате получаем следующий график (рис. 12). Он идентичен предыдущим графикам выполненным 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p>
      <w:pPr>
        <w:pStyle w:val="CaptionedFigure"/>
      </w:pPr>
      <w:bookmarkStart w:id="71" w:name="fig:012"/>
      <w:r>
        <w:drawing>
          <wp:inline>
            <wp:extent cx="5334000" cy="2987337"/>
            <wp:effectExtent b="0" l="0" r="0" t="0"/>
            <wp:docPr descr="Рис. 12: Эпидемический порог модели SIR при \beta = 1, \nu = 0.3" title="" id="69" name="Picture"/>
            <a:graphic>
              <a:graphicData uri="http://schemas.openxmlformats.org/drawingml/2006/picture">
                <pic:pic>
                  <pic:nvPicPr>
                    <pic:cNvPr descr="image/11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72"/>
    <w:bookmarkStart w:id="124" w:name="задание-для-самостоятельного-выполнен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Cs/>
          <w:i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</w:t>
      </w:r>
    </w:p>
    <w:p>
      <w:pPr>
        <w:pStyle w:val="CaptionedFigure"/>
      </w:pPr>
      <w:bookmarkStart w:id="76" w:name="fig:013"/>
      <w:r>
        <w:drawing>
          <wp:inline>
            <wp:extent cx="5334000" cy="3144468"/>
            <wp:effectExtent b="0" l="0" r="0" t="0"/>
            <wp:docPr descr="Рис. 13: Модель SIR с учетом демографических процессов в xcos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Модель SIR с учетом демографических процессов в xcos</w:t>
      </w:r>
    </w:p>
    <w:p>
      <w:pPr>
        <w:pStyle w:val="BodyText"/>
      </w:pPr>
      <w:r>
        <w:t xml:space="preserve">В результате получаем следующий график (рис. 14).</w:t>
      </w:r>
    </w:p>
    <w:p>
      <w:pPr>
        <w:pStyle w:val="CaptionedFigure"/>
      </w:pPr>
      <w:bookmarkStart w:id="80" w:name="fig:014"/>
      <w:r>
        <w:drawing>
          <wp:inline>
            <wp:extent cx="5120640" cy="2247900"/>
            <wp:effectExtent b="0" l="0" r="0" t="0"/>
            <wp:docPr descr="Рис. 14: График модели SIR с учетом демографических процессов" title="" id="78" name="Picture"/>
            <a:graphic>
              <a:graphicData uri="http://schemas.openxmlformats.org/drawingml/2006/picture">
                <pic:pic>
                  <pic:nvPicPr>
                    <pic:cNvPr descr="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График модели SIR с учетом демографических процессов</w:t>
      </w:r>
    </w:p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 помощью блоков Modelica (рис. 15).</w:t>
      </w:r>
    </w:p>
    <w:p>
      <w:pPr>
        <w:pStyle w:val="CaptionedFigure"/>
      </w:pPr>
      <w:bookmarkStart w:id="84" w:name="fig:015"/>
      <w:r>
        <w:drawing>
          <wp:inline>
            <wp:extent cx="4251960" cy="2987040"/>
            <wp:effectExtent b="0" l="0" r="0" t="0"/>
            <wp:docPr descr="Рис. 15: Модель SIR с учетом демографических процессов в xcos с применением блока Modelica" title="" id="82" name="Picture"/>
            <a:graphic>
              <a:graphicData uri="http://schemas.openxmlformats.org/drawingml/2006/picture">
                <pic:pic>
                  <pic:nvPicPr>
                    <pic:cNvPr descr="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Модель SIR с учетом демографических процессов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16,17.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</w:t>
      </w:r>
      <w:r>
        <w:t xml:space="preserve">”</w:t>
      </w:r>
      <w:r>
        <w:t xml:space="preserve"> 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88" w:name="fig:016"/>
      <w:r>
        <w:drawing>
          <wp:inline>
            <wp:extent cx="3101340" cy="2971800"/>
            <wp:effectExtent b="0" l="0" r="0" t="0"/>
            <wp:docPr descr="Рис. 16: Параметры блока Modelica для модели SIR с учетом демографических процессов" title="" id="86" name="Picture"/>
            <a:graphic>
              <a:graphicData uri="http://schemas.openxmlformats.org/drawingml/2006/picture">
                <pic:pic>
                  <pic:nvPicPr>
                    <pic:cNvPr descr="image/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Параметры блока Modelica для модели SIR с учетом демографических процессов</w:t>
      </w:r>
    </w:p>
    <w:p>
      <w:pPr>
        <w:pStyle w:val="CaptionedFigure"/>
      </w:pPr>
      <w:bookmarkStart w:id="92" w:name="fig:017"/>
      <w:r>
        <w:drawing>
          <wp:inline>
            <wp:extent cx="3261360" cy="3314700"/>
            <wp:effectExtent b="0" l="0" r="0" t="0"/>
            <wp:docPr descr="Рис. 17: Параметры блока Modelica для модели SIR с учетом демографических процессов" title="" id="90" name="Picture"/>
            <a:graphic>
              <a:graphicData uri="http://schemas.openxmlformats.org/drawingml/2006/picture">
                <pic:pic>
                  <pic:nvPicPr>
                    <pic:cNvPr descr="image/17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Параметры блока Modelica для модели SIR с учетом демографических процессов</w:t>
      </w:r>
    </w:p>
    <w:p>
      <w:pPr>
        <w:pStyle w:val="BodyText"/>
      </w:pPr>
      <w:r>
        <w:t xml:space="preserve">В результате получаем следующий график (рис. 18).</w:t>
      </w:r>
    </w:p>
    <w:p>
      <w:pPr>
        <w:pStyle w:val="CaptionedFigure"/>
      </w:pPr>
      <w:bookmarkStart w:id="96" w:name="fig:018"/>
      <w:r>
        <w:drawing>
          <wp:inline>
            <wp:extent cx="4968240" cy="3596640"/>
            <wp:effectExtent b="0" l="0" r="0" t="0"/>
            <wp:docPr descr="Рис. 18: График модели SIR с учетом демографических процессов" title="" id="94" name="Picture"/>
            <a:graphic>
              <a:graphicData uri="http://schemas.openxmlformats.org/drawingml/2006/picture">
                <pic:pic>
                  <pic:nvPicPr>
                    <pic:cNvPr descr="image/18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График модели SIR с учетом демографических процессов</w:t>
      </w:r>
    </w:p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p>
      <w:pPr>
        <w:pStyle w:val="FirstParagraph"/>
      </w:pPr>
      <w:r>
        <w:t xml:space="preserve">Выполнив симуляцию, получим следующий график (рис. 19).</w:t>
      </w:r>
    </w:p>
    <w:p>
      <w:pPr>
        <w:pStyle w:val="CaptionedFigure"/>
      </w:pPr>
      <w:bookmarkStart w:id="100" w:name="fig:019"/>
      <w:r>
        <w:drawing>
          <wp:inline>
            <wp:extent cx="5334000" cy="2003611"/>
            <wp:effectExtent b="0" l="0" r="0" t="0"/>
            <wp:docPr descr="Рис. 19: График модели SIR с учетом демографических процессов" title="" id="98" name="Picture"/>
            <a:graphic>
              <a:graphicData uri="http://schemas.openxmlformats.org/drawingml/2006/picture">
                <pic:pic>
                  <pic:nvPicPr>
                    <pic:cNvPr descr="image/19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19: График модели SIR с учетом демографических процессов</w:t>
      </w:r>
    </w:p>
    <w:p>
      <w:pPr>
        <w:pStyle w:val="BodyText"/>
      </w:pPr>
      <w:r>
        <w:t xml:space="preserve">Теперь построим графики при разных значениях параметров.</w:t>
      </w:r>
    </w:p>
    <w:p>
      <w:pPr>
        <w:numPr>
          <w:ilvl w:val="0"/>
          <w:numId w:val="1003"/>
        </w:numPr>
        <w:pStyle w:val="Compact"/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4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bookmarkStart w:id="103" w:name="fig:020"/>
      <w:r>
        <w:drawing>
          <wp:inline>
            <wp:extent cx="5334000" cy="2003611"/>
            <wp:effectExtent b="0" l="0" r="0" t="0"/>
            <wp:docPr descr="Рис. 20: График модели SIR с учетом демографических процессов" title="" id="101" name="Picture"/>
            <a:graphic>
              <a:graphicData uri="http://schemas.openxmlformats.org/drawingml/2006/picture">
                <pic:pic>
                  <pic:nvPicPr>
                    <pic:cNvPr descr="image/19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График модели SIR с учетом демографических процессов</w:t>
      </w:r>
    </w:p>
    <w:p>
      <w:pPr>
        <w:numPr>
          <w:ilvl w:val="0"/>
          <w:numId w:val="1005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0.3</m:t>
        </m:r>
      </m:oMath>
    </w:p>
    <w:p>
      <w:pPr>
        <w:pStyle w:val="CaptionedFigure"/>
      </w:pPr>
      <w:bookmarkStart w:id="107" w:name="fig:021"/>
      <w:r>
        <w:drawing>
          <wp:inline>
            <wp:extent cx="5334000" cy="1851211"/>
            <wp:effectExtent b="0" l="0" r="0" t="0"/>
            <wp:docPr descr="Рис. 21: График модели SIR с учетом демографических процессов" title="" id="105" name="Picture"/>
            <a:graphic>
              <a:graphicData uri="http://schemas.openxmlformats.org/drawingml/2006/picture">
                <pic:pic>
                  <pic:nvPicPr>
                    <pic:cNvPr descr="image/20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График модели SIR с учетом демографических процессов</w:t>
      </w:r>
    </w:p>
    <w:p>
      <w:pPr>
        <w:numPr>
          <w:ilvl w:val="0"/>
          <w:numId w:val="1006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bookmarkStart w:id="111" w:name="fig:022"/>
      <w:r>
        <w:drawing>
          <wp:inline>
            <wp:extent cx="5082540" cy="3444240"/>
            <wp:effectExtent b="0" l="0" r="0" t="0"/>
            <wp:docPr descr="Рис. 22: График модели SIR с учетом демографических процессов" title="" id="109" name="Picture"/>
            <a:graphic>
              <a:graphicData uri="http://schemas.openxmlformats.org/drawingml/2006/picture">
                <pic:pic>
                  <pic:nvPicPr>
                    <pic:cNvPr descr="image/21.jp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График модели SIR с учетом демографических процессов</w:t>
      </w:r>
    </w:p>
    <w:p>
      <w:pPr>
        <w:numPr>
          <w:ilvl w:val="0"/>
          <w:numId w:val="1007"/>
        </w:numPr>
        <w:pStyle w:val="Compact"/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8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bookmarkStart w:id="115" w:name="fig:023"/>
      <w:r>
        <w:drawing>
          <wp:inline>
            <wp:extent cx="5021580" cy="3398520"/>
            <wp:effectExtent b="0" l="0" r="0" t="0"/>
            <wp:docPr descr="Рис. 23: График модели SIR с учетом демографических процессов" title="" id="113" name="Picture"/>
            <a:graphic>
              <a:graphicData uri="http://schemas.openxmlformats.org/drawingml/2006/picture">
                <pic:pic>
                  <pic:nvPicPr>
                    <pic:cNvPr descr="image/22.jp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Рис. 23: График модели SIR с учетом демографических процессов</w:t>
      </w:r>
    </w:p>
    <w:p>
      <w:pPr>
        <w:numPr>
          <w:ilvl w:val="0"/>
          <w:numId w:val="1009"/>
        </w:numPr>
        <w:pStyle w:val="Compact"/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bookmarkStart w:id="119" w:name="fig:024"/>
      <w:r>
        <w:drawing>
          <wp:inline>
            <wp:extent cx="4892040" cy="2232660"/>
            <wp:effectExtent b="0" l="0" r="0" t="0"/>
            <wp:docPr descr="Рис. 24: График модели SIR с учетом демографических процессов" title="" id="117" name="Picture"/>
            <a:graphic>
              <a:graphicData uri="http://schemas.openxmlformats.org/drawingml/2006/picture">
                <pic:pic>
                  <pic:nvPicPr>
                    <pic:cNvPr descr="image/23.jp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Рис. 24: График модели SIR с учетом демографических процессов</w:t>
      </w:r>
    </w:p>
    <w:p>
      <w:pPr>
        <w:numPr>
          <w:ilvl w:val="0"/>
          <w:numId w:val="1010"/>
        </w:numPr>
        <w:pStyle w:val="Compact"/>
      </w:pPr>
      <m:oMath>
        <m:r>
          <m:t>β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0.2</m:t>
        </m:r>
      </m:oMath>
    </w:p>
    <w:p>
      <w:pPr>
        <w:pStyle w:val="CaptionedFigure"/>
      </w:pPr>
      <w:bookmarkStart w:id="123" w:name="fig:025"/>
      <w:r>
        <w:drawing>
          <wp:inline>
            <wp:extent cx="4960620" cy="2263140"/>
            <wp:effectExtent b="0" l="0" r="0" t="0"/>
            <wp:docPr descr="Рис. 25: График модели SIR с учетом демографических процессов" title="" id="121" name="Picture"/>
            <a:graphic>
              <a:graphicData uri="http://schemas.openxmlformats.org/drawingml/2006/picture">
                <pic:pic>
                  <pic:nvPicPr>
                    <pic:cNvPr descr="image/24.jp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Рис. 25: График модели SIR с учетом демографических процессов</w:t>
      </w:r>
    </w:p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</w:t>
      </w:r>
      <w:r>
        <w:t xml:space="preserve"> </w:t>
      </w:r>
      <w:r>
        <w:t xml:space="preserve">состояния. При высоком коэффициенте заражения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система быстро проходит через пик развития эпидемии и достигает стационарного состояния.</w:t>
      </w:r>
    </w:p>
    <w:bookmarkEnd w:id="124"/>
    <w:bookmarkEnd w:id="125"/>
    <w:bookmarkStart w:id="1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 построен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и OpenModelica.</w:t>
      </w:r>
    </w:p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8" Target="media/rId68.jpg" /><Relationship Type="http://schemas.openxmlformats.org/officeDocument/2006/relationships/image" Id="rId64" Target="media/rId64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26" Target="media/rId26.jpg" /><Relationship Type="http://schemas.openxmlformats.org/officeDocument/2006/relationships/image" Id="rId104" Target="media/rId104.jpg" /><Relationship Type="http://schemas.openxmlformats.org/officeDocument/2006/relationships/image" Id="rId108" Target="media/rId108.jpg" /><Relationship Type="http://schemas.openxmlformats.org/officeDocument/2006/relationships/image" Id="rId112" Target="media/rId112.jpg" /><Relationship Type="http://schemas.openxmlformats.org/officeDocument/2006/relationships/image" Id="rId116" Target="media/rId116.jpg" /><Relationship Type="http://schemas.openxmlformats.org/officeDocument/2006/relationships/image" Id="rId120" Target="media/rId120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Алади Принц Чисом</dc:creator>
  <dc:language>ru-RU</dc:language>
  <cp:keywords/>
  <dcterms:created xsi:type="dcterms:W3CDTF">2025-03-08T14:12:35Z</dcterms:created>
  <dcterms:modified xsi:type="dcterms:W3CDTF">2025-03-08T14:12:35Z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эпидемии (SIR)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