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D96DF" w14:textId="77777777" w:rsidR="00FD4818" w:rsidRPr="00FD4818" w:rsidRDefault="00FD4818" w:rsidP="00FD48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4818">
        <w:rPr>
          <w:rFonts w:ascii="Times New Roman" w:eastAsia="Times New Roman" w:hAnsi="Times New Roman" w:cs="Times New Roman"/>
          <w:b/>
          <w:bCs/>
          <w:kern w:val="36"/>
          <w:sz w:val="48"/>
          <w:szCs w:val="48"/>
          <w14:ligatures w14:val="none"/>
        </w:rPr>
        <w:t xml:space="preserve">Study Guide for NVIDIA Agentic </w:t>
      </w:r>
      <w:proofErr w:type="spellStart"/>
      <w:r w:rsidRPr="00FD4818">
        <w:rPr>
          <w:rFonts w:ascii="Times New Roman" w:eastAsia="Times New Roman" w:hAnsi="Times New Roman" w:cs="Times New Roman"/>
          <w:b/>
          <w:bCs/>
          <w:kern w:val="36"/>
          <w:sz w:val="48"/>
          <w:szCs w:val="48"/>
          <w14:ligatures w14:val="none"/>
        </w:rPr>
        <w:t>NeMo</w:t>
      </w:r>
      <w:proofErr w:type="spellEnd"/>
    </w:p>
    <w:p w14:paraId="4FA1B48A" w14:textId="77777777" w:rsidR="00FD4818" w:rsidRPr="00FD4818" w:rsidRDefault="00FD4818" w:rsidP="00FD48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818">
        <w:rPr>
          <w:rFonts w:ascii="Times New Roman" w:eastAsia="Times New Roman" w:hAnsi="Times New Roman" w:cs="Times New Roman"/>
          <w:b/>
          <w:bCs/>
          <w:kern w:val="0"/>
          <w:sz w:val="36"/>
          <w:szCs w:val="36"/>
          <w14:ligatures w14:val="none"/>
        </w:rPr>
        <w:t>Quiz: Short-Answer Questions</w:t>
      </w:r>
    </w:p>
    <w:p w14:paraId="0997EF92"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i/>
          <w:iCs/>
          <w:kern w:val="0"/>
          <w14:ligatures w14:val="none"/>
        </w:rPr>
        <w:t>Answer each of the following questions in 2-3 sentences based on the provided context.</w:t>
      </w:r>
    </w:p>
    <w:p w14:paraId="24CE7AEC" w14:textId="77777777" w:rsidR="00FD4818" w:rsidRPr="00FD4818" w:rsidRDefault="00FD4818" w:rsidP="00FD48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What is Agentic AI and how does it differ from traditional large language models (LLMs)?</w:t>
      </w:r>
    </w:p>
    <w:p w14:paraId="204E8322" w14:textId="77777777" w:rsidR="00FD4818" w:rsidRPr="00FD4818" w:rsidRDefault="00FD4818" w:rsidP="00FD48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List and briefly describe the five continuous cycles of an agentic system.</w:t>
      </w:r>
    </w:p>
    <w:p w14:paraId="7F096931" w14:textId="77777777" w:rsidR="00FD4818" w:rsidRPr="00FD4818" w:rsidRDefault="00FD4818" w:rsidP="00FD48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Why is there a growing enterprise demand for Agentic AI over traditional LLMs?</w:t>
      </w:r>
    </w:p>
    <w:p w14:paraId="271585B2" w14:textId="77777777" w:rsidR="00FD4818" w:rsidRPr="00FD4818" w:rsidRDefault="00FD4818" w:rsidP="00FD48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What pivotal shift occurred in the evolution of the NVIDIA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framework in 2024?</w:t>
      </w:r>
    </w:p>
    <w:p w14:paraId="7FB6D21B" w14:textId="77777777" w:rsidR="00FD4818" w:rsidRPr="00FD4818" w:rsidRDefault="00FD4818" w:rsidP="00FD48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What is the role of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Guardrails within the Agentic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architecture?</w:t>
      </w:r>
    </w:p>
    <w:p w14:paraId="23A74AD9" w14:textId="77777777" w:rsidR="00FD4818" w:rsidRPr="00FD4818" w:rsidRDefault="00FD4818" w:rsidP="00FD48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Explain the function of the Tool-Use and API Action Layer in an Agentic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system.</w:t>
      </w:r>
    </w:p>
    <w:p w14:paraId="63EF3608" w14:textId="77777777" w:rsidR="00FD4818" w:rsidRPr="00FD4818" w:rsidRDefault="00FD4818" w:rsidP="00FD48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What is the purpose of the RAG Retrieval Layer in the technical architecture?</w:t>
      </w:r>
    </w:p>
    <w:p w14:paraId="6AF8AA85" w14:textId="77777777" w:rsidR="00FD4818" w:rsidRPr="00FD4818" w:rsidRDefault="00FD4818" w:rsidP="00FD48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Identify three primary sources of latency that can degrade user experience in agentic workflows.</w:t>
      </w:r>
    </w:p>
    <w:p w14:paraId="60B29372" w14:textId="77777777" w:rsidR="00FD4818" w:rsidRPr="00FD4818" w:rsidRDefault="00FD4818" w:rsidP="00FD48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How does the </w:t>
      </w:r>
      <w:proofErr w:type="spellStart"/>
      <w:r w:rsidRPr="00FD4818">
        <w:rPr>
          <w:rFonts w:ascii="Times New Roman" w:eastAsia="Times New Roman" w:hAnsi="Times New Roman" w:cs="Times New Roman"/>
          <w:kern w:val="0"/>
          <w14:ligatures w14:val="none"/>
        </w:rPr>
        <w:t>TensorRT</w:t>
      </w:r>
      <w:proofErr w:type="spellEnd"/>
      <w:r w:rsidRPr="00FD4818">
        <w:rPr>
          <w:rFonts w:ascii="Times New Roman" w:eastAsia="Times New Roman" w:hAnsi="Times New Roman" w:cs="Times New Roman"/>
          <w:kern w:val="0"/>
          <w14:ligatures w14:val="none"/>
        </w:rPr>
        <w:t>-LLM Inference Acceleration technique help optimize real-time performance?</w:t>
      </w:r>
    </w:p>
    <w:p w14:paraId="3DCF623E" w14:textId="77777777" w:rsidR="00FD4818" w:rsidRPr="00FD4818" w:rsidRDefault="00FD4818" w:rsidP="00FD48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Describe the real-world use case for an Agentic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system in the financial services industry.</w:t>
      </w:r>
    </w:p>
    <w:p w14:paraId="57F8B898"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 </w:t>
      </w:r>
    </w:p>
    <w:p w14:paraId="7BCE7169" w14:textId="77777777" w:rsidR="00FD4818" w:rsidRPr="00FD4818" w:rsidRDefault="00FD4818" w:rsidP="00FD48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818">
        <w:rPr>
          <w:rFonts w:ascii="Times New Roman" w:eastAsia="Times New Roman" w:hAnsi="Times New Roman" w:cs="Times New Roman"/>
          <w:b/>
          <w:bCs/>
          <w:kern w:val="0"/>
          <w:sz w:val="36"/>
          <w:szCs w:val="36"/>
          <w14:ligatures w14:val="none"/>
        </w:rPr>
        <w:t>Answer Key</w:t>
      </w:r>
    </w:p>
    <w:p w14:paraId="39E1D350" w14:textId="77777777" w:rsidR="00FD4818" w:rsidRPr="00FD4818" w:rsidRDefault="00FD4818" w:rsidP="00FD48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Agentic AI refers to systems designed to autonomously perceive goals, create plans, execute multi-step actions, and adapt based on environmental feedback. Unlike traditional LLMs, which are limited to single-turn, static responses to prompts, agentic systems engage in continuous, dynamic interactions to achieve complex objectives.</w:t>
      </w:r>
    </w:p>
    <w:p w14:paraId="27747BCE" w14:textId="77777777" w:rsidR="00FD4818" w:rsidRPr="00FD4818" w:rsidRDefault="00FD4818" w:rsidP="00FD48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The five continuous cycles are: Goal Identification (understanding user intent), Planning and Reasoning (creating a step-by-step plan), Action Execution (interacting with external systems and tools), Memory Update (storing interaction history to maintain context), and Feedback Reflection (analyzing outcomes to refine future actions).</w:t>
      </w:r>
    </w:p>
    <w:p w14:paraId="3ABE5C36" w14:textId="77777777" w:rsidR="00FD4818" w:rsidRPr="00FD4818" w:rsidRDefault="00FD4818" w:rsidP="00FD48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Enterprises demand Agentic AI because complex workflows require proactive, autonomous systems that can operate without constant human intervention. Traditional LLMs are insufficient for dynamic environments where conditions change, and they lack the built-in mechanisms to enforce the strict safety, compliance, and security guardrails necessary for business operations.</w:t>
      </w:r>
    </w:p>
    <w:p w14:paraId="33E45D4F" w14:textId="77777777" w:rsidR="00FD4818" w:rsidRPr="00FD4818" w:rsidRDefault="00FD4818" w:rsidP="00FD48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The pivotal shift in 2024 was "Agentic Enablement," which transformed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into a platform for building truly autonomous AI agents. This involved providing the full orchestration of planning, memory, tool-use, and safety modules.</w:t>
      </w:r>
    </w:p>
    <w:p w14:paraId="5ADC636F" w14:textId="77777777" w:rsidR="00FD4818" w:rsidRPr="00FD4818" w:rsidRDefault="00FD4818" w:rsidP="00FD48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Guardrails enforce enterprise-grade policy and trust boundaries on both conversations and actions performed by the agent. They validate outputs against safety </w:t>
      </w:r>
      <w:r w:rsidRPr="00FD4818">
        <w:rPr>
          <w:rFonts w:ascii="Times New Roman" w:eastAsia="Times New Roman" w:hAnsi="Times New Roman" w:cs="Times New Roman"/>
          <w:kern w:val="0"/>
          <w14:ligatures w14:val="none"/>
        </w:rPr>
        <w:lastRenderedPageBreak/>
        <w:t>standards, prevent unauthorized tool use, and ensure all operations align with pre-defined ethical, security, and compliance frameworks.</w:t>
      </w:r>
    </w:p>
    <w:p w14:paraId="53DF7AF4" w14:textId="77777777" w:rsidR="00FD4818" w:rsidRPr="00FD4818" w:rsidRDefault="00FD4818" w:rsidP="00FD48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The Tool-Use and API Action Layer </w:t>
      </w:r>
      <w:proofErr w:type="gramStart"/>
      <w:r w:rsidRPr="00FD4818">
        <w:rPr>
          <w:rFonts w:ascii="Times New Roman" w:eastAsia="Times New Roman" w:hAnsi="Times New Roman" w:cs="Times New Roman"/>
          <w:kern w:val="0"/>
          <w14:ligatures w14:val="none"/>
        </w:rPr>
        <w:t>transforms</w:t>
      </w:r>
      <w:proofErr w:type="gramEnd"/>
      <w:r w:rsidRPr="00FD4818">
        <w:rPr>
          <w:rFonts w:ascii="Times New Roman" w:eastAsia="Times New Roman" w:hAnsi="Times New Roman" w:cs="Times New Roman"/>
          <w:kern w:val="0"/>
          <w14:ligatures w14:val="none"/>
        </w:rPr>
        <w:t xml:space="preserve"> an agent from a passive responder into an active participant capable of real-world actions. It allows the agent to dynamically call external APIs, query databases, and trigger workflows in enterprise systems based on structured tool schemas.</w:t>
      </w:r>
    </w:p>
    <w:p w14:paraId="3F7CD67B" w14:textId="77777777" w:rsidR="00FD4818" w:rsidRPr="00FD4818" w:rsidRDefault="00FD4818" w:rsidP="00FD48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The RAG (Retrieval-Augmented Generation) Retrieval Layer connects the agentic system to external data sources, such as vector databases. This layer allows the agent to fetch real-time, relevant knowledge, documents, or structured data, enriching its reasoning beyond its static pre-trained knowledge.</w:t>
      </w:r>
    </w:p>
    <w:p w14:paraId="333CFF7B" w14:textId="77777777" w:rsidR="00FD4818" w:rsidRPr="00FD4818" w:rsidRDefault="00FD4818" w:rsidP="00FD48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Primary sources of latency include the LLM inference time for large models, retrieval delays from vector databases during RAG operations, and delays from external API and tool invocations. Additionally, the validation overhead introduced by Guardrails at each step contributes to overall latency.</w:t>
      </w:r>
    </w:p>
    <w:p w14:paraId="4621E082" w14:textId="77777777" w:rsidR="00FD4818" w:rsidRPr="00FD4818" w:rsidRDefault="00FD4818" w:rsidP="00FD48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4818">
        <w:rPr>
          <w:rFonts w:ascii="Times New Roman" w:eastAsia="Times New Roman" w:hAnsi="Times New Roman" w:cs="Times New Roman"/>
          <w:kern w:val="0"/>
          <w14:ligatures w14:val="none"/>
        </w:rPr>
        <w:t>TensorRT</w:t>
      </w:r>
      <w:proofErr w:type="spellEnd"/>
      <w:r w:rsidRPr="00FD4818">
        <w:rPr>
          <w:rFonts w:ascii="Times New Roman" w:eastAsia="Times New Roman" w:hAnsi="Times New Roman" w:cs="Times New Roman"/>
          <w:kern w:val="0"/>
          <w14:ligatures w14:val="none"/>
        </w:rPr>
        <w:t>-LLM Inference Acceleration significantly reduces LLM inference latency, which is a primary performance bottleneck. It achieves this by quantizing models to lower precision formats like FP8 or INT8 and applying graph optimizations to the model's computational structure.</w:t>
      </w:r>
    </w:p>
    <w:p w14:paraId="1CAEB85D" w14:textId="77777777" w:rsidR="00FD4818" w:rsidRPr="00FD4818" w:rsidRDefault="00FD4818" w:rsidP="00FD48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 financial analysis agent can monitor real-time financial APIs for stock market data, retrieve corporate filings like SEC 10-Ks, and analyze risk factors to automatically generate financial risk assessments. This allows the agent to deliver insights to analysts with minimal manual intervention, adapting dynamically to market volatility.</w:t>
      </w:r>
    </w:p>
    <w:p w14:paraId="75E39928"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 </w:t>
      </w:r>
    </w:p>
    <w:p w14:paraId="37777769" w14:textId="77777777" w:rsidR="00FD4818" w:rsidRPr="00FD4818" w:rsidRDefault="00FD4818" w:rsidP="00FD48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818">
        <w:rPr>
          <w:rFonts w:ascii="Times New Roman" w:eastAsia="Times New Roman" w:hAnsi="Times New Roman" w:cs="Times New Roman"/>
          <w:b/>
          <w:bCs/>
          <w:kern w:val="0"/>
          <w:sz w:val="36"/>
          <w:szCs w:val="36"/>
          <w14:ligatures w14:val="none"/>
        </w:rPr>
        <w:t>Essay Questions</w:t>
      </w:r>
    </w:p>
    <w:p w14:paraId="7D2CD5ED"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i/>
          <w:iCs/>
          <w:kern w:val="0"/>
          <w14:ligatures w14:val="none"/>
        </w:rPr>
        <w:t>Develop detailed responses to the following prompts, synthesizing information from the provided context to support your arguments.</w:t>
      </w:r>
    </w:p>
    <w:p w14:paraId="3C17DCAF" w14:textId="77777777" w:rsidR="00FD4818" w:rsidRPr="00FD4818" w:rsidRDefault="00FD4818" w:rsidP="00FD481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Compare and contrast traditional large language models (LLMs) with Agentic AI systems. Discuss the specific enterprise needs that drive the shift towards agentic solutions, focusing on autonomy, environmental dynamics, and safety.</w:t>
      </w:r>
    </w:p>
    <w:p w14:paraId="7A79FB84" w14:textId="77777777" w:rsidR="00FD4818" w:rsidRPr="00FD4818" w:rsidRDefault="00FD4818" w:rsidP="00FD481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Trace the evolution of the NVIDIA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framework from its origins in 2019-2020 to its agentic enablement in 2024. Explain how each key milestone (Megatron-LM, fine-tuning, Guardrails/RAG, and Agentic Enablement) built upon the previous one to create a comprehensive platform for autonomous AI.</w:t>
      </w:r>
    </w:p>
    <w:p w14:paraId="34B2DDE8" w14:textId="77777777" w:rsidR="00FD4818" w:rsidRPr="00FD4818" w:rsidRDefault="00FD4818" w:rsidP="00FD481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Describe the layered technical architecture of an Agentic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system. Detail the function and interaction of at least five of the following layers: User Interface, API Gateway, Planning and Reasoning, Memory and Context, RAG Retrieval, Tool-Execution, Guardrails, and Inference Serving.</w:t>
      </w:r>
    </w:p>
    <w:p w14:paraId="4CF7D6C9" w14:textId="77777777" w:rsidR="00FD4818" w:rsidRPr="00FD4818" w:rsidRDefault="00FD4818" w:rsidP="00FD481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Analyze the performance challenges, particularly latency, inherent in building and operating agentic AI systems at scale. Discuss three specific optimization techniques (e.g., </w:t>
      </w:r>
      <w:proofErr w:type="spellStart"/>
      <w:r w:rsidRPr="00FD4818">
        <w:rPr>
          <w:rFonts w:ascii="Times New Roman" w:eastAsia="Times New Roman" w:hAnsi="Times New Roman" w:cs="Times New Roman"/>
          <w:kern w:val="0"/>
          <w14:ligatures w14:val="none"/>
        </w:rPr>
        <w:t>TensorRT</w:t>
      </w:r>
      <w:proofErr w:type="spellEnd"/>
      <w:r w:rsidRPr="00FD4818">
        <w:rPr>
          <w:rFonts w:ascii="Times New Roman" w:eastAsia="Times New Roman" w:hAnsi="Times New Roman" w:cs="Times New Roman"/>
          <w:kern w:val="0"/>
          <w14:ligatures w14:val="none"/>
        </w:rPr>
        <w:t xml:space="preserve">-LLM, Parallel Execution) and three scaling strategies (e.g., Inference Clustering, Load Balancing) used by Agentic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to ensure real-time performance and handle enterprise workloads.</w:t>
      </w:r>
    </w:p>
    <w:p w14:paraId="5AF7BE20" w14:textId="77777777" w:rsidR="00FD4818" w:rsidRPr="00FD4818" w:rsidRDefault="00FD4818" w:rsidP="00FD481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lastRenderedPageBreak/>
        <w:t xml:space="preserve">Select two of the real-world use cases presented (Healthcare, IT Support, or Manufacturing). For each case, explain how specific core building blocks of Agentic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—such as RAG pipelines, the Tool-Use and API Action Layer, and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Guardrails—are essential for the agent's successful and safe operation in that domain.</w:t>
      </w:r>
    </w:p>
    <w:p w14:paraId="6D45BB0C"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 </w:t>
      </w:r>
    </w:p>
    <w:p w14:paraId="2725AB01" w14:textId="77777777" w:rsidR="00FD4818" w:rsidRPr="00FD4818" w:rsidRDefault="00FD4818" w:rsidP="00FD48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818">
        <w:rPr>
          <w:rFonts w:ascii="Times New Roman" w:eastAsia="Times New Roman" w:hAnsi="Times New Roman" w:cs="Times New Roman"/>
          <w:b/>
          <w:bCs/>
          <w:kern w:val="0"/>
          <w:sz w:val="36"/>
          <w:szCs w:val="36"/>
          <w14:ligatures w14:val="none"/>
        </w:rPr>
        <w:t>Glossary of Key Terms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92"/>
        <w:gridCol w:w="7052"/>
      </w:tblGrid>
      <w:tr w:rsidR="00FD4818" w:rsidRPr="00FD4818" w14:paraId="134128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1E1190"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7B94B719"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Definition</w:t>
            </w:r>
          </w:p>
        </w:tc>
      </w:tr>
      <w:tr w:rsidR="00FD4818" w:rsidRPr="00FD4818" w14:paraId="0613E1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BF72CA"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Agentic AI</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376DD"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Systems designed with the capability to autonomously perceive goals, generate plans, execute multi-step actions, adapt based on environmental feedback, and reason over time.</w:t>
            </w:r>
          </w:p>
        </w:tc>
      </w:tr>
      <w:tr w:rsidR="00FD4818" w:rsidRPr="00FD4818" w14:paraId="51BF27D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AE086A"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API Gateway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5B00A"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 critical intermediary in the technical architecture that manages infrastructure tasks like authentication, authorization, request routing, load balancing, and traffic management.</w:t>
            </w:r>
          </w:p>
        </w:tc>
      </w:tr>
      <w:tr w:rsidR="00FD4818" w:rsidRPr="00FD4818" w14:paraId="523287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67D2B3"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4818">
              <w:rPr>
                <w:rFonts w:ascii="Times New Roman" w:eastAsia="Times New Roman" w:hAnsi="Times New Roman" w:cs="Times New Roman"/>
                <w:b/>
                <w:bCs/>
                <w:kern w:val="0"/>
                <w14:ligatures w14:val="none"/>
              </w:rPr>
              <w:t>DeepSpeed</w:t>
            </w:r>
            <w:proofErr w:type="spellEnd"/>
            <w:r w:rsidRPr="00FD4818">
              <w:rPr>
                <w:rFonts w:ascii="Times New Roman" w:eastAsia="Times New Roman" w:hAnsi="Times New Roman" w:cs="Times New Roman"/>
                <w:b/>
                <w:bCs/>
                <w:kern w:val="0"/>
                <w14:ligatures w14:val="none"/>
              </w:rPr>
              <w:t xml:space="preserve"> Integration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0AD8F9"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An optimization technique that enhances efficiency by optimizing multi-GPU and multi-node communication, minimizing training and fine-tuning overheads.</w:t>
            </w:r>
          </w:p>
        </w:tc>
      </w:tr>
      <w:tr w:rsidR="00FD4818" w:rsidRPr="00FD4818" w14:paraId="4F1DF8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953CCE"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Elastic Vector Databases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A9409"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Horizontally scalable vector stores and knowledge retrieval systems (e.g., FAISS, </w:t>
            </w:r>
            <w:proofErr w:type="spellStart"/>
            <w:r w:rsidRPr="00FD4818">
              <w:rPr>
                <w:rFonts w:ascii="Times New Roman" w:eastAsia="Times New Roman" w:hAnsi="Times New Roman" w:cs="Times New Roman"/>
                <w:kern w:val="0"/>
                <w14:ligatures w14:val="none"/>
              </w:rPr>
              <w:t>RedisVector</w:t>
            </w:r>
            <w:proofErr w:type="spellEnd"/>
            <w:r w:rsidRPr="00FD4818">
              <w:rPr>
                <w:rFonts w:ascii="Times New Roman" w:eastAsia="Times New Roman" w:hAnsi="Times New Roman" w:cs="Times New Roman"/>
                <w:kern w:val="0"/>
                <w14:ligatures w14:val="none"/>
              </w:rPr>
              <w:t xml:space="preserve">, </w:t>
            </w:r>
            <w:proofErr w:type="spellStart"/>
            <w:r w:rsidRPr="00FD4818">
              <w:rPr>
                <w:rFonts w:ascii="Times New Roman" w:eastAsia="Times New Roman" w:hAnsi="Times New Roman" w:cs="Times New Roman"/>
                <w:kern w:val="0"/>
                <w14:ligatures w14:val="none"/>
              </w:rPr>
              <w:t>ElasticSearch</w:t>
            </w:r>
            <w:proofErr w:type="spellEnd"/>
            <w:r w:rsidRPr="00FD4818">
              <w:rPr>
                <w:rFonts w:ascii="Times New Roman" w:eastAsia="Times New Roman" w:hAnsi="Times New Roman" w:cs="Times New Roman"/>
                <w:kern w:val="0"/>
                <w14:ligatures w14:val="none"/>
              </w:rPr>
              <w:t>) that prevent performance bottlenecks as data and query volumes increase.</w:t>
            </w:r>
          </w:p>
        </w:tc>
      </w:tr>
      <w:tr w:rsidR="00FD4818" w:rsidRPr="00FD4818" w14:paraId="6E78B19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C03D4B"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Guardrails Policy Enforcement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FC348C"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 layer that enforces safety and compliance by validating conversational outputs, monitoring tool-use actions, and ensuring topic constraints align with enterprise security and ethics policies.</w:t>
            </w:r>
          </w:p>
        </w:tc>
      </w:tr>
      <w:tr w:rsidR="00FD4818" w:rsidRPr="00FD4818" w14:paraId="350ECBB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4168FD"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Inference Clustering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56CE2"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 scaling strategy that involves deploying the NVIDIA Triton Inference Server across numerous GPUs and nodes to distribute the inference workload and prevent bottlenecks.</w:t>
            </w:r>
          </w:p>
        </w:tc>
      </w:tr>
      <w:tr w:rsidR="00FD4818" w:rsidRPr="00FD4818" w14:paraId="7E9B0A6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A99BAC"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Inference Serving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CC5E2CF"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The architectural layer, powered by NVIDIA Triton Inference Server and </w:t>
            </w:r>
            <w:proofErr w:type="spellStart"/>
            <w:r w:rsidRPr="00FD4818">
              <w:rPr>
                <w:rFonts w:ascii="Times New Roman" w:eastAsia="Times New Roman" w:hAnsi="Times New Roman" w:cs="Times New Roman"/>
                <w:kern w:val="0"/>
                <w14:ligatures w14:val="none"/>
              </w:rPr>
              <w:t>TensorRT</w:t>
            </w:r>
            <w:proofErr w:type="spellEnd"/>
            <w:r w:rsidRPr="00FD4818">
              <w:rPr>
                <w:rFonts w:ascii="Times New Roman" w:eastAsia="Times New Roman" w:hAnsi="Times New Roman" w:cs="Times New Roman"/>
                <w:kern w:val="0"/>
                <w14:ligatures w14:val="none"/>
              </w:rPr>
              <w:t>-LLM, that delivers low-latency, high-throughput serving of large language models across multi-GPU deployments.</w:t>
            </w:r>
          </w:p>
        </w:tc>
      </w:tr>
      <w:tr w:rsidR="00FD4818" w:rsidRPr="00FD4818" w14:paraId="0873E19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EBA861"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Load Balancing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74E4F"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 scaling strategy using intelligent routing mechanisms (e.g., Envoy, Nginx) to evenly distribute incoming agent requests across backend servers.</w:t>
            </w:r>
          </w:p>
        </w:tc>
      </w:tr>
      <w:tr w:rsidR="00FD4818" w:rsidRPr="00FD4818" w14:paraId="2754B85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A28D90"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4818">
              <w:rPr>
                <w:rFonts w:ascii="Times New Roman" w:eastAsia="Times New Roman" w:hAnsi="Times New Roman" w:cs="Times New Roman"/>
                <w:b/>
                <w:bCs/>
                <w:kern w:val="0"/>
                <w14:ligatures w14:val="none"/>
              </w:rPr>
              <w:t>LoRA</w:t>
            </w:r>
            <w:proofErr w:type="spellEnd"/>
            <w:r w:rsidRPr="00FD4818">
              <w:rPr>
                <w:rFonts w:ascii="Times New Roman" w:eastAsia="Times New Roman" w:hAnsi="Times New Roman" w:cs="Times New Roman"/>
                <w:b/>
                <w:bCs/>
                <w:kern w:val="0"/>
                <w14:ligatures w14:val="none"/>
              </w:rPr>
              <w:t xml:space="preserve">, </w:t>
            </w:r>
            <w:proofErr w:type="spellStart"/>
            <w:r w:rsidRPr="00FD4818">
              <w:rPr>
                <w:rFonts w:ascii="Times New Roman" w:eastAsia="Times New Roman" w:hAnsi="Times New Roman" w:cs="Times New Roman"/>
                <w:b/>
                <w:bCs/>
                <w:kern w:val="0"/>
                <w14:ligatures w14:val="none"/>
              </w:rPr>
              <w:t>QLoRA</w:t>
            </w:r>
            <w:proofErr w:type="spellEnd"/>
            <w:r w:rsidRPr="00FD4818">
              <w:rPr>
                <w:rFonts w:ascii="Times New Roman" w:eastAsia="Times New Roman" w:hAnsi="Times New Roman" w:cs="Times New Roman"/>
                <w:b/>
                <w:bCs/>
                <w:kern w:val="0"/>
                <w14:ligatures w14:val="none"/>
              </w:rPr>
              <w:t>, Prefix Tuning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DA521"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Crucial fine-tuning techniques that allow for the efficient adaptation of pre-trained models to specific tasks and domains without requiring full retraining.</w:t>
            </w:r>
          </w:p>
        </w:tc>
      </w:tr>
      <w:tr w:rsidR="00FD4818" w:rsidRPr="00FD4818" w14:paraId="1B33BF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306A72"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Megatron-LM</w:t>
            </w:r>
          </w:p>
        </w:tc>
        <w:tc>
          <w:tcPr>
            <w:tcW w:w="0" w:type="auto"/>
            <w:tcBorders>
              <w:top w:val="outset" w:sz="6" w:space="0" w:color="auto"/>
              <w:left w:val="outset" w:sz="6" w:space="0" w:color="auto"/>
              <w:bottom w:val="outset" w:sz="6" w:space="0" w:color="auto"/>
              <w:right w:val="outset" w:sz="6" w:space="0" w:color="auto"/>
            </w:tcBorders>
            <w:vAlign w:val="center"/>
            <w:hideMark/>
          </w:tcPr>
          <w:p w14:paraId="747081E2"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A framework integrated into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in 2021 that enabled the training of massive Large Language Models (LLMs) across distributed multi-node GPU clusters.</w:t>
            </w:r>
          </w:p>
        </w:tc>
      </w:tr>
      <w:tr w:rsidR="00FD4818" w:rsidRPr="00FD4818" w14:paraId="7F5F69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4C2995"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Memory and Context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410A6"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 component that stores session information, past interactions, task progress, and intermediate outputs, enabling an agent to maintain long-term objectives and adapt dynamically.</w:t>
            </w:r>
          </w:p>
        </w:tc>
      </w:tr>
      <w:tr w:rsidR="00FD4818" w:rsidRPr="00FD4818" w14:paraId="7EAF7E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69B6FC"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lastRenderedPageBreak/>
              <w:t>Memory Sharding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DA429"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An optimization technique that distributes agent memory across clusters to ensure faster lookup and updating operations for large-scale deployments.</w:t>
            </w:r>
          </w:p>
        </w:tc>
      </w:tr>
      <w:tr w:rsidR="00FD4818" w:rsidRPr="00FD4818" w14:paraId="4A9D33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9D8A80"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4818">
              <w:rPr>
                <w:rFonts w:ascii="Times New Roman" w:eastAsia="Times New Roman" w:hAnsi="Times New Roman" w:cs="Times New Roman"/>
                <w:b/>
                <w:bCs/>
                <w:kern w:val="0"/>
                <w14:ligatures w14:val="none"/>
              </w:rPr>
              <w:t>NeMo</w:t>
            </w:r>
            <w:proofErr w:type="spellEnd"/>
            <w:r w:rsidRPr="00FD4818">
              <w:rPr>
                <w:rFonts w:ascii="Times New Roman" w:eastAsia="Times New Roman" w:hAnsi="Times New Roman" w:cs="Times New Roman"/>
                <w:b/>
                <w:bCs/>
                <w:kern w:val="0"/>
                <w14:ligatures w14:val="none"/>
              </w:rPr>
              <w:t xml:space="preserve"> Foundation Models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0FD71DC1"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Large Megatron-LM-based LLMs that are fine-tuned to provide the core reasoning, planning, and language generation capabilities for an agent.</w:t>
            </w:r>
          </w:p>
        </w:tc>
      </w:tr>
      <w:tr w:rsidR="00FD4818" w:rsidRPr="00FD4818" w14:paraId="65D98AB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BA888E"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 xml:space="preserve">NVIDIA Agentic </w:t>
            </w:r>
            <w:proofErr w:type="spellStart"/>
            <w:r w:rsidRPr="00FD4818">
              <w:rPr>
                <w:rFonts w:ascii="Times New Roman" w:eastAsia="Times New Roman" w:hAnsi="Times New Roman" w:cs="Times New Roman"/>
                <w:b/>
                <w:bCs/>
                <w:kern w:val="0"/>
                <w14:ligatures w14:val="none"/>
              </w:rPr>
              <w:t>NeMo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E15653D"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A comprehensive framework that extends the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ecosystem to build full autonomous AI agents, providing architecture for planning, memory, tool-use, and safety.</w:t>
            </w:r>
          </w:p>
        </w:tc>
      </w:tr>
      <w:tr w:rsidR="00FD4818" w:rsidRPr="00FD4818" w14:paraId="64DE04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AC2343"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NVIDIA Triton Inference Server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7D1C0CC"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 core component of the Inference Serving Layer that provides low-latency, high-throughput serving of large language models.</w:t>
            </w:r>
          </w:p>
        </w:tc>
      </w:tr>
      <w:tr w:rsidR="00FD4818" w:rsidRPr="00FD4818" w14:paraId="3409D4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5DFF1B"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Parallel Execution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0794A"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An optimization technique used to asynchronously execute external tool calls and RAG retrievals to avoid cumulative blocking delays.</w:t>
            </w:r>
          </w:p>
        </w:tc>
      </w:tr>
      <w:tr w:rsidR="00FD4818" w:rsidRPr="00FD4818" w14:paraId="22C231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29999F"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Planning and Reasoning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75D46"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 xml:space="preserve">The core layer where </w:t>
            </w:r>
            <w:proofErr w:type="spellStart"/>
            <w:r w:rsidRPr="00FD4818">
              <w:rPr>
                <w:rFonts w:ascii="Times New Roman" w:eastAsia="Times New Roman" w:hAnsi="Times New Roman" w:cs="Times New Roman"/>
                <w:kern w:val="0"/>
                <w14:ligatures w14:val="none"/>
              </w:rPr>
              <w:t>NeMo</w:t>
            </w:r>
            <w:proofErr w:type="spellEnd"/>
            <w:r w:rsidRPr="00FD4818">
              <w:rPr>
                <w:rFonts w:ascii="Times New Roman" w:eastAsia="Times New Roman" w:hAnsi="Times New Roman" w:cs="Times New Roman"/>
                <w:kern w:val="0"/>
                <w14:ligatures w14:val="none"/>
              </w:rPr>
              <w:t xml:space="preserve"> foundation models analyze user inputs to generate structured, multi-step plans and actionable workflows using techniques like chain-of-thought prompting.</w:t>
            </w:r>
          </w:p>
        </w:tc>
      </w:tr>
      <w:tr w:rsidR="00FD4818" w:rsidRPr="00FD4818" w14:paraId="6D7BDD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F7AAD0"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Real-Time Observability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E60AA8E"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The implementation of comprehensive monitoring tools to track critical metrics like latency, error rates, and throughput, enabling proactive scaling and troubleshooting.</w:t>
            </w:r>
          </w:p>
        </w:tc>
      </w:tr>
      <w:tr w:rsidR="00FD4818" w:rsidRPr="00FD4818" w14:paraId="5E0DA5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FBE7D7"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Retrieval Caching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1F9FA8C"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An optimization technique that minimizes RAG lookup times by storing frequently accessed documents and embeddings in caching layers.</w:t>
            </w:r>
          </w:p>
        </w:tc>
      </w:tr>
      <w:tr w:rsidR="00FD4818" w:rsidRPr="00FD4818" w14:paraId="7556427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9B9461"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Retrieval-Augmented Generation (RAG)</w:t>
            </w:r>
          </w:p>
        </w:tc>
        <w:tc>
          <w:tcPr>
            <w:tcW w:w="0" w:type="auto"/>
            <w:tcBorders>
              <w:top w:val="outset" w:sz="6" w:space="0" w:color="auto"/>
              <w:left w:val="outset" w:sz="6" w:space="0" w:color="auto"/>
              <w:bottom w:val="outset" w:sz="6" w:space="0" w:color="auto"/>
              <w:right w:val="outset" w:sz="6" w:space="0" w:color="auto"/>
            </w:tcBorders>
            <w:vAlign w:val="center"/>
            <w:hideMark/>
          </w:tcPr>
          <w:p w14:paraId="079835D8"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 process and pipeline that allows agents to retrieve up-to-date, task-relevant information from external vector databases to enhance knowledge and accuracy.</w:t>
            </w:r>
          </w:p>
        </w:tc>
      </w:tr>
      <w:tr w:rsidR="00FD4818" w:rsidRPr="00FD4818" w14:paraId="718AFDB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407C0B"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RAG Retrieval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9E356F0"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The architectural layer that connects the system to external data sources like vector databases to fetch real-time, relevant knowledge.</w:t>
            </w:r>
          </w:p>
        </w:tc>
      </w:tr>
      <w:tr w:rsidR="00FD4818" w:rsidRPr="00FD4818" w14:paraId="6E8D7F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344F16"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4818">
              <w:rPr>
                <w:rFonts w:ascii="Times New Roman" w:eastAsia="Times New Roman" w:hAnsi="Times New Roman" w:cs="Times New Roman"/>
                <w:b/>
                <w:bCs/>
                <w:kern w:val="0"/>
                <w14:ligatures w14:val="none"/>
              </w:rPr>
              <w:t>TensorRT</w:t>
            </w:r>
            <w:proofErr w:type="spellEnd"/>
            <w:r w:rsidRPr="00FD4818">
              <w:rPr>
                <w:rFonts w:ascii="Times New Roman" w:eastAsia="Times New Roman" w:hAnsi="Times New Roman" w:cs="Times New Roman"/>
                <w:b/>
                <w:bCs/>
                <w:kern w:val="0"/>
                <w14:ligatures w14:val="none"/>
              </w:rPr>
              <w:t>-LLM</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AF7B3"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An inference acceleration technique that quantizes models to lower precision formats (FP8, INT8) and applies graph optimizations to significantly reduce LLM inference latency.</w:t>
            </w:r>
          </w:p>
        </w:tc>
      </w:tr>
      <w:tr w:rsidR="00FD4818" w:rsidRPr="00FD4818" w14:paraId="09BD3D9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6E5803"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Tool-Execution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333D23"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The architectural layer that empowers an agent to act by calling external APIs, interacting with databases, or triggering business workflows based on the evolving context.</w:t>
            </w:r>
          </w:p>
        </w:tc>
      </w:tr>
      <w:tr w:rsidR="00FD4818" w:rsidRPr="00FD4818" w14:paraId="6353D8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F05D1D"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b/>
                <w:bCs/>
                <w:kern w:val="0"/>
                <w14:ligatures w14:val="none"/>
              </w:rPr>
              <w:t>User Interface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0EF2A" w14:textId="77777777" w:rsidR="00FD4818" w:rsidRPr="00FD4818" w:rsidRDefault="00FD4818" w:rsidP="00FD4818">
            <w:pPr>
              <w:spacing w:before="100" w:beforeAutospacing="1" w:after="100" w:afterAutospacing="1" w:line="240" w:lineRule="auto"/>
              <w:rPr>
                <w:rFonts w:ascii="Times New Roman" w:eastAsia="Times New Roman" w:hAnsi="Times New Roman" w:cs="Times New Roman"/>
                <w:kern w:val="0"/>
                <w14:ligatures w14:val="none"/>
              </w:rPr>
            </w:pPr>
            <w:r w:rsidRPr="00FD4818">
              <w:rPr>
                <w:rFonts w:ascii="Times New Roman" w:eastAsia="Times New Roman" w:hAnsi="Times New Roman" w:cs="Times New Roman"/>
                <w:kern w:val="0"/>
                <w14:ligatures w14:val="none"/>
              </w:rPr>
              <w:t>The primary entry point for end-users to interact with the agent, responsible for capturing inputs and presenting outputs through channels like chatbots or web portals.</w:t>
            </w:r>
          </w:p>
        </w:tc>
      </w:tr>
    </w:tbl>
    <w:p w14:paraId="7F657809"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05C9"/>
    <w:multiLevelType w:val="multilevel"/>
    <w:tmpl w:val="51A0E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B5105"/>
    <w:multiLevelType w:val="multilevel"/>
    <w:tmpl w:val="D9F6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2061B"/>
    <w:multiLevelType w:val="multilevel"/>
    <w:tmpl w:val="F0EC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3220885">
    <w:abstractNumId w:val="2"/>
  </w:num>
  <w:num w:numId="2" w16cid:durableId="1985771207">
    <w:abstractNumId w:val="1"/>
  </w:num>
  <w:num w:numId="3" w16cid:durableId="1169099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818"/>
    <w:rsid w:val="001045ED"/>
    <w:rsid w:val="00553BCD"/>
    <w:rsid w:val="0072576E"/>
    <w:rsid w:val="00DB1B1A"/>
    <w:rsid w:val="00FD4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D81F7D"/>
  <w15:chartTrackingRefBased/>
  <w15:docId w15:val="{C6FE7CDC-DD25-714D-B0D2-088C0A0C6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4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4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818"/>
    <w:rPr>
      <w:rFonts w:eastAsiaTheme="majorEastAsia" w:cstheme="majorBidi"/>
      <w:color w:val="272727" w:themeColor="text1" w:themeTint="D8"/>
    </w:rPr>
  </w:style>
  <w:style w:type="paragraph" w:styleId="Title">
    <w:name w:val="Title"/>
    <w:basedOn w:val="Normal"/>
    <w:next w:val="Normal"/>
    <w:link w:val="TitleChar"/>
    <w:uiPriority w:val="10"/>
    <w:qFormat/>
    <w:rsid w:val="00FD4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818"/>
    <w:pPr>
      <w:spacing w:before="160"/>
      <w:jc w:val="center"/>
    </w:pPr>
    <w:rPr>
      <w:i/>
      <w:iCs/>
      <w:color w:val="404040" w:themeColor="text1" w:themeTint="BF"/>
    </w:rPr>
  </w:style>
  <w:style w:type="character" w:customStyle="1" w:styleId="QuoteChar">
    <w:name w:val="Quote Char"/>
    <w:basedOn w:val="DefaultParagraphFont"/>
    <w:link w:val="Quote"/>
    <w:uiPriority w:val="29"/>
    <w:rsid w:val="00FD4818"/>
    <w:rPr>
      <w:i/>
      <w:iCs/>
      <w:color w:val="404040" w:themeColor="text1" w:themeTint="BF"/>
    </w:rPr>
  </w:style>
  <w:style w:type="paragraph" w:styleId="ListParagraph">
    <w:name w:val="List Paragraph"/>
    <w:basedOn w:val="Normal"/>
    <w:uiPriority w:val="34"/>
    <w:qFormat/>
    <w:rsid w:val="00FD4818"/>
    <w:pPr>
      <w:ind w:left="720"/>
      <w:contextualSpacing/>
    </w:pPr>
  </w:style>
  <w:style w:type="character" w:styleId="IntenseEmphasis">
    <w:name w:val="Intense Emphasis"/>
    <w:basedOn w:val="DefaultParagraphFont"/>
    <w:uiPriority w:val="21"/>
    <w:qFormat/>
    <w:rsid w:val="00FD4818"/>
    <w:rPr>
      <w:i/>
      <w:iCs/>
      <w:color w:val="0F4761" w:themeColor="accent1" w:themeShade="BF"/>
    </w:rPr>
  </w:style>
  <w:style w:type="paragraph" w:styleId="IntenseQuote">
    <w:name w:val="Intense Quote"/>
    <w:basedOn w:val="Normal"/>
    <w:next w:val="Normal"/>
    <w:link w:val="IntenseQuoteChar"/>
    <w:uiPriority w:val="30"/>
    <w:qFormat/>
    <w:rsid w:val="00FD4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818"/>
    <w:rPr>
      <w:i/>
      <w:iCs/>
      <w:color w:val="0F4761" w:themeColor="accent1" w:themeShade="BF"/>
    </w:rPr>
  </w:style>
  <w:style w:type="character" w:styleId="IntenseReference">
    <w:name w:val="Intense Reference"/>
    <w:basedOn w:val="DefaultParagraphFont"/>
    <w:uiPriority w:val="32"/>
    <w:qFormat/>
    <w:rsid w:val="00FD4818"/>
    <w:rPr>
      <w:b/>
      <w:bCs/>
      <w:smallCaps/>
      <w:color w:val="0F4761" w:themeColor="accent1" w:themeShade="BF"/>
      <w:spacing w:val="5"/>
    </w:rPr>
  </w:style>
  <w:style w:type="paragraph" w:styleId="NormalWeb">
    <w:name w:val="Normal (Web)"/>
    <w:basedOn w:val="Normal"/>
    <w:uiPriority w:val="99"/>
    <w:semiHidden/>
    <w:unhideWhenUsed/>
    <w:rsid w:val="00FD481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1558</Words>
  <Characters>8887</Characters>
  <Application>Microsoft Office Word</Application>
  <DocSecurity>0</DocSecurity>
  <Lines>74</Lines>
  <Paragraphs>20</Paragraphs>
  <ScaleCrop>false</ScaleCrop>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2025-11-08T13:54:00Z</dcterms:created>
  <dcterms:modified xsi:type="dcterms:W3CDTF">2025-11-08T13:54:00Z</dcterms:modified>
</cp:coreProperties>
</file>