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activeX/activeX8.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activeX/activeX4.xml" ContentType="application/vnd.ms-office.activeX+xml"/>
  <Override PartName="/word/activeX/activeX5.xml" ContentType="application/vnd.ms-office.activeX+xml"/>
  <Override PartName="/word/numbering.xml" ContentType="application/vnd.openxmlformats-officedocument.wordprocessingml.numbering+xml"/>
  <Override PartName="/word/activeX/activeX7.xml" ContentType="application/vnd.ms-office.activeX+xml"/>
  <Override PartName="/word/activeX/activeX6.xml" ContentType="application/vnd.ms-office.activeX+xml"/>
  <Override PartName="/word/activeX/activeX9.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A18" w:rsidRDefault="008B0680">
      <w:pPr>
        <w:rPr>
          <w:rStyle w:val="align-left"/>
        </w:rPr>
      </w:pPr>
      <w:r>
        <w:rPr>
          <w:rStyle w:val="align-left"/>
        </w:rPr>
        <w:t>3.2 Beneficiaries</w:t>
      </w:r>
    </w:p>
    <w:p w:rsidR="008B0680" w:rsidRDefault="008B0680" w:rsidP="008B0680">
      <w:pPr>
        <w:spacing w:after="0" w:line="240" w:lineRule="auto"/>
        <w:rPr>
          <w:rFonts w:ascii="Times New Roman" w:eastAsia="Times New Roman" w:hAnsi="Times New Roman" w:cs="Times New Roman"/>
          <w:sz w:val="24"/>
          <w:szCs w:val="24"/>
        </w:rPr>
      </w:pPr>
      <w:r w:rsidRPr="008B0680">
        <w:rPr>
          <w:rFonts w:ascii="Times New Roman" w:eastAsia="Times New Roman" w:hAnsi="Times New Roman" w:cs="Times New Roman"/>
          <w:sz w:val="24"/>
          <w:szCs w:val="24"/>
        </w:rPr>
        <w:t xml:space="preserve">3.2.3 Does the action specifically target certain groups or vulnerabilities? </w:t>
      </w:r>
    </w:p>
    <w:p w:rsidR="008B0680" w:rsidRPr="008B0680" w:rsidRDefault="008B0680" w:rsidP="008B0680">
      <w:pPr>
        <w:spacing w:after="0" w:line="240" w:lineRule="auto"/>
        <w:rPr>
          <w:rFonts w:ascii="Times New Roman" w:eastAsia="Times New Roman" w:hAnsi="Times New Roman" w:cs="Times New Roman"/>
          <w:color w:val="FF0000"/>
          <w:sz w:val="24"/>
          <w:szCs w:val="24"/>
        </w:rPr>
      </w:pPr>
      <w:r w:rsidRPr="008B0680">
        <w:rPr>
          <w:color w:val="FF0000"/>
        </w:rPr>
        <w:t>answer the question. If the action exclusively targets one or a few specific groups, you will need to identify them by clicking on the corresponding groups in section 3.2.3.1. See the guidelines for more information.</w:t>
      </w:r>
    </w:p>
    <w:p w:rsidR="008B0680" w:rsidRDefault="008B0680" w:rsidP="008B0680">
      <w:pPr>
        <w:spacing w:after="0" w:line="240" w:lineRule="auto"/>
        <w:rPr>
          <w:rFonts w:ascii="Times New Roman" w:eastAsia="Times New Roman" w:hAnsi="Times New Roman" w:cs="Times New Roman"/>
          <w:sz w:val="24"/>
          <w:szCs w:val="24"/>
        </w:rPr>
      </w:pPr>
      <w:r w:rsidRPr="008B06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6pt" o:ole="">
            <v:imagedata r:id="rId5" o:title=""/>
          </v:shape>
          <w:control r:id="rId6" w:name="DefaultOcxName" w:shapeid="_x0000_i1044"/>
        </w:object>
      </w:r>
      <w:r w:rsidRPr="008B0680">
        <w:rPr>
          <w:rFonts w:ascii="Times New Roman" w:eastAsia="Times New Roman" w:hAnsi="Times New Roman" w:cs="Times New Roman"/>
          <w:sz w:val="24"/>
          <w:szCs w:val="24"/>
        </w:rPr>
        <w:t xml:space="preserve">Yes </w:t>
      </w:r>
      <w:r w:rsidRPr="008B0680">
        <w:rPr>
          <w:rFonts w:ascii="Times New Roman" w:eastAsia="Times New Roman" w:hAnsi="Times New Roman" w:cs="Times New Roman"/>
          <w:sz w:val="24"/>
          <w:szCs w:val="24"/>
        </w:rPr>
        <w:object w:dxaOrig="1440" w:dyaOrig="1440">
          <v:shape id="_x0000_i1047" type="#_x0000_t75" style="width:18pt;height:15.6pt" o:ole="">
            <v:imagedata r:id="rId7" o:title=""/>
          </v:shape>
          <w:control r:id="rId8" w:name="DefaultOcxName1" w:shapeid="_x0000_i1047"/>
        </w:object>
      </w:r>
      <w:r w:rsidRPr="008B0680">
        <w:rPr>
          <w:rFonts w:ascii="Times New Roman" w:eastAsia="Times New Roman" w:hAnsi="Times New Roman" w:cs="Times New Roman"/>
          <w:sz w:val="24"/>
          <w:szCs w:val="24"/>
        </w:rPr>
        <w:t>No</w:t>
      </w:r>
    </w:p>
    <w:p w:rsidR="008B0680" w:rsidRDefault="008B0680" w:rsidP="008B0680">
      <w:pPr>
        <w:spacing w:after="0" w:line="240" w:lineRule="auto"/>
        <w:rPr>
          <w:rFonts w:ascii="Times New Roman" w:eastAsia="Times New Roman" w:hAnsi="Times New Roman" w:cs="Times New Roman"/>
          <w:sz w:val="24"/>
          <w:szCs w:val="24"/>
        </w:rPr>
      </w:pPr>
    </w:p>
    <w:p w:rsidR="008B0680" w:rsidRPr="008B0680" w:rsidRDefault="008B0680" w:rsidP="008B0680">
      <w:pPr>
        <w:spacing w:after="0" w:line="240" w:lineRule="auto"/>
        <w:rPr>
          <w:rFonts w:ascii="Times New Roman" w:eastAsia="Times New Roman" w:hAnsi="Times New Roman" w:cs="Times New Roman"/>
          <w:sz w:val="24"/>
          <w:szCs w:val="24"/>
        </w:rPr>
      </w:pPr>
    </w:p>
    <w:p w:rsidR="008B0680" w:rsidRDefault="008B0680" w:rsidP="008B0680">
      <w:pPr>
        <w:spacing w:after="0" w:line="240" w:lineRule="auto"/>
        <w:rPr>
          <w:rStyle w:val="align-left"/>
        </w:rPr>
      </w:pPr>
      <w:r w:rsidRPr="008B0680">
        <w:rPr>
          <w:rStyle w:val="align-left"/>
        </w:rPr>
        <w:t xml:space="preserve">3.2.3.1 If yes, please select the relevant groups/vulnerabilities </w:t>
      </w:r>
    </w:p>
    <w:p w:rsidR="008B0680" w:rsidRPr="008B0680" w:rsidRDefault="008B0680" w:rsidP="008B0680">
      <w:pPr>
        <w:spacing w:after="0" w:line="240" w:lineRule="auto"/>
        <w:rPr>
          <w:color w:val="FF0000"/>
        </w:rPr>
      </w:pPr>
      <w:r w:rsidRPr="008B0680">
        <w:rPr>
          <w:color w:val="FF0000"/>
        </w:rPr>
        <w:t>Click on the group specifically targeted by the action according to the situation at the proposal stage. It is possible to select several groups, but not all.</w:t>
      </w:r>
    </w:p>
    <w:p w:rsidR="008B0680" w:rsidRPr="008B0680" w:rsidRDefault="008B0680" w:rsidP="008B0680">
      <w:pPr>
        <w:spacing w:after="0" w:line="240" w:lineRule="auto"/>
        <w:rPr>
          <w:rStyle w:val="align-left"/>
        </w:rPr>
      </w:pPr>
    </w:p>
    <w:p w:rsidR="008B0680" w:rsidRPr="008B0680" w:rsidRDefault="008B0680" w:rsidP="008B0680">
      <w:pPr>
        <w:spacing w:after="0" w:line="240" w:lineRule="auto"/>
        <w:rPr>
          <w:rStyle w:val="align-left"/>
        </w:rPr>
      </w:pPr>
      <w:r w:rsidRPr="008B0680">
        <w:rPr>
          <w:rStyle w:val="align-left"/>
        </w:rPr>
        <w:object w:dxaOrig="1440" w:dyaOrig="1440">
          <v:shape id="_x0000_i1050" type="#_x0000_t75" style="width:18pt;height:15.6pt" o:ole="">
            <v:imagedata r:id="rId9" o:title=""/>
          </v:shape>
          <w:control r:id="rId10" w:name="DefaultOcxName2" w:shapeid="_x0000_i1050"/>
        </w:object>
      </w:r>
      <w:r w:rsidRPr="008B0680">
        <w:rPr>
          <w:rStyle w:val="align-left"/>
        </w:rPr>
        <w:t>Infants and young children</w:t>
      </w:r>
      <w:r w:rsidRPr="008B0680">
        <w:rPr>
          <w:rStyle w:val="align-left"/>
        </w:rPr>
        <w:object w:dxaOrig="1440" w:dyaOrig="1440">
          <v:shape id="_x0000_i1053" type="#_x0000_t75" style="width:18pt;height:15.6pt" o:ole="">
            <v:imagedata r:id="rId9" o:title=""/>
          </v:shape>
          <w:control r:id="rId11" w:name="DefaultOcxName3" w:shapeid="_x0000_i1053"/>
        </w:object>
      </w:r>
      <w:proofErr w:type="spellStart"/>
      <w:r w:rsidRPr="008B0680">
        <w:rPr>
          <w:rStyle w:val="align-left"/>
        </w:rPr>
        <w:t>Children</w:t>
      </w:r>
      <w:proofErr w:type="spellEnd"/>
      <w:r w:rsidRPr="008B0680">
        <w:rPr>
          <w:rStyle w:val="align-left"/>
        </w:rPr>
        <w:object w:dxaOrig="1440" w:dyaOrig="1440">
          <v:shape id="_x0000_i1056" type="#_x0000_t75" style="width:18pt;height:15.6pt" o:ole="">
            <v:imagedata r:id="rId12" o:title=""/>
          </v:shape>
          <w:control r:id="rId13" w:name="DefaultOcxName4" w:shapeid="_x0000_i1056"/>
        </w:object>
      </w:r>
      <w:r w:rsidRPr="008B0680">
        <w:rPr>
          <w:rStyle w:val="align-left"/>
        </w:rPr>
        <w:t>Elderly</w:t>
      </w:r>
      <w:r w:rsidRPr="008B0680">
        <w:rPr>
          <w:rStyle w:val="align-left"/>
        </w:rPr>
        <w:object w:dxaOrig="1440" w:dyaOrig="1440">
          <v:shape id="_x0000_i1059" type="#_x0000_t75" style="width:18pt;height:15.6pt" o:ole="">
            <v:imagedata r:id="rId12" o:title=""/>
          </v:shape>
          <w:control r:id="rId14" w:name="DefaultOcxName5" w:shapeid="_x0000_i1059"/>
        </w:object>
      </w:r>
      <w:r w:rsidRPr="008B0680">
        <w:rPr>
          <w:rStyle w:val="align-left"/>
        </w:rPr>
        <w:t>Disabled</w:t>
      </w:r>
      <w:r w:rsidRPr="008B0680">
        <w:rPr>
          <w:rStyle w:val="align-left"/>
        </w:rPr>
        <w:object w:dxaOrig="1440" w:dyaOrig="1440">
          <v:shape id="_x0000_i1062" type="#_x0000_t75" style="width:18pt;height:15.6pt" o:ole="">
            <v:imagedata r:id="rId9" o:title=""/>
          </v:shape>
          <w:control r:id="rId15" w:name="DefaultOcxName6" w:shapeid="_x0000_i1062"/>
        </w:object>
      </w:r>
      <w:r w:rsidRPr="008B0680">
        <w:rPr>
          <w:rStyle w:val="align-left"/>
        </w:rPr>
        <w:t>Male</w:t>
      </w:r>
      <w:r w:rsidRPr="008B0680">
        <w:rPr>
          <w:rStyle w:val="align-left"/>
        </w:rPr>
        <w:object w:dxaOrig="1440" w:dyaOrig="1440">
          <v:shape id="_x0000_i1065" type="#_x0000_t75" style="width:18pt;height:15.6pt" o:ole="">
            <v:imagedata r:id="rId12" o:title=""/>
          </v:shape>
          <w:control r:id="rId16" w:name="DefaultOcxName7" w:shapeid="_x0000_i1065"/>
        </w:object>
      </w:r>
      <w:r w:rsidRPr="008B0680">
        <w:rPr>
          <w:rStyle w:val="align-left"/>
        </w:rPr>
        <w:t>Female</w:t>
      </w:r>
      <w:r w:rsidRPr="008B0680">
        <w:rPr>
          <w:rStyle w:val="align-left"/>
        </w:rPr>
        <w:object w:dxaOrig="1440" w:dyaOrig="1440">
          <v:shape id="_x0000_i1068" type="#_x0000_t75" style="width:18pt;height:15.6pt" o:ole="">
            <v:imagedata r:id="rId12" o:title=""/>
          </v:shape>
          <w:control r:id="rId17" w:name="DefaultOcxName8" w:shapeid="_x0000_i1068"/>
        </w:object>
      </w:r>
      <w:r w:rsidRPr="008B0680">
        <w:rPr>
          <w:rStyle w:val="align-left"/>
        </w:rPr>
        <w:t>PLW</w:t>
      </w:r>
    </w:p>
    <w:p w:rsidR="008B0680" w:rsidRDefault="008B0680"/>
    <w:p w:rsidR="008B0680" w:rsidRDefault="008B0680"/>
    <w:p w:rsidR="008B0680" w:rsidRDefault="008B0680"/>
    <w:p w:rsidR="008B0680" w:rsidRDefault="008B0680" w:rsidP="00D2628E">
      <w:pPr>
        <w:jc w:val="both"/>
      </w:pPr>
      <w:r>
        <w:t>3.2.4 Beneficiaries: Selection criteria</w:t>
      </w:r>
      <w:r>
        <w:br/>
      </w:r>
      <w:r w:rsidRPr="008B0680">
        <w:rPr>
          <w:color w:val="FF0000"/>
        </w:rPr>
        <w:t>Briefly explain the identification mechanisms and selection criteria. (Bytes limit: 2000)</w:t>
      </w:r>
    </w:p>
    <w:p w:rsidR="008B0680" w:rsidRDefault="00D2628E" w:rsidP="00D2628E">
      <w:pPr>
        <w:jc w:val="both"/>
      </w:pPr>
      <w:r>
        <w:t xml:space="preserve">In the </w:t>
      </w:r>
      <w:proofErr w:type="gramStart"/>
      <w:r>
        <w:t>WB :</w:t>
      </w:r>
      <w:proofErr w:type="gramEnd"/>
      <w:r>
        <w:t xml:space="preserve"> </w:t>
      </w:r>
    </w:p>
    <w:p w:rsidR="00D2628E" w:rsidRDefault="00D2628E" w:rsidP="00D2628E">
      <w:pPr>
        <w:jc w:val="both"/>
      </w:pPr>
      <w:r>
        <w:t>In the WB the MHPSS Emergency Responses will target</w:t>
      </w:r>
      <w:r>
        <w:t xml:space="preserve"> all the accessible direct and </w:t>
      </w:r>
      <w:r>
        <w:t>in</w:t>
      </w:r>
      <w:r>
        <w:t>direct victims impacted by the IHL violatio</w:t>
      </w:r>
      <w:r>
        <w:t xml:space="preserve">n related to conflict with a measure focus on victims of Demolitions, displacement, Settlers related violence and excessive use of force by the Israeli security forces. This intervention will directly target children, adolescents, adults and elderly in both Ramallah and east Jerusalem. MDM and ACCE psychoeducation sessions and awareness campaigns will </w:t>
      </w:r>
      <w:r>
        <w:t xml:space="preserve">be a general invitation for the community members vulnerable to IHL violations </w:t>
      </w:r>
      <w:r>
        <w:t>such as the v</w:t>
      </w:r>
      <w:r>
        <w:t xml:space="preserve">ulnerable people (repeated demolitions, proximity </w:t>
      </w:r>
      <w:r>
        <w:t>to</w:t>
      </w:r>
      <w:r>
        <w:t xml:space="preserve"> settlements, military instalments, demonstr</w:t>
      </w:r>
      <w:r>
        <w:t>ation places….), based</w:t>
      </w:r>
      <w:r>
        <w:t xml:space="preserve"> on </w:t>
      </w:r>
      <w:r>
        <w:t>MDM</w:t>
      </w:r>
      <w:r>
        <w:t xml:space="preserve"> field experience</w:t>
      </w:r>
      <w:r>
        <w:t xml:space="preserve"> during 2017 and 2018,</w:t>
      </w:r>
      <w:r>
        <w:t xml:space="preserve"> </w:t>
      </w:r>
      <w:proofErr w:type="gramStart"/>
      <w:r>
        <w:t>the majority of</w:t>
      </w:r>
      <w:proofErr w:type="gramEnd"/>
      <w:r>
        <w:t xml:space="preserve"> the participants</w:t>
      </w:r>
      <w:r>
        <w:t xml:space="preserve"> within the awareness sessions</w:t>
      </w:r>
      <w:r>
        <w:t xml:space="preserve"> are females</w:t>
      </w:r>
      <w:r>
        <w:t xml:space="preserve">. Within this action MDM will increase the efforts of increasing the number of male participants through the cooperation and coordination with CBOs and village councils. </w:t>
      </w:r>
    </w:p>
    <w:p w:rsidR="008B0680" w:rsidRDefault="008B0680">
      <w:r>
        <w:t>3.2.5 Beneficiaries: Involvement of beneficiaries in the action</w:t>
      </w:r>
    </w:p>
    <w:p w:rsidR="008B0680" w:rsidRPr="008B0680" w:rsidRDefault="008B0680">
      <w:pPr>
        <w:rPr>
          <w:color w:val="FF0000"/>
        </w:rPr>
      </w:pPr>
      <w:r w:rsidRPr="008B0680">
        <w:rPr>
          <w:color w:val="FF0000"/>
        </w:rPr>
        <w:t>Explain the involvement of the beneficiaries and affected population in the design, implementation and evaluation of the action. In exceptional cases, when it was not possible to involve the beneficiaries, provide an explanation here. (Bytes limit: 2000)</w:t>
      </w:r>
    </w:p>
    <w:p w:rsidR="008B0680" w:rsidRDefault="00EC0C39">
      <w:r>
        <w:t xml:space="preserve">In the WB: </w:t>
      </w:r>
    </w:p>
    <w:p w:rsidR="00EC0C39" w:rsidRDefault="00EC0C39" w:rsidP="00EC0C39">
      <w:pPr>
        <w:jc w:val="both"/>
      </w:pPr>
      <w:r>
        <w:t xml:space="preserve">The continuous presence of </w:t>
      </w:r>
      <w:r>
        <w:t>MDM</w:t>
      </w:r>
      <w:r>
        <w:t xml:space="preserve"> in </w:t>
      </w:r>
      <w:r>
        <w:t>WB ensures</w:t>
      </w:r>
      <w:r>
        <w:t xml:space="preserve"> a solid link with the authorities and communities for the preparation and implementation of its projects. </w:t>
      </w:r>
      <w:r>
        <w:t>MDM</w:t>
      </w:r>
      <w:r>
        <w:t xml:space="preserve"> keeps a continuous communication with community members involved in critical incidents through village councils and community leaders </w:t>
      </w:r>
      <w:r>
        <w:t>and</w:t>
      </w:r>
      <w:r>
        <w:t xml:space="preserve"> with ministries and other MHPSS providers. This participatory approach is in line with </w:t>
      </w:r>
      <w:r>
        <w:lastRenderedPageBreak/>
        <w:t>the S</w:t>
      </w:r>
      <w:r>
        <w:t>trategic plan of MHPSS of the MO</w:t>
      </w:r>
      <w:r>
        <w:t xml:space="preserve">H, the Humanitarian Needs Overview and the Strategic Response </w:t>
      </w:r>
      <w:r>
        <w:t>Plan of the Protection Cluster. Moreover, MDM</w:t>
      </w:r>
      <w:r>
        <w:t xml:space="preserve"> works closely with the Community </w:t>
      </w:r>
      <w:r>
        <w:t xml:space="preserve">Eyes Watches, village councils and CBOs </w:t>
      </w:r>
      <w:r>
        <w:t xml:space="preserve">to trigger assistance in case of a </w:t>
      </w:r>
      <w:r>
        <w:t xml:space="preserve">traumatic. </w:t>
      </w:r>
    </w:p>
    <w:p w:rsidR="00EC0C39" w:rsidRDefault="00EC0C39" w:rsidP="00EC0C39">
      <w:pPr>
        <w:jc w:val="both"/>
      </w:pPr>
      <w:r>
        <w:t>MDM</w:t>
      </w:r>
      <w:r>
        <w:t xml:space="preserve"> </w:t>
      </w:r>
      <w:r>
        <w:t xml:space="preserve">is continuously </w:t>
      </w:r>
      <w:r>
        <w:t>monitoring what the participants</w:t>
      </w:r>
      <w:r>
        <w:t xml:space="preserve"> of psychoeducation need</w:t>
      </w:r>
      <w:r>
        <w:t xml:space="preserve"> and </w:t>
      </w:r>
      <w:r w:rsidRPr="00EC0C39">
        <w:t xml:space="preserve">what they believe </w:t>
      </w:r>
      <w:r w:rsidRPr="00EC0C39">
        <w:t>MDM</w:t>
      </w:r>
      <w:r w:rsidRPr="00EC0C39">
        <w:t xml:space="preserve"> should focus on. The technical team members </w:t>
      </w:r>
      <w:r w:rsidRPr="00EC0C39">
        <w:t>share</w:t>
      </w:r>
      <w:r w:rsidRPr="00EC0C39">
        <w:t xml:space="preserve"> these recommendat</w:t>
      </w:r>
      <w:r>
        <w:t xml:space="preserve">ions with MDM technical coordination team to adjust and adapt the activities according to the needs. Within this action a satisfaction questioner will be administered with the victims of traumatic incidents and the psychoeducation sessions participants. </w:t>
      </w:r>
    </w:p>
    <w:p w:rsidR="00295A54" w:rsidRDefault="00295A54" w:rsidP="00EC0C39">
      <w:pPr>
        <w:jc w:val="both"/>
      </w:pPr>
    </w:p>
    <w:p w:rsidR="008B0680" w:rsidRDefault="00EC0C39" w:rsidP="00295A54">
      <w:pPr>
        <w:jc w:val="both"/>
      </w:pPr>
      <w:r>
        <w:t xml:space="preserve"> </w:t>
      </w:r>
      <w:r w:rsidR="008B0680">
        <w:t>3.2.6 Beneficiaries: More details on beneficiaries</w:t>
      </w:r>
    </w:p>
    <w:p w:rsidR="008B0680" w:rsidRDefault="008B0680">
      <w:pPr>
        <w:rPr>
          <w:color w:val="FF0000"/>
        </w:rPr>
      </w:pPr>
      <w:r w:rsidRPr="008B0680">
        <w:rPr>
          <w:color w:val="FF0000"/>
        </w:rPr>
        <w:t>When needed, provide more information on the specificities of the direct beneficiaries or potential indirect beneficiaries. Explain the difficulties to capture valuable information. Do not repeat information already provided in other sections. In case it was not possible to provide figures in section 3.2.2 (Disaggregated data), include a brief explanation in this field. (Bytes limit: 2000</w:t>
      </w:r>
    </w:p>
    <w:p w:rsidR="00F84F8E" w:rsidRDefault="00F84F8E">
      <w:pPr>
        <w:rPr>
          <w:color w:val="FF0000"/>
        </w:rPr>
      </w:pPr>
    </w:p>
    <w:p w:rsidR="000B38BA" w:rsidRPr="003D7AA1" w:rsidRDefault="0044225E" w:rsidP="001F0583">
      <w:pPr>
        <w:spacing w:after="120"/>
        <w:jc w:val="both"/>
        <w:rPr>
          <w:rFonts w:ascii="Arial" w:hAnsi="Arial" w:cs="Arial"/>
          <w:color w:val="222A35"/>
        </w:rPr>
      </w:pPr>
      <w:r w:rsidRPr="0044225E">
        <w:t xml:space="preserve">The MHPSS emergency intervention beneficiaries are </w:t>
      </w:r>
      <w:r>
        <w:t xml:space="preserve">usually impacted by the occupation </w:t>
      </w:r>
      <w:r w:rsidRPr="0044225E">
        <w:t xml:space="preserve"> related critical incidents </w:t>
      </w:r>
      <w:r w:rsidRPr="0044225E">
        <w:t xml:space="preserve"> which </w:t>
      </w:r>
      <w:r w:rsidRPr="0044225E">
        <w:t xml:space="preserve">have significant psychological and psychosocial impacts on </w:t>
      </w:r>
      <w:r w:rsidR="000B38BA">
        <w:t>their psychosocial wellbeing</w:t>
      </w:r>
      <w:r w:rsidRPr="0044225E">
        <w:t xml:space="preserve">, including frustration (particularly for the men who feel unable to protect their families), extreme fear (children), anxiety and depression reactions (adults), anger, sleeping difficulties (women, men and children), which can lead to psychosocial consequences (such as domestic </w:t>
      </w:r>
      <w:r w:rsidR="000B38BA">
        <w:t>problems and social withdrawal), that in addition of the possibility of developing MHPSS disorders such as depression and Post Stress Traumatic Disorder . This action will mainly target these victims to normalize</w:t>
      </w:r>
      <w:r w:rsidR="000B38BA" w:rsidRPr="000B38BA">
        <w:t xml:space="preserve"> first the legitimate and human acute stress and emotional reactions following critical incidents, to acknowledge then its psychosocial burden and finally to explore and reinforce resources/coping mechanisms for a better emotional management and finally to prevent the development of further mental health pro</w:t>
      </w:r>
      <w:bookmarkStart w:id="0" w:name="_GoBack"/>
      <w:bookmarkEnd w:id="0"/>
      <w:r w:rsidR="000B38BA" w:rsidRPr="000B38BA">
        <w:t>blems and disorders.</w:t>
      </w:r>
      <w:r w:rsidR="000B38BA">
        <w:t xml:space="preserve"> The Psychoeducation sessions will target community members who are at </w:t>
      </w:r>
      <w:r w:rsidR="000B38BA" w:rsidRPr="000B38BA">
        <w:t xml:space="preserve">risk of mental health trauma to deal with their condition in </w:t>
      </w:r>
      <w:r w:rsidR="000B38BA">
        <w:t>proper way</w:t>
      </w:r>
      <w:r w:rsidR="000B38BA" w:rsidRPr="000B38BA">
        <w:t xml:space="preserve">. </w:t>
      </w:r>
    </w:p>
    <w:p w:rsidR="0044225E" w:rsidRPr="0044225E" w:rsidRDefault="0044225E" w:rsidP="0044225E">
      <w:pPr>
        <w:jc w:val="both"/>
      </w:pPr>
    </w:p>
    <w:p w:rsidR="00F84F8E" w:rsidRPr="0044225E" w:rsidRDefault="00F84F8E" w:rsidP="0044225E">
      <w:pPr>
        <w:jc w:val="both"/>
      </w:pPr>
    </w:p>
    <w:sectPr w:rsidR="00F84F8E" w:rsidRPr="004422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1371C"/>
    <w:multiLevelType w:val="hybridMultilevel"/>
    <w:tmpl w:val="C7D8305C"/>
    <w:lvl w:ilvl="0" w:tplc="1544232E">
      <w:start w:val="1"/>
      <w:numFmt w:val="bullet"/>
      <w:lvlText w:val="•"/>
      <w:lvlJc w:val="left"/>
      <w:pPr>
        <w:ind w:left="720" w:hanging="360"/>
      </w:pPr>
      <w:rPr>
        <w:rFonts w:ascii="Arial" w:eastAsia="Times New Roman" w:hAnsi="Arial" w:cs="Aria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A5"/>
    <w:rsid w:val="000B38BA"/>
    <w:rsid w:val="00131532"/>
    <w:rsid w:val="001F0583"/>
    <w:rsid w:val="00295A54"/>
    <w:rsid w:val="0044225E"/>
    <w:rsid w:val="00560449"/>
    <w:rsid w:val="006F2411"/>
    <w:rsid w:val="006F4D10"/>
    <w:rsid w:val="007750A5"/>
    <w:rsid w:val="008B0680"/>
    <w:rsid w:val="00D2628E"/>
    <w:rsid w:val="00E34A18"/>
    <w:rsid w:val="00EC0C39"/>
    <w:rsid w:val="00F84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3F23F0C"/>
  <w15:chartTrackingRefBased/>
  <w15:docId w15:val="{C330D173-ABFF-4CB8-9ABA-0ADC1302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gn-left">
    <w:name w:val="align-left"/>
    <w:basedOn w:val="DefaultParagraphFont"/>
    <w:rsid w:val="008B0680"/>
  </w:style>
  <w:style w:type="paragraph" w:styleId="z-TopofForm">
    <w:name w:val="HTML Top of Form"/>
    <w:basedOn w:val="Normal"/>
    <w:next w:val="Normal"/>
    <w:link w:val="z-TopofFormChar"/>
    <w:hidden/>
    <w:uiPriority w:val="99"/>
    <w:semiHidden/>
    <w:unhideWhenUsed/>
    <w:rsid w:val="008B068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068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068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0680"/>
    <w:rPr>
      <w:rFonts w:ascii="Arial" w:hAnsi="Arial" w:cs="Arial"/>
      <w:vanish/>
      <w:sz w:val="16"/>
      <w:szCs w:val="16"/>
    </w:rPr>
  </w:style>
  <w:style w:type="paragraph" w:customStyle="1" w:styleId="indent">
    <w:name w:val="indent"/>
    <w:basedOn w:val="Normal"/>
    <w:rsid w:val="00D2628E"/>
    <w:pPr>
      <w:spacing w:after="120" w:line="240" w:lineRule="auto"/>
      <w:ind w:left="567"/>
    </w:pPr>
    <w:rPr>
      <w:rFonts w:ascii="Arial" w:eastAsia="Times New Roman" w:hAnsi="Arial"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89429">
      <w:bodyDiv w:val="1"/>
      <w:marLeft w:val="0"/>
      <w:marRight w:val="0"/>
      <w:marTop w:val="0"/>
      <w:marBottom w:val="0"/>
      <w:divBdr>
        <w:top w:val="none" w:sz="0" w:space="0" w:color="auto"/>
        <w:left w:val="none" w:sz="0" w:space="0" w:color="auto"/>
        <w:bottom w:val="none" w:sz="0" w:space="0" w:color="auto"/>
        <w:right w:val="none" w:sz="0" w:space="0" w:color="auto"/>
      </w:divBdr>
      <w:divsChild>
        <w:div w:id="1302736268">
          <w:marLeft w:val="0"/>
          <w:marRight w:val="0"/>
          <w:marTop w:val="0"/>
          <w:marBottom w:val="0"/>
          <w:divBdr>
            <w:top w:val="none" w:sz="0" w:space="0" w:color="auto"/>
            <w:left w:val="none" w:sz="0" w:space="0" w:color="auto"/>
            <w:bottom w:val="none" w:sz="0" w:space="0" w:color="auto"/>
            <w:right w:val="none" w:sz="0" w:space="0" w:color="auto"/>
          </w:divBdr>
          <w:divsChild>
            <w:div w:id="1213418917">
              <w:marLeft w:val="0"/>
              <w:marRight w:val="0"/>
              <w:marTop w:val="0"/>
              <w:marBottom w:val="0"/>
              <w:divBdr>
                <w:top w:val="none" w:sz="0" w:space="0" w:color="auto"/>
                <w:left w:val="none" w:sz="0" w:space="0" w:color="auto"/>
                <w:bottom w:val="none" w:sz="0" w:space="0" w:color="auto"/>
                <w:right w:val="none" w:sz="0" w:space="0" w:color="auto"/>
              </w:divBdr>
              <w:divsChild>
                <w:div w:id="2017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0525">
          <w:marLeft w:val="0"/>
          <w:marRight w:val="0"/>
          <w:marTop w:val="0"/>
          <w:marBottom w:val="0"/>
          <w:divBdr>
            <w:top w:val="none" w:sz="0" w:space="0" w:color="auto"/>
            <w:left w:val="none" w:sz="0" w:space="0" w:color="auto"/>
            <w:bottom w:val="none" w:sz="0" w:space="0" w:color="auto"/>
            <w:right w:val="none" w:sz="0" w:space="0" w:color="auto"/>
          </w:divBdr>
          <w:divsChild>
            <w:div w:id="750005530">
              <w:marLeft w:val="0"/>
              <w:marRight w:val="0"/>
              <w:marTop w:val="0"/>
              <w:marBottom w:val="0"/>
              <w:divBdr>
                <w:top w:val="none" w:sz="0" w:space="0" w:color="auto"/>
                <w:left w:val="none" w:sz="0" w:space="0" w:color="auto"/>
                <w:bottom w:val="none" w:sz="0" w:space="0" w:color="auto"/>
                <w:right w:val="none" w:sz="0" w:space="0" w:color="auto"/>
              </w:divBdr>
              <w:divsChild>
                <w:div w:id="1974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BA7043CA4964EBE72C8E160DC2A24" ma:contentTypeVersion="2" ma:contentTypeDescription="Create a new document." ma:contentTypeScope="" ma:versionID="59f4ec951e10d5c1e7eb5e5096d1d6fe">
  <xsd:schema xmlns:xsd="http://www.w3.org/2001/XMLSchema" xmlns:xs="http://www.w3.org/2001/XMLSchema" xmlns:p="http://schemas.microsoft.com/office/2006/metadata/properties" xmlns:ns2="8eb5f810-5ab0-433e-9dd5-29827d663b58" targetNamespace="http://schemas.microsoft.com/office/2006/metadata/properties" ma:root="true" ma:fieldsID="95aad367df2f3a8852b8791f83f40dad"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0F279F-87FE-4A20-8C1C-4E7CE9C6A0DF}"/>
</file>

<file path=customXml/itemProps2.xml><?xml version="1.0" encoding="utf-8"?>
<ds:datastoreItem xmlns:ds="http://schemas.openxmlformats.org/officeDocument/2006/customXml" ds:itemID="{180F3A22-2CCD-497F-BFC8-417FC8D7F12B}"/>
</file>

<file path=customXml/itemProps3.xml><?xml version="1.0" encoding="utf-8"?>
<ds:datastoreItem xmlns:ds="http://schemas.openxmlformats.org/officeDocument/2006/customXml" ds:itemID="{19EBFABB-D370-435B-AC2F-F9D1030D4931}"/>
</file>

<file path=docProps/app.xml><?xml version="1.0" encoding="utf-8"?>
<Properties xmlns="http://schemas.openxmlformats.org/officeDocument/2006/extended-properties" xmlns:vt="http://schemas.openxmlformats.org/officeDocument/2006/docPropsVTypes">
  <Template>Normal.dotm</Template>
  <TotalTime>31</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30</cp:revision>
  <dcterms:created xsi:type="dcterms:W3CDTF">2018-12-26T13:32:00Z</dcterms:created>
  <dcterms:modified xsi:type="dcterms:W3CDTF">2018-12-26T20:49:00Z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