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notatka-o-pochodnych-funkcji-sinx-oraz-c"/>
      <w:r>
        <w:rPr>
          <w:lang w:val="pl-PL"/>
        </w:rPr>
        <w:t>Notatka</w:t>
      </w:r>
      <w:r>
        <w:rPr/>
        <w:t xml:space="preserve"> o pochodnych funkcji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bookmarkEnd w:id="0"/>
    </w:p>
    <w:p>
      <w:pPr>
        <w:pStyle w:val="Heading1"/>
        <w:spacing w:before="480" w:after="0"/>
        <w:rPr/>
      </w:pPr>
      <w:r>
        <w:rPr>
          <w:b w:val="false"/>
          <w:bCs w:val="false"/>
          <w:sz w:val="24"/>
          <w:szCs w:val="24"/>
        </w:rPr>
        <w:t>Paweł Jan Piskorz</w:t>
      </w:r>
    </w:p>
    <w:p>
      <w:pPr>
        <w:pStyle w:val="FirstParagraph"/>
        <w:rPr/>
      </w:pPr>
      <w:r>
        <w:rPr/>
        <w:t xml:space="preserve">Do obliczania pochodnych funkcji trygonometrycznych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wykorzystujemy poniżej cytowane tożsamości trygonometryczne dla funkcji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dla sumy i różnicy kątów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/>
        <w:t xml:space="preserve"> 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/>
        <w:t xml:space="preserve">. Z tożsamości tych wyprowadzamy wzory na różnicę funkcji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</m:oMath>
      <w:r>
        <w:rPr/>
        <w:t>. Z naszych obliczeń okaże się, że musimy także znać wartość granicy funkcji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α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FirstParagraph"/>
        <w:rPr/>
      </w:pPr>
      <w:r>
        <w:rPr/>
        <w:t xml:space="preserve">Granicę tą można obliczyć z twierdzenia o trzech ciągach. Nie należy jej obliczać z twierdzenia l’Hopitala ponieważ w metodzie l’Hopitala wykorzystuje się już znajomość pochodnej funkcji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>.</w:t>
      </w:r>
    </w:p>
    <w:p>
      <w:pPr>
        <w:pStyle w:val="Heading2"/>
        <w:rPr/>
      </w:pPr>
      <w:bookmarkStart w:id="1" w:name="tożsamości-trygonometryczne-dla-funkcji-"/>
      <w:r>
        <w:rPr/>
        <w:t xml:space="preserve">Tożsamości trygonometryczne dla funkcji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bookmarkEnd w:id="1"/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rPr/>
      </w:pPr>
      <w:r>
        <w:rPr/>
        <w:t>Niech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</m:oMath>
      </m:oMathPara>
    </w:p>
    <w:p>
      <w:pPr>
        <w:pStyle w:val="FirstParagraph"/>
        <w:rPr/>
      </w:pPr>
      <w:r>
        <w:rPr/>
        <w:t>Wtedy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FirstParagraph"/>
        <w:rPr/>
      </w:pPr>
      <w:r>
        <w:rPr/>
        <w:t>i stąd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α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Heading2"/>
        <w:rPr/>
      </w:pPr>
      <w:bookmarkStart w:id="2" w:name="pochodne-sin-x-oraz-cos-x"/>
      <w:r>
        <w:rPr/>
        <w:t>Pochodn</w:t>
      </w:r>
      <w:r>
        <w:rPr/>
        <w:t xml:space="preserve">e funkcji 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oraz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bookmarkEnd w:id="2"/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h</m:t>
          </m:r>
        </m:oMath>
      </m:oMathPara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/>
          </m:func>
          <m:f>
            <m:num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(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den>
          </m:f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/>
          </m:func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(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)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den>
          </m:f>
        </m:oMath>
      </m:oMathPara>
    </w:p>
    <w:p>
      <w:pPr>
        <w:pStyle w:val="FirstParagraph"/>
        <w:rPr/>
      </w:pPr>
      <w:r>
        <w:rPr/>
        <w:t xml:space="preserve">Ponieważ                                           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(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α</m:t>
                </m:r>
              </m:den>
            </m:f>
          </m:e>
        </m:fun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FirstParagraph"/>
        <w:rPr/>
      </w:pPr>
      <w:r>
        <w:rPr/>
        <w:t>o</w:t>
      </w:r>
      <w:r>
        <w:rPr/>
        <w:t xml:space="preserve">trzymujemy </w:t>
      </w:r>
      <w:r>
        <w:rPr/>
        <w:t xml:space="preserve">wzory na poszukiwane pochodne </w:t>
      </w:r>
    </w:p>
    <w:p>
      <w:pPr>
        <w:pStyle w:val="BodyText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FirstParagraph"/>
        <w:spacing w:before="180" w:after="18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′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LibreOffice/24.8.3.2$Windows_X86_64 LibreOffice_project/48a6bac9e7e268aeb4c3483fcf825c94556d9f92</Application>
  <AppVersion>15.0000</AppVersion>
  <Pages>2</Pages>
  <Words>96</Words>
  <Characters>583</Characters>
  <CharactersWithSpaces>726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2024-11-20T13:40:12Z</dcterms:created>
  <dc:creator/>
  <dc:description/>
  <dc:language>en-US</dc:language>
  <cp:lastModifiedBy/>
  <cp:lastPrinted>2024-11-20T15:48:16Z</cp:lastPrinted>
  <dcterms:modified xsi:type="dcterms:W3CDTF">2024-11-20T15:52:33Z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