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4D40" w:val="clear"/>
        <w:spacing w:before="200" w:after="60"/>
        <w:jc w:val="center"/>
      </w:pPr>
      <w:r>
        <w:rPr>
          <w:rFonts w:ascii="Arial" w:cs="Arial" w:eastAsia="Arial" w:hAnsi="Arial"/>
          <w:b/>
          <w:bCs/>
          <w:color w:val="FFFFFF"/>
          <w:sz w:val="36"/>
          <w:szCs w:val="36"/>
        </w:rPr>
        <w:t xml:space="preserve">JOB APPLICATION BRIEF</w:t>
      </w:r>
    </w:p>
    <w:p>
      <w:pPr>
        <w:shd w:fill="00796B" w:val="clear"/>
        <w:spacing w:before="0" w:after="200"/>
        <w:jc w:val="center"/>
      </w:pPr>
      <w:r>
        <w:rPr>
          <w:rFonts w:ascii="Arial" w:cs="Arial" w:eastAsia="Arial" w:hAnsi="Arial"/>
          <w:color w:val="FFFFFF"/>
          <w:sz w:val="22"/>
          <w:szCs w:val="22"/>
        </w:rPr>
        <w:t xml:space="preserve">Telwater Pty Ltd  |  Mechanical Engineer (Production Engineering)  |  Coomera, Gold Coast QLD</w:t>
      </w:r>
    </w:p>
    <w:p>
      <w:pPr>
        <w:pStyle w:val="Heading1"/>
        <w:shd w:fill="004D40" w:val="clear"/>
        <w:spacing w:before="300" w:after="100"/>
        <w:ind w:left="100" w:right="100"/>
      </w:pPr>
      <w:r>
        <w:rPr>
          <w:rFonts w:ascii="Arial" w:cs="Arial" w:eastAsia="Arial" w:hAnsi="Arial"/>
          <w:b/>
          <w:bCs/>
          <w:color w:val="FFFFFF"/>
          <w:sz w:val="26"/>
          <w:szCs w:val="26"/>
        </w:rPr>
        <w:t xml:space="preserve">SECTION 1 — COMPANY RESEARCH</w:t>
      </w:r>
    </w:p>
    <w:p>
      <w:pPr>
        <w:pStyle w:val="Heading2"/>
        <w:pBdr>
          <w:bottom w:val="single" w:color="CCCCCC" w:sz="2" w:space="1"/>
        </w:pBdr>
        <w:spacing w:before="200" w:after="80"/>
      </w:pPr>
      <w:r>
        <w:rPr>
          <w:rFonts w:ascii="Arial" w:cs="Arial" w:eastAsia="Arial" w:hAnsi="Arial"/>
          <w:b/>
          <w:bCs/>
          <w:color w:val="004D40"/>
          <w:sz w:val="23"/>
          <w:szCs w:val="23"/>
        </w:rPr>
        <w:t xml:space="preserve">Who They Are</w:t>
      </w:r>
    </w:p>
    <w:p>
      <w:pPr>
        <w:spacing w:before="0" w:after="160"/>
        <w:jc w:val="both"/>
      </w:pPr>
      <w:r>
        <w:rPr>
          <w:rFonts w:ascii="Arial" w:cs="Arial" w:eastAsia="Arial" w:hAnsi="Arial"/>
          <w:color w:val="333333"/>
          <w:sz w:val="21"/>
          <w:szCs w:val="21"/>
        </w:rPr>
        <w:t xml:space="preserve">Telwater is Australia's largest manufacturer of aluminium boats and trailers, operating from an 8.6-hectare purpose-built facility in the Coomera Marine Precinct — Gold Coast. Founded in 1988, they manufacture up to 30 boats per day (12,000+ boats and 6,000 trailers annually) across four iconic Australian brands: Quintrex, Stacer, Savage, and Yellowfin Plate Boats, plus their own Move Trailer range. They employ approximately 250 staff and distribute through 220+ dealers across Australia and the South Pacific.</w:t>
      </w:r>
    </w:p>
    <w:p>
      <w:pPr>
        <w:spacing w:before="0" w:after="160"/>
        <w:jc w:val="both"/>
      </w:pPr>
      <w:r>
        <w:rPr>
          <w:rFonts w:ascii="Arial" w:cs="Arial" w:eastAsia="Arial" w:hAnsi="Arial"/>
          <w:color w:val="333333"/>
          <w:sz w:val="21"/>
          <w:szCs w:val="21"/>
        </w:rPr>
        <w:t xml:space="preserve">Their manufacturing process uses proprietary stretch-formed aluminium hull technology — unique globally to Telwater — that produces the distinctive hull shapes their brands are known for. Despite high volume, each boat is built largely by hand, which places significant engineering demand on tooling, jigs, and process design to maintain quality and speed simultaneously.</w:t>
      </w:r>
    </w:p>
    <w:p>
      <w:pPr>
        <w:pStyle w:val="Heading2"/>
        <w:pBdr>
          <w:bottom w:val="single" w:color="CCCCCC" w:sz="2" w:space="1"/>
        </w:pBdr>
        <w:spacing w:before="200" w:after="80"/>
      </w:pPr>
      <w:r>
        <w:rPr>
          <w:rFonts w:ascii="Arial" w:cs="Arial" w:eastAsia="Arial" w:hAnsi="Arial"/>
          <w:b/>
          <w:bCs/>
          <w:color w:val="004D40"/>
          <w:sz w:val="23"/>
          <w:szCs w:val="23"/>
        </w:rPr>
        <w:t xml:space="preserve">Ownership — Important Context</w:t>
      </w:r>
    </w:p>
    <w:p>
      <w:pPr>
        <w:spacing w:before="0" w:after="160"/>
        <w:jc w:val="both"/>
      </w:pPr>
      <w:r>
        <w:rPr>
          <w:rFonts w:ascii="Arial" w:cs="Arial" w:eastAsia="Arial" w:hAnsi="Arial"/>
          <w:color w:val="333333"/>
          <w:sz w:val="21"/>
          <w:szCs w:val="21"/>
        </w:rPr>
        <w:t xml:space="preserve">Telwater was acquired by Canadian powersports giant BRP in 2019, and then again by Yamaha Motor Australia in March 2025. The company is currently operating under new ownership in a transition period. This is genuinely relevant for someone joining now: a new engineering hire during an ownership transition can have real influence on process development and tooling improvement rather than simply maintaining an established status quo. The job ad's language around 'developing tooling and machinery from concept to delivery' suggests they are investing in engineering capability, not just filling a vacancy.</w:t>
      </w:r>
    </w:p>
    <w:p>
      <w:pPr>
        <w:pStyle w:val="Heading2"/>
        <w:pBdr>
          <w:bottom w:val="single" w:color="CCCCCC" w:sz="2" w:space="1"/>
        </w:pBdr>
        <w:spacing w:before="200" w:after="80"/>
      </w:pPr>
      <w:r>
        <w:rPr>
          <w:rFonts w:ascii="Arial" w:cs="Arial" w:eastAsia="Arial" w:hAnsi="Arial"/>
          <w:b/>
          <w:bCs/>
          <w:color w:val="004D40"/>
          <w:sz w:val="23"/>
          <w:szCs w:val="23"/>
        </w:rPr>
        <w:t xml:space="preserve">The Role in Context</w:t>
      </w:r>
    </w:p>
    <w:p>
      <w:pPr>
        <w:spacing w:before="0" w:after="160"/>
        <w:jc w:val="both"/>
      </w:pPr>
      <w:r>
        <w:rPr>
          <w:rFonts w:ascii="Arial" w:cs="Arial" w:eastAsia="Arial" w:hAnsi="Arial"/>
          <w:color w:val="333333"/>
          <w:sz w:val="21"/>
          <w:szCs w:val="21"/>
        </w:rPr>
        <w:t xml:space="preserve">This is a Production Engineering position — not design engineering in the traditional sense. The focus is on tooling, jigs, fixtures, and process machinery that supports manufacturing. Paul's combination of fabrication trade experience (he knows how metal is worked at the bench level) plus engineering degree (structural analysis, materials selection, process optimisation) is an unusually good fit for this type of role. Most Production Engineering graduates lack the hands-on manufacturing insight; most tradespeople lack the analytical and design capability. Paul has both.</w:t>
      </w:r>
    </w:p>
    <w:p>
      <w:pPr>
        <w:pStyle w:val="Heading2"/>
        <w:pBdr>
          <w:bottom w:val="single" w:color="CCCCCC" w:sz="2" w:space="1"/>
        </w:pBdr>
        <w:spacing w:before="200" w:after="80"/>
      </w:pPr>
      <w:r>
        <w:rPr>
          <w:rFonts w:ascii="Arial" w:cs="Arial" w:eastAsia="Arial" w:hAnsi="Arial"/>
          <w:b/>
          <w:bCs/>
          <w:color w:val="004D40"/>
          <w:sz w:val="23"/>
          <w:szCs w:val="23"/>
        </w:rPr>
        <w:t xml:space="preserve">Pre-Employment Medical — Flag</w:t>
      </w:r>
    </w:p>
    <w:p>
      <w:pPr>
        <w:spacing w:before="0" w:after="160"/>
        <w:jc w:val="both"/>
      </w:pPr>
      <w:r>
        <w:rPr>
          <w:rFonts w:ascii="Arial" w:cs="Arial" w:eastAsia="Arial" w:hAnsi="Arial"/>
          <w:color w:val="333333"/>
          <w:sz w:val="21"/>
          <w:szCs w:val="21"/>
        </w:rPr>
        <w:t xml:space="preserve">The role requires a pre-employment medical and drug and alcohol testing. This is standard for manufacturing environments. Paul should be prepared to discuss his disability and functional capacity in this context. The role is primarily design, analysis, and process engineering rather than physically operating machinery — but the factory environment and 6am start should be considered when assessing fit.</w:t>
      </w:r>
    </w:p>
    <w:p>
      <w:pPr>
        <w:spacing w:before="80" w:after="0"/>
      </w:pPr>
      <w:r>
        <w:t xml:space="preserve"/>
      </w:r>
    </w:p>
    <w:p>
      <w:pPr>
        <w:pStyle w:val="Heading1"/>
        <w:shd w:fill="004D40" w:val="clear"/>
        <w:spacing w:before="300" w:after="100"/>
        <w:ind w:left="100" w:right="100"/>
      </w:pPr>
      <w:r>
        <w:rPr>
          <w:rFonts w:ascii="Arial" w:cs="Arial" w:eastAsia="Arial" w:hAnsi="Arial"/>
          <w:b/>
          <w:bCs/>
          <w:color w:val="FFFFFF"/>
          <w:sz w:val="26"/>
          <w:szCs w:val="26"/>
        </w:rPr>
        <w:t xml:space="preserve">SECTION 2 — JOB AD ANALYSIS</w:t>
      </w:r>
    </w:p>
    <w:p>
      <w:pPr>
        <w:pStyle w:val="Heading2"/>
        <w:pBdr>
          <w:bottom w:val="single" w:color="CCCCCC" w:sz="2" w:space="1"/>
        </w:pBdr>
        <w:spacing w:before="200" w:after="80"/>
      </w:pPr>
      <w:r>
        <w:rPr>
          <w:rFonts w:ascii="Arial" w:cs="Arial" w:eastAsia="Arial" w:hAnsi="Arial"/>
          <w:b/>
          <w:bCs/>
          <w:color w:val="004D40"/>
          <w:sz w:val="23"/>
          <w:szCs w:val="23"/>
        </w:rPr>
        <w:t xml:space="preserve">Requirements vs Paul's Background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Mechanical Engineering degree</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BE (Hons) Griffith University 2023 — exactly what the role specifies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Manufacturing process knowledge</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4-year fabrication apprenticeship + 5 years trade; knows aluminium, sheet metal, welding, jigs and fixtures from the floor 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Tooling and jig design</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degree covers tooling design; trade background means he understands what actually works in practice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CAD / 3D design skills</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SolidWorks primary platform — 3D modelling, sheet metal, assemblies; Inventor, Fusion 360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Fabrication methods knowledge</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Certificate III in fabrication, 9 years hands-on trade — welding, machining, plasma cutting all referenced in 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Troubleshooting processes</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Trade background = instinctive understanding of failure modes; engineering degree = systematic analysis methodology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LEAN / Six Sigma / process improvement</w:t>
            </w:r>
          </w:p>
        </w:tc>
        <w:tc>
          <w:tcPr>
            <w:tcW w:type="dxa" w:w="1200"/>
            <w:tcBorders>
              <w:top w:val="none" w:color="FFFFFF" w:sz="0"/>
              <w:left w:val="none" w:color="FFFFFF" w:sz="0"/>
              <w:bottom w:val="none" w:color="FFFFFF" w:sz="0"/>
              <w:right w:val="none" w:color="FFFFFF" w:sz="0"/>
            </w:tcBorders>
            <w:shd w:fill="E3F2FD" w:val="clear"/>
            <w:tcMar>
              <w:top w:type="dxa" w:w="60"/>
              <w:left w:type="dxa" w:w="80"/>
              <w:bottom w:type="dxa" w:w="60"/>
              <w:right w:type="dxa" w:w="80"/>
            </w:tcMar>
          </w:tcPr>
          <w:p>
            <w:pPr>
              <w:jc w:val="center"/>
            </w:pPr>
            <w:r>
              <w:rPr>
                <w:rFonts w:ascii="Arial" w:cs="Arial" w:eastAsia="Arial" w:hAnsi="Arial"/>
                <w:b/>
                <w:bCs/>
                <w:color w:val="1565C0"/>
                <w:sz w:val="18"/>
                <w:szCs w:val="18"/>
              </w:rPr>
              <w:t xml:space="preserve">CONFIRM</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Not explicitly listed as a credential — covered conceptually in engineering degree; worth noting familiarity in cover letter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Automated systems</w:t>
            </w:r>
          </w:p>
        </w:tc>
        <w:tc>
          <w:tcPr>
            <w:tcW w:type="dxa" w:w="1200"/>
            <w:tcBorders>
              <w:top w:val="none" w:color="FFFFFF" w:sz="0"/>
              <w:left w:val="none" w:color="FFFFFF" w:sz="0"/>
              <w:bottom w:val="none" w:color="FFFFFF" w:sz="0"/>
              <w:right w:val="none" w:color="FFFFFF" w:sz="0"/>
            </w:tcBorders>
            <w:shd w:fill="E3F2FD" w:val="clear"/>
            <w:tcMar>
              <w:top w:type="dxa" w:w="60"/>
              <w:left w:type="dxa" w:w="80"/>
              <w:bottom w:type="dxa" w:w="60"/>
              <w:right w:type="dxa" w:w="80"/>
            </w:tcMar>
          </w:tcPr>
          <w:p>
            <w:pPr>
              <w:jc w:val="center"/>
            </w:pPr>
            <w:r>
              <w:rPr>
                <w:rFonts w:ascii="Arial" w:cs="Arial" w:eastAsia="Arial" w:hAnsi="Arial"/>
                <w:b/>
                <w:bCs/>
                <w:color w:val="1565C0"/>
                <w:sz w:val="18"/>
                <w:szCs w:val="18"/>
              </w:rPr>
              <w:t xml:space="preserve">CONFIRM</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degree includes control systems and automation; hands-on automation experience not noted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Quality assurance techniques</w:t>
            </w:r>
          </w:p>
        </w:tc>
        <w:tc>
          <w:tcPr>
            <w:tcW w:type="dxa" w:w="1200"/>
            <w:tcBorders>
              <w:top w:val="none" w:color="FFFFFF" w:sz="0"/>
              <w:left w:val="none" w:color="FFFFFF" w:sz="0"/>
              <w:bottom w:val="none" w:color="FFFFFF" w:sz="0"/>
              <w:right w:val="none" w:color="FFFFFF" w:sz="0"/>
            </w:tcBorders>
            <w:shd w:fill="FFF9C4" w:val="clear"/>
            <w:tcMar>
              <w:top w:type="dxa" w:w="60"/>
              <w:left w:type="dxa" w:w="80"/>
              <w:bottom w:type="dxa" w:w="60"/>
              <w:right w:type="dxa" w:w="80"/>
            </w:tcMar>
          </w:tcPr>
          <w:p>
            <w:pPr>
              <w:jc w:val="center"/>
            </w:pPr>
            <w:r>
              <w:rPr>
                <w:rFonts w:ascii="Arial" w:cs="Arial" w:eastAsia="Arial" w:hAnsi="Arial"/>
                <w:b/>
                <w:bCs/>
                <w:color w:val="F57F17"/>
                <w:sz w:val="18"/>
                <w:szCs w:val="18"/>
              </w:rPr>
              <w:t xml:space="preserve">GOOD</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training includes QA principles; Habitec work involves verifying designs meet specifications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Supplier liaison / multitasking</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Habitec: manages multiple concurrent projects, coordinates with external suppliers and fabricators</w:t>
            </w:r>
          </w:p>
        </w:tc>
      </w:tr>
    </w:tbl>
    <w:p>
      <w:pPr>
        <w:spacing w:before="80" w:after="0"/>
      </w:pPr>
      <w:r>
        <w:t xml:space="preserve"/>
      </w:r>
    </w:p>
    <w:p>
      <w:pPr>
        <w:pStyle w:val="Heading2"/>
        <w:pBdr>
          <w:bottom w:val="single" w:color="CCCCCC" w:sz="2" w:space="1"/>
        </w:pBdr>
        <w:spacing w:before="200" w:after="80"/>
      </w:pPr>
      <w:r>
        <w:rPr>
          <w:rFonts w:ascii="Arial" w:cs="Arial" w:eastAsia="Arial" w:hAnsi="Arial"/>
          <w:b/>
          <w:bCs/>
          <w:color w:val="004D40"/>
          <w:sz w:val="23"/>
          <w:szCs w:val="23"/>
        </w:rPr>
        <w:t xml:space="preserve">Employer Questions — Suggested Answers</w:t>
      </w:r>
    </w:p>
    <w:p>
      <w:pPr>
        <w:pStyle w:val="ListParagraph"/>
        <w:numPr>
          <w:ilvl w:val="0"/>
          <w:numId w:val="2"/>
        </w:numPr>
        <w:spacing w:before="40" w:after="40"/>
      </w:pPr>
      <w:r>
        <w:rPr>
          <w:rFonts w:ascii="Arial" w:cs="Arial" w:eastAsia="Arial" w:hAnsi="Arial"/>
          <w:color w:val="333333"/>
          <w:sz w:val="21"/>
          <w:szCs w:val="21"/>
        </w:rPr>
        <w:t xml:space="preserve">Right to work in Australia: Australian Citizen</w:t>
      </w:r>
    </w:p>
    <w:p>
      <w:pPr>
        <w:pStyle w:val="ListParagraph"/>
        <w:numPr>
          <w:ilvl w:val="0"/>
          <w:numId w:val="2"/>
        </w:numPr>
        <w:spacing w:before="40" w:after="40"/>
      </w:pPr>
      <w:r>
        <w:rPr>
          <w:rFonts w:ascii="Arial" w:cs="Arial" w:eastAsia="Arial" w:hAnsi="Arial"/>
          <w:color w:val="333333"/>
          <w:sz w:val="21"/>
          <w:szCs w:val="21"/>
        </w:rPr>
        <w:t xml:space="preserve">Notice period: Check current Habitec arrangement — likely short or nil given consulting structure.</w:t>
      </w:r>
    </w:p>
    <w:p>
      <w:pPr>
        <w:pStyle w:val="ListParagraph"/>
        <w:numPr>
          <w:ilvl w:val="0"/>
          <w:numId w:val="2"/>
        </w:numPr>
        <w:spacing w:before="40" w:after="40"/>
      </w:pPr>
      <w:r>
        <w:rPr>
          <w:rFonts w:ascii="Arial" w:cs="Arial" w:eastAsia="Arial" w:hAnsi="Arial"/>
          <w:color w:val="333333"/>
          <w:sz w:val="21"/>
          <w:szCs w:val="21"/>
        </w:rPr>
        <w:t xml:space="preserve">Salary expectations: $77–80K is the advertised range. Paul should decide his floor — accepting the full range is reasonable for 1–2 years post-grad given his trade experience adds genuine value above a typical graduate. Could state $78K as a mid-range figure.</w:t>
      </w:r>
    </w:p>
    <w:p>
      <w:pPr>
        <w:pStyle w:val="ListParagraph"/>
        <w:numPr>
          <w:ilvl w:val="0"/>
          <w:numId w:val="2"/>
        </w:numPr>
        <w:spacing w:before="40" w:after="40"/>
      </w:pPr>
      <w:r>
        <w:rPr>
          <w:rFonts w:ascii="Arial" w:cs="Arial" w:eastAsia="Arial" w:hAnsi="Arial"/>
          <w:color w:val="333333"/>
          <w:sz w:val="21"/>
          <w:szCs w:val="21"/>
        </w:rPr>
        <w:t xml:space="preserve">Pre-employment medical: Yes, willing to participate. Paul should be prepared for the medical to raise questions about his disability and may wish to proactively flag it with HR in advance of the formal process to ensure no surprises.</w:t>
      </w:r>
    </w:p>
    <w:p>
      <w:pPr>
        <w:spacing w:before="80" w:after="0"/>
      </w:pPr>
      <w:r>
        <w:t xml:space="preserve"/>
      </w:r>
    </w:p>
    <w:p>
      <w:pPr>
        <w:pStyle w:val="Heading2"/>
        <w:pBdr>
          <w:bottom w:val="single" w:color="CCCCCC" w:sz="2" w:space="1"/>
        </w:pBdr>
        <w:spacing w:before="200" w:after="80"/>
      </w:pPr>
      <w:r>
        <w:rPr>
          <w:rFonts w:ascii="Arial" w:cs="Arial" w:eastAsia="Arial" w:hAnsi="Arial"/>
          <w:b/>
          <w:bCs/>
          <w:color w:val="004D40"/>
          <w:sz w:val="23"/>
          <w:szCs w:val="23"/>
        </w:rPr>
        <w:t xml:space="preserve">Key Angles for This Application</w:t>
      </w:r>
    </w:p>
    <w:p>
      <w:pPr>
        <w:spacing w:before="0" w:after="160"/>
        <w:jc w:val="both"/>
      </w:pPr>
      <w:r>
        <w:rPr>
          <w:rFonts w:ascii="Arial" w:cs="Arial" w:eastAsia="Arial" w:hAnsi="Arial"/>
          <w:color w:val="333333"/>
          <w:sz w:val="21"/>
          <w:szCs w:val="21"/>
        </w:rPr>
        <w:t xml:space="preserve">The role targets 1–2 years post-grad experience, which means Paul is in the right bracket by graduation year (2023). The differentiator isn't years of experience — it's the fabrication trade underneath the degree. Every other applicant will have the degree. Very few will have the trade apprenticeship that means they understand jig design from the perspective of someone who's actually used one, or aluminium sheet metal from someone who's worked it on a brake press.</w:t>
      </w:r>
    </w:p>
    <w:p>
      <w:pPr>
        <w:spacing w:before="0" w:after="160"/>
        <w:jc w:val="both"/>
      </w:pPr>
      <w:r>
        <w:rPr>
          <w:rFonts w:ascii="Arial" w:cs="Arial" w:eastAsia="Arial" w:hAnsi="Arial"/>
          <w:color w:val="333333"/>
          <w:sz w:val="21"/>
          <w:szCs w:val="21"/>
        </w:rPr>
        <w:t xml:space="preserve">The boat connection is also authentic: Swift Marine apprenticeship, lifelong Gold Coast coastal background, current camper trailer build. This is a company that makes products Paul has grown up around — and that genuine enthusiasm is worth a sentence.</w:t>
      </w:r>
    </w:p>
    <w:p>
      <w:pPr>
        <w:spacing w:before="80" w:after="0"/>
      </w:pPr>
      <w:r>
        <w:t xml:space="preserve"/>
      </w:r>
    </w:p>
    <w:p>
      <w:pPr>
        <w:pStyle w:val="Heading1"/>
        <w:shd w:fill="004D40" w:val="clear"/>
        <w:spacing w:before="300" w:after="100"/>
        <w:ind w:left="100" w:right="100"/>
      </w:pPr>
      <w:r>
        <w:rPr>
          <w:rFonts w:ascii="Arial" w:cs="Arial" w:eastAsia="Arial" w:hAnsi="Arial"/>
          <w:b/>
          <w:bCs/>
          <w:color w:val="FFFFFF"/>
          <w:sz w:val="26"/>
          <w:szCs w:val="26"/>
        </w:rPr>
        <w:t xml:space="preserve">SECTION 3 — RESUME &amp; COVER LETTER BRIEF</w:t>
      </w:r>
    </w:p>
    <w:p>
      <w:pPr>
        <w:pStyle w:val="Heading2"/>
        <w:pBdr>
          <w:bottom w:val="single" w:color="CCCCCC" w:sz="2" w:space="1"/>
        </w:pBdr>
        <w:spacing w:before="200" w:after="80"/>
      </w:pPr>
      <w:r>
        <w:rPr>
          <w:rFonts w:ascii="Arial" w:cs="Arial" w:eastAsia="Arial" w:hAnsi="Arial"/>
          <w:b/>
          <w:bCs/>
          <w:color w:val="004D40"/>
          <w:sz w:val="23"/>
          <w:szCs w:val="23"/>
        </w:rPr>
        <w:t xml:space="preserve">Resume Approach</w:t>
      </w:r>
    </w:p>
    <w:p>
      <w:pPr>
        <w:spacing w:before="0" w:after="160"/>
        <w:jc w:val="both"/>
      </w:pPr>
      <w:r>
        <w:rPr>
          <w:rFonts w:ascii="Arial" w:cs="Arial" w:eastAsia="Arial" w:hAnsi="Arial"/>
          <w:color w:val="333333"/>
          <w:sz w:val="21"/>
          <w:szCs w:val="21"/>
        </w:rPr>
        <w:t xml:space="preserve">Similar to the STP resume — full profile on display. Title: Mechanical Engineer | Production Engineering. Lead with engineering degree and the fabrication trade. The thesis is particularly relevant here: designed a novel mechanical device, built it, tested it — that's a small-scale version of exactly what a Production Engineer does when developing new tooling. Emphasise process and manufacturing knowledge throughout.</w:t>
      </w:r>
    </w:p>
    <w:p>
      <w:pPr>
        <w:pStyle w:val="ListParagraph"/>
        <w:numPr>
          <w:ilvl w:val="0"/>
          <w:numId w:val="2"/>
        </w:numPr>
        <w:spacing w:before="40" w:after="40"/>
      </w:pPr>
      <w:r>
        <w:rPr>
          <w:rFonts w:ascii="Arial" w:cs="Arial" w:eastAsia="Arial" w:hAnsi="Arial"/>
          <w:color w:val="333333"/>
          <w:sz w:val="21"/>
          <w:szCs w:val="21"/>
        </w:rPr>
        <w:t xml:space="preserve">Highlight Swift Marine and Superior Stainless at full length — aluminium and sheet metal fabrication is Telwater's entire manufacturing method</w:t>
      </w:r>
    </w:p>
    <w:p>
      <w:pPr>
        <w:pStyle w:val="ListParagraph"/>
        <w:numPr>
          <w:ilvl w:val="0"/>
          <w:numId w:val="2"/>
        </w:numPr>
        <w:spacing w:before="40" w:after="40"/>
      </w:pPr>
      <w:r>
        <w:rPr>
          <w:rFonts w:ascii="Arial" w:cs="Arial" w:eastAsia="Arial" w:hAnsi="Arial"/>
          <w:color w:val="333333"/>
          <w:sz w:val="21"/>
          <w:szCs w:val="21"/>
        </w:rPr>
        <w:t xml:space="preserve">Mention plasma cutting, brake press, welding explicitly — all referenced in the job ad</w:t>
      </w:r>
    </w:p>
    <w:p>
      <w:pPr>
        <w:pStyle w:val="ListParagraph"/>
        <w:numPr>
          <w:ilvl w:val="0"/>
          <w:numId w:val="2"/>
        </w:numPr>
        <w:spacing w:before="40" w:after="40"/>
      </w:pPr>
      <w:r>
        <w:rPr>
          <w:rFonts w:ascii="Arial" w:cs="Arial" w:eastAsia="Arial" w:hAnsi="Arial"/>
          <w:color w:val="333333"/>
          <w:sz w:val="21"/>
          <w:szCs w:val="21"/>
        </w:rPr>
        <w:t xml:space="preserve">Reference LEAN/process improvement awareness in skills section</w:t>
      </w:r>
    </w:p>
    <w:p>
      <w:pPr>
        <w:pStyle w:val="ListParagraph"/>
        <w:numPr>
          <w:ilvl w:val="0"/>
          <w:numId w:val="2"/>
        </w:numPr>
        <w:spacing w:before="40" w:after="40"/>
      </w:pPr>
      <w:r>
        <w:rPr>
          <w:rFonts w:ascii="Arial" w:cs="Arial" w:eastAsia="Arial" w:hAnsi="Arial"/>
          <w:color w:val="333333"/>
          <w:sz w:val="21"/>
          <w:szCs w:val="21"/>
        </w:rPr>
        <w:t xml:space="preserve">Note the Gold Coast Marine Precinct location proximity — 10 minutes from Tallebudgera</w:t>
      </w:r>
    </w:p>
    <w:p>
      <w:pPr>
        <w:pStyle w:val="Heading2"/>
        <w:pBdr>
          <w:bottom w:val="single" w:color="CCCCCC" w:sz="2" w:space="1"/>
        </w:pBdr>
        <w:spacing w:before="200" w:after="80"/>
      </w:pPr>
      <w:r>
        <w:rPr>
          <w:rFonts w:ascii="Arial" w:cs="Arial" w:eastAsia="Arial" w:hAnsi="Arial"/>
          <w:b/>
          <w:bCs/>
          <w:color w:val="004D40"/>
          <w:sz w:val="23"/>
          <w:szCs w:val="23"/>
        </w:rPr>
        <w:t xml:space="preserve">Cover Letter Approach</w:t>
      </w:r>
    </w:p>
    <w:p>
      <w:pPr>
        <w:pStyle w:val="ListParagraph"/>
        <w:numPr>
          <w:ilvl w:val="0"/>
          <w:numId w:val="2"/>
        </w:numPr>
        <w:spacing w:before="40" w:after="40"/>
      </w:pPr>
      <w:r>
        <w:rPr>
          <w:rFonts w:ascii="Arial" w:cs="Arial" w:eastAsia="Arial" w:hAnsi="Arial"/>
          <w:color w:val="333333"/>
          <w:sz w:val="21"/>
          <w:szCs w:val="21"/>
        </w:rPr>
        <w:t xml:space="preserve">Open with the fabricator-turned-engineer angle — directly relevant to Production Engineering</w:t>
      </w:r>
    </w:p>
    <w:p>
      <w:pPr>
        <w:pStyle w:val="ListParagraph"/>
        <w:numPr>
          <w:ilvl w:val="0"/>
          <w:numId w:val="2"/>
        </w:numPr>
        <w:spacing w:before="40" w:after="40"/>
      </w:pPr>
      <w:r>
        <w:rPr>
          <w:rFonts w:ascii="Arial" w:cs="Arial" w:eastAsia="Arial" w:hAnsi="Arial"/>
          <w:color w:val="333333"/>
          <w:sz w:val="21"/>
          <w:szCs w:val="21"/>
        </w:rPr>
        <w:t xml:space="preserve">Show specific company knowledge: stretch-formed hulls, hand-built manufacturing process, Yamaha transition</w:t>
      </w:r>
    </w:p>
    <w:p>
      <w:pPr>
        <w:pStyle w:val="ListParagraph"/>
        <w:numPr>
          <w:ilvl w:val="0"/>
          <w:numId w:val="2"/>
        </w:numPr>
        <w:spacing w:before="40" w:after="40"/>
      </w:pPr>
      <w:r>
        <w:rPr>
          <w:rFonts w:ascii="Arial" w:cs="Arial" w:eastAsia="Arial" w:hAnsi="Arial"/>
          <w:color w:val="333333"/>
          <w:sz w:val="21"/>
          <w:szCs w:val="21"/>
        </w:rPr>
        <w:t xml:space="preserve">Connect thesis project to tooling development work — both involve designing something novel, building it, and validating it</w:t>
      </w:r>
    </w:p>
    <w:p>
      <w:pPr>
        <w:pStyle w:val="ListParagraph"/>
        <w:numPr>
          <w:ilvl w:val="0"/>
          <w:numId w:val="2"/>
        </w:numPr>
        <w:spacing w:before="40" w:after="40"/>
      </w:pPr>
      <w:r>
        <w:rPr>
          <w:rFonts w:ascii="Arial" w:cs="Arial" w:eastAsia="Arial" w:hAnsi="Arial"/>
          <w:color w:val="333333"/>
          <w:sz w:val="21"/>
          <w:szCs w:val="21"/>
        </w:rPr>
        <w:t xml:space="preserve">Mention boat/marine lifelong connection — Gold Coast background, Swift Marine, coastal lifestyle</w:t>
      </w:r>
    </w:p>
    <w:p>
      <w:pPr>
        <w:pStyle w:val="ListParagraph"/>
        <w:numPr>
          <w:ilvl w:val="0"/>
          <w:numId w:val="2"/>
        </w:numPr>
        <w:spacing w:before="40" w:after="40"/>
      </w:pPr>
      <w:r>
        <w:rPr>
          <w:rFonts w:ascii="Arial" w:cs="Arial" w:eastAsia="Arial" w:hAnsi="Arial"/>
          <w:color w:val="333333"/>
          <w:sz w:val="21"/>
          <w:szCs w:val="21"/>
        </w:rPr>
        <w:t xml:space="preserve">Disability: brief, mid-letter, framed around the problem-solving and resilience narrative — same approach as STP</w:t>
      </w:r>
    </w:p>
    <w:p>
      <w:pPr>
        <w:pStyle w:val="ListParagraph"/>
        <w:numPr>
          <w:ilvl w:val="0"/>
          <w:numId w:val="2"/>
        </w:numPr>
        <w:spacing w:before="40" w:after="40"/>
      </w:pPr>
      <w:r>
        <w:rPr>
          <w:rFonts w:ascii="Arial" w:cs="Arial" w:eastAsia="Arial" w:hAnsi="Arial"/>
          <w:color w:val="333333"/>
          <w:sz w:val="21"/>
          <w:szCs w:val="21"/>
        </w:rPr>
        <w:t xml:space="preserve">Close with genuine enthusiasm for contributing during a significant period of transition and growth</w:t>
      </w:r>
    </w:p>
    <w:p>
      <w:pPr>
        <w:spacing w:before="80" w:after="0"/>
      </w:pPr>
      <w:r>
        <w:t xml:space="preserve"/>
      </w:r>
    </w:p>
    <w:p>
      <w:pPr>
        <w:pBdr>
          <w:top w:val="single" w:color="CCCCCC" w:sz="2" w:space="4"/>
        </w:pBdr>
        <w:spacing w:before="300"/>
        <w:jc w:val="center"/>
      </w:pPr>
      <w:r>
        <w:rPr>
          <w:rFonts w:ascii="Arial" w:cs="Arial" w:eastAsia="Arial" w:hAnsi="Arial"/>
          <w:i/>
          <w:iCs/>
          <w:color w:val="888888"/>
          <w:sz w:val="18"/>
          <w:szCs w:val="18"/>
        </w:rPr>
        <w:t xml:space="preserve">Prepared for Paul Robinson  |  Telwater Application  |  February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00"/>
      <w:outlineLvl w:val="0"/>
    </w:pPr>
    <w:rPr>
      <w:rFonts w:ascii="Arial" w:cs="Arial" w:eastAsia="Arial" w:hAnsi="Arial"/>
      <w:b/>
      <w:bCs/>
      <w:color w:val="FFFFFF"/>
      <w:sz w:val="26"/>
      <w:szCs w:val="26"/>
    </w:rPr>
  </w:style>
  <w:style w:type="paragraph" w:styleId="Heading2">
    <w:name w:val="Heading 2"/>
    <w:basedOn w:val="Normal"/>
    <w:next w:val="Normal"/>
    <w:pPr>
      <w:spacing w:before="200" w:after="80"/>
      <w:outlineLvl w:val="1"/>
    </w:pPr>
    <w:rPr>
      <w:rFonts w:ascii="Arial" w:cs="Arial" w:eastAsia="Arial" w:hAnsi="Arial"/>
      <w:b/>
      <w:bCs/>
      <w:color w:val="004D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2026-02-23T01:15:46.415Z</dcterms:created>
  <dcterms:modified xsi:type="dcterms:W3CDTF">2026-02-23T01:15:46.415Z</dcterms:modified>
</cp:coreProperties>
</file>

<file path=docProps/custom.xml><?xml version="1.0" encoding="utf-8"?>
<Properties xmlns="http://schemas.openxmlformats.org/officeDocument/2006/custom-properties" xmlns:vt="http://schemas.openxmlformats.org/officeDocument/2006/docPropsVTypes"/>
</file>