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5631" w:val="clear"/>
        <w:spacing w:before="200" w:after="60"/>
        <w:jc w:val="center"/>
      </w:pPr>
      <w:r>
        <w:rPr>
          <w:rFonts w:ascii="Arial" w:cs="Arial" w:eastAsia="Arial" w:hAnsi="Arial"/>
          <w:b/>
          <w:bCs/>
          <w:color w:val="FFFFFF"/>
          <w:sz w:val="38"/>
          <w:szCs w:val="38"/>
        </w:rPr>
        <w:t xml:space="preserve">JOB APPLICATION BRIEF</w:t>
      </w:r>
    </w:p>
    <w:p>
      <w:pPr>
        <w:shd w:fill="2E7D32" w:val="clear"/>
        <w:spacing w:before="0" w:after="200"/>
        <w:jc w:val="center"/>
      </w:pPr>
      <w:r>
        <w:rPr>
          <w:rFonts w:ascii="Arial" w:cs="Arial" w:eastAsia="Arial" w:hAnsi="Arial"/>
          <w:color w:val="FFFFFF"/>
          <w:sz w:val="23"/>
          <w:szCs w:val="23"/>
        </w:rPr>
        <w:t xml:space="preserve">Unidan Engineering  |  Draftsperson  |  Yatala, QLD</w:t>
      </w:r>
    </w:p>
    <w:p>
      <w:pPr>
        <w:pStyle w:val="Heading1"/>
        <w:shd w:fill="1E5631" w:val="clear"/>
        <w:spacing w:before="300" w:after="100"/>
        <w:ind w:left="120" w:right="120"/>
      </w:pPr>
      <w:r>
        <w:rPr>
          <w:rFonts w:ascii="Arial" w:cs="Arial" w:eastAsia="Arial" w:hAnsi="Arial"/>
          <w:b/>
          <w:bCs/>
          <w:color w:val="FFFFFF"/>
          <w:sz w:val="26"/>
          <w:szCs w:val="26"/>
        </w:rPr>
        <w:t xml:space="preserve">SECTION 1 — COMPANY RESEARCH</w:t>
      </w:r>
    </w:p>
    <w:p>
      <w:pPr>
        <w:pStyle w:val="Heading2"/>
        <w:pBdr>
          <w:bottom w:val="single" w:color="AAAAAA" w:sz="2" w:space="1"/>
        </w:pBdr>
        <w:spacing w:before="220" w:after="80"/>
      </w:pPr>
      <w:r>
        <w:rPr>
          <w:rFonts w:ascii="Arial" w:cs="Arial" w:eastAsia="Arial" w:hAnsi="Arial"/>
          <w:b/>
          <w:bCs/>
          <w:color w:val="1E5631"/>
          <w:sz w:val="23"/>
          <w:szCs w:val="23"/>
        </w:rPr>
        <w:t xml:space="preserve">Who They Are</w:t>
      </w:r>
    </w:p>
    <w:p>
      <w:pPr>
        <w:spacing w:before="60" w:after="60"/>
      </w:pPr>
      <w:r>
        <w:rPr>
          <w:rFonts w:ascii="Arial" w:cs="Arial" w:eastAsia="Arial" w:hAnsi="Arial"/>
          <w:color w:val="333333"/>
          <w:sz w:val="21"/>
          <w:szCs w:val="21"/>
        </w:rPr>
        <w:t xml:space="preserve">Unidan Engineering is a Gold Coast-born, family-owned company founded in 2011 by Daniel Mavin — a man who spent decades building and driving 4WDs and Unimogs before turning his passion into a business. What started as a Unimog specialist has grown into Australia's premier custom vehicle engineering company, now running a team of nearly 30 from a purpose-built 4,000m² facility in Yatala. Managing Director Daniel Mavin and his partner Tiarni run the business together, which gives it a tight-knit, hands-on culture that is genuinely family-driven rather than just claiming to be.</w:t>
      </w:r>
    </w:p>
    <w:p>
      <w:pPr>
        <w:spacing w:before="80" w:after="0"/>
      </w:pPr>
      <w:r>
        <w:t xml:space="preserve"/>
      </w:r>
    </w:p>
    <w:p>
      <w:pPr>
        <w:pStyle w:val="Heading2"/>
        <w:pBdr>
          <w:bottom w:val="single" w:color="AAAAAA" w:sz="2" w:space="1"/>
        </w:pBdr>
        <w:spacing w:before="220" w:after="80"/>
      </w:pPr>
      <w:r>
        <w:rPr>
          <w:rFonts w:ascii="Arial" w:cs="Arial" w:eastAsia="Arial" w:hAnsi="Arial"/>
          <w:b/>
          <w:bCs/>
          <w:color w:val="1E5631"/>
          <w:sz w:val="23"/>
          <w:szCs w:val="23"/>
        </w:rPr>
        <w:t xml:space="preserve">What They Build</w:t>
      </w:r>
    </w:p>
    <w:p>
      <w:pPr>
        <w:spacing w:before="60" w:after="60"/>
      </w:pPr>
      <w:r>
        <w:rPr>
          <w:rFonts w:ascii="Arial" w:cs="Arial" w:eastAsia="Arial" w:hAnsi="Arial"/>
          <w:color w:val="333333"/>
          <w:sz w:val="21"/>
          <w:szCs w:val="21"/>
        </w:rPr>
        <w:t xml:space="preserve">Unidan operates across three distinct markets, all centring on high-specification custom vehicle builds:</w:t>
      </w:r>
    </w:p>
    <w:p>
      <w:pPr>
        <w:pStyle w:val="ListParagraph"/>
        <w:numPr>
          <w:ilvl w:val="0"/>
          <w:numId w:val="2"/>
        </w:numPr>
        <w:spacing w:before="40" w:after="40"/>
      </w:pPr>
      <w:r>
        <w:rPr>
          <w:rFonts w:ascii="Arial" w:cs="Arial" w:eastAsia="Arial" w:hAnsi="Arial"/>
          <w:color w:val="333333"/>
          <w:sz w:val="21"/>
          <w:szCs w:val="21"/>
        </w:rPr>
        <w:t xml:space="preserve">Expedition vehicles — fully self-contained off-road living platforms, primarily on Mercedes-Benz Unimog chassis, built for remote Australian and international travel. These are complex, bespoke builds incorporating custom fabricated bodies, kitchens, plumbing, electrical, and living quarters — all 3D modelled in SolidWorks before a single piece of metal is cut.</w:t>
      </w:r>
    </w:p>
    <w:p>
      <w:pPr>
        <w:pStyle w:val="ListParagraph"/>
        <w:numPr>
          <w:ilvl w:val="0"/>
          <w:numId w:val="2"/>
        </w:numPr>
        <w:spacing w:before="40" w:after="40"/>
      </w:pPr>
      <w:r>
        <w:rPr>
          <w:rFonts w:ascii="Arial" w:cs="Arial" w:eastAsia="Arial" w:hAnsi="Arial"/>
          <w:color w:val="333333"/>
          <w:sz w:val="21"/>
          <w:szCs w:val="21"/>
        </w:rPr>
        <w:t xml:space="preserve">Commercial and emergency service vehicles — specialised platforms for defence, mining, emergency services, and adventure tourism. Think remote medical response units, mine site support trucks, and military-adjacent builds.</w:t>
      </w:r>
    </w:p>
    <w:p>
      <w:pPr>
        <w:pStyle w:val="ListParagraph"/>
        <w:numPr>
          <w:ilvl w:val="0"/>
          <w:numId w:val="2"/>
        </w:numPr>
        <w:spacing w:before="40" w:after="40"/>
      </w:pPr>
      <w:r>
        <w:rPr>
          <w:rFonts w:ascii="Arial" w:cs="Arial" w:eastAsia="Arial" w:hAnsi="Arial"/>
          <w:color w:val="333333"/>
          <w:sz w:val="21"/>
          <w:szCs w:val="21"/>
        </w:rPr>
        <w:t xml:space="preserve">Toy haulers and fleet support — purpose-built transport and support vehicles for motorsport and expedition teams.</w:t>
      </w:r>
    </w:p>
    <w:p>
      <w:pPr>
        <w:spacing w:before="60" w:after="60"/>
      </w:pPr>
      <w:r>
        <w:rPr>
          <w:rFonts w:ascii="Arial" w:cs="Arial" w:eastAsia="Arial" w:hAnsi="Arial"/>
          <w:color w:val="333333"/>
          <w:sz w:val="21"/>
          <w:szCs w:val="21"/>
        </w:rPr>
        <w:t xml:space="preserve">They are also an official Mercedes-Benz Unimog Centre dealer (since 2019) — one of a very small number in Australia — which adds a significant prestige and technical complexity dimension to their work.</w:t>
      </w:r>
    </w:p>
    <w:p>
      <w:pPr>
        <w:spacing w:before="80" w:after="0"/>
      </w:pPr>
      <w:r>
        <w:t xml:space="preserve"/>
      </w:r>
    </w:p>
    <w:p>
      <w:pPr>
        <w:pStyle w:val="Heading2"/>
        <w:pBdr>
          <w:bottom w:val="single" w:color="AAAAAA" w:sz="2" w:space="1"/>
        </w:pBdr>
        <w:spacing w:before="220" w:after="80"/>
      </w:pPr>
      <w:r>
        <w:rPr>
          <w:rFonts w:ascii="Arial" w:cs="Arial" w:eastAsia="Arial" w:hAnsi="Arial"/>
          <w:b/>
          <w:bCs/>
          <w:color w:val="1E5631"/>
          <w:sz w:val="23"/>
          <w:szCs w:val="23"/>
        </w:rPr>
        <w:t xml:space="preserve">Their Manufacturing Capability</w:t>
      </w:r>
    </w:p>
    <w:p>
      <w:pPr>
        <w:spacing w:before="60" w:after="60"/>
      </w:pPr>
      <w:r>
        <w:rPr>
          <w:rFonts w:ascii="Arial" w:cs="Arial" w:eastAsia="Arial" w:hAnsi="Arial"/>
          <w:color w:val="333333"/>
          <w:sz w:val="21"/>
          <w:szCs w:val="21"/>
        </w:rPr>
        <w:t xml:space="preserve">For a company of their size, Unidan's in-house capability is remarkable. The Yatala facility runs 5-axis CNC machining, laser cutting, robotic welding, and 3D scanning. They recently invested in a Mazak CNC machine tool, signalling ongoing investment in precision manufacturing capacity. Critically for this role, they use SolidWorks as their primary CAD platform with full PDM Vault document management — which means every drawing, part file, and assembly is version-controlled and managed in a structured digital workflow.</w:t>
      </w:r>
    </w:p>
    <w:p>
      <w:pPr>
        <w:spacing w:before="80" w:after="0"/>
      </w:pPr>
      <w:r>
        <w:t xml:space="preserve"/>
      </w:r>
    </w:p>
    <w:p>
      <w:pPr>
        <w:pStyle w:val="Heading2"/>
        <w:pBdr>
          <w:bottom w:val="single" w:color="AAAAAA" w:sz="2" w:space="1"/>
        </w:pBdr>
        <w:spacing w:before="220" w:after="80"/>
      </w:pPr>
      <w:r>
        <w:rPr>
          <w:rFonts w:ascii="Arial" w:cs="Arial" w:eastAsia="Arial" w:hAnsi="Arial"/>
          <w:b/>
          <w:bCs/>
          <w:color w:val="1E5631"/>
          <w:sz w:val="23"/>
          <w:szCs w:val="23"/>
        </w:rPr>
        <w:t xml:space="preserve">Culture and Reputation</w:t>
      </w:r>
    </w:p>
    <w:p>
      <w:pPr>
        <w:spacing w:before="60" w:after="60"/>
      </w:pPr>
      <w:r>
        <w:rPr>
          <w:rFonts w:ascii="Arial" w:cs="Arial" w:eastAsia="Arial" w:hAnsi="Arial"/>
          <w:color w:val="333333"/>
          <w:sz w:val="21"/>
          <w:szCs w:val="21"/>
        </w:rPr>
        <w:t xml:space="preserve">Unidan's customer reviews and industry reputation are consistently strong. Clients describe them as technically brilliant, transparent under pressure, and genuinely passionate about what they build. One international expedition client shortlisted them from nine global companies after a three-year evaluation process — and chose them. That tells you something about their quality and professionalism relative to world-class competitors.</w:t>
      </w:r>
    </w:p>
    <w:p>
      <w:pPr>
        <w:spacing w:before="60" w:after="60"/>
      </w:pPr>
      <w:r>
        <w:rPr>
          <w:rFonts w:ascii="Arial" w:cs="Arial" w:eastAsia="Arial" w:hAnsi="Arial"/>
          <w:color w:val="333333"/>
          <w:sz w:val="21"/>
          <w:szCs w:val="21"/>
        </w:rPr>
        <w:t xml:space="preserve">Internally, the culture is energetic and passionate. They actively promote the off-road lifestyle, run regular team BBQs, and offer machinery training and further education. This is a company where the team genuinely uses and cares about the products they build. The ad's opening line — "do you love the offroad and adventure life?" — is a genuine cultural filter, not marketing fluff.</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2"/>
              <w:left w:val="single" w:color="2E7D32" w:sz="10"/>
              <w:bottom w:val="single" w:color="2E7D32" w:sz="2"/>
              <w:right w:val="none" w:color="FFFFFF" w:sz="0"/>
            </w:tcBorders>
            <w:shd w:fill="E8F5E9" w:val="clear"/>
            <w:tcMar>
              <w:top w:type="dxa" w:w="120"/>
              <w:left w:type="dxa" w:w="200"/>
              <w:bottom w:type="dxa" w:w="120"/>
              <w:right w:type="dxa" w:w="200"/>
            </w:tcMar>
          </w:tcPr>
          <w:p>
            <w:pPr>
              <w:spacing w:before="0" w:after="0"/>
            </w:pPr>
            <w:r>
              <w:rPr>
                <w:rFonts w:ascii="Arial" w:cs="Arial" w:eastAsia="Arial" w:hAnsi="Arial"/>
                <w:b/>
                <w:bCs/>
                <w:color w:val="1E5631"/>
                <w:sz w:val="20"/>
                <w:szCs w:val="20"/>
              </w:rPr>
              <w:t xml:space="preserve">Interview talking points: </w:t>
            </w:r>
            <w:r>
              <w:rPr>
                <w:rFonts w:ascii="Arial" w:cs="Arial" w:eastAsia="Arial" w:hAnsi="Arial"/>
                <w:color w:val="333333"/>
                <w:sz w:val="20"/>
                <w:szCs w:val="20"/>
              </w:rPr>
              <w:t xml:space="preserve">Ask about the Unimog U5023 expedition builds and what the CAD workflow looks like from design to production. Reference their Mazak investment and interest in precision manufacturing. Ask about the PDM Vault structure they're looking to develop — the ad mentions they want input on folder structures, so show you've thought about that.</w:t>
            </w:r>
          </w:p>
        </w:tc>
      </w:tr>
    </w:tbl>
    <w:p>
      <w:pPr>
        <w:spacing w:before="80" w:after="0"/>
      </w:pPr>
      <w:r>
        <w:t xml:space="preserve"/>
      </w:r>
    </w:p>
    <w:p>
      <w:pPr>
        <w:pStyle w:val="Heading1"/>
        <w:shd w:fill="1E5631" w:val="clear"/>
        <w:spacing w:before="300" w:after="100"/>
        <w:ind w:left="120" w:right="120"/>
      </w:pPr>
      <w:r>
        <w:rPr>
          <w:rFonts w:ascii="Arial" w:cs="Arial" w:eastAsia="Arial" w:hAnsi="Arial"/>
          <w:b/>
          <w:bCs/>
          <w:color w:val="FFFFFF"/>
          <w:sz w:val="26"/>
          <w:szCs w:val="26"/>
        </w:rPr>
        <w:t xml:space="preserve">SECTION 2 — JOB AD ANALYSIS</w:t>
      </w:r>
    </w:p>
    <w:p>
      <w:pPr>
        <w:pStyle w:val="Heading2"/>
        <w:pBdr>
          <w:bottom w:val="single" w:color="AAAAAA" w:sz="2" w:space="1"/>
        </w:pBdr>
        <w:spacing w:before="220" w:after="80"/>
      </w:pPr>
      <w:r>
        <w:rPr>
          <w:rFonts w:ascii="Arial" w:cs="Arial" w:eastAsia="Arial" w:hAnsi="Arial"/>
          <w:b/>
          <w:bCs/>
          <w:color w:val="1E5631"/>
          <w:sz w:val="23"/>
          <w:szCs w:val="23"/>
        </w:rPr>
        <w:t xml:space="preserve">What This Role Actually Is</w:t>
      </w:r>
    </w:p>
    <w:p>
      <w:pPr>
        <w:spacing w:before="60" w:after="60"/>
      </w:pPr>
      <w:r>
        <w:rPr>
          <w:rFonts w:ascii="Arial" w:cs="Arial" w:eastAsia="Arial" w:hAnsi="Arial"/>
          <w:color w:val="333333"/>
          <w:sz w:val="21"/>
          <w:szCs w:val="21"/>
        </w:rPr>
        <w:t xml:space="preserve">This is a core production role — the person who translates engineering intent into the detailed 3D models and drawings that the fabricators on the shop floor work from. At Unidan, where every build is custom, that means creating new geometry from scratch rather than modifying standard templates. The SolidWorks sheet metal and weldments modules are their primary tools, because almost everything they build is fabricated from cut and bent metal, welded together. PDM Vault is how they manage drawing releases, revision control, and supplier documentation.</w:t>
      </w:r>
    </w:p>
    <w:p>
      <w:pPr>
        <w:spacing w:before="60" w:after="60"/>
      </w:pPr>
      <w:r>
        <w:rPr>
          <w:rFonts w:ascii="Arial" w:cs="Arial" w:eastAsia="Arial" w:hAnsi="Arial"/>
          <w:color w:val="333333"/>
          <w:sz w:val="21"/>
          <w:szCs w:val="21"/>
        </w:rPr>
        <w:t xml:space="preserve">The role also has a procurement dimension — coordinating quotes and purchase orders for first-off sheet metal and weldments orders, and communicating directly with external suppliers. This is not purely a drawing office position.</w:t>
      </w:r>
    </w:p>
    <w:p>
      <w:pPr>
        <w:spacing w:before="80" w:after="0"/>
      </w:pPr>
      <w:r>
        <w:t xml:space="preserve"/>
      </w:r>
    </w:p>
    <w:p>
      <w:pPr>
        <w:pStyle w:val="Heading2"/>
        <w:pBdr>
          <w:bottom w:val="single" w:color="AAAAAA" w:sz="2" w:space="1"/>
        </w:pBdr>
        <w:spacing w:before="220" w:after="80"/>
      </w:pPr>
      <w:r>
        <w:rPr>
          <w:rFonts w:ascii="Arial" w:cs="Arial" w:eastAsia="Arial" w:hAnsi="Arial"/>
          <w:b/>
          <w:bCs/>
          <w:color w:val="1E5631"/>
          <w:sz w:val="23"/>
          <w:szCs w:val="23"/>
        </w:rPr>
        <w:t xml:space="preserve">Requirements — Strength of Match</w:t>
      </w:r>
    </w:p>
    <w:p>
      <w:pPr>
        <w:spacing w:before="4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226"/>
      </w:tblGrid>
      <w:tr>
        <w:tc>
          <w:tcPr>
            <w:tcW w:type="dxa" w:w="3000"/>
            <w:tcBorders>
              <w:top w:val="single" w:color="CCCCCC" w:sz="2"/>
              <w:left w:val="none" w:color="FFFFFF" w:sz="0"/>
              <w:bottom w:val="single" w:color="CCCCCC" w:sz="2"/>
              <w:right w:val="none" w:color="FFFFFF" w:sz="0"/>
            </w:tcBorders>
            <w:shd w:fill="E8F5E9" w:val="clear"/>
            <w:tcMar>
              <w:top w:type="dxa" w:w="80"/>
              <w:left w:type="dxa" w:w="120"/>
              <w:bottom w:type="dxa" w:w="80"/>
              <w:right w:type="dxa" w:w="120"/>
            </w:tcMar>
          </w:tcPr>
          <w:p>
            <w:r>
              <w:rPr>
                <w:rFonts w:ascii="Arial" w:cs="Arial" w:eastAsia="Arial" w:hAnsi="Arial"/>
                <w:b/>
                <w:bCs/>
                <w:color w:val="1E5631"/>
                <w:sz w:val="20"/>
                <w:szCs w:val="20"/>
              </w:rPr>
              <w:t xml:space="preserve">Requirement</w:t>
            </w:r>
          </w:p>
        </w:tc>
        <w:tc>
          <w:tcPr>
            <w:tcW w:type="dxa" w:w="3800"/>
            <w:tcBorders>
              <w:top w:val="single" w:color="CCCCCC" w:sz="2"/>
              <w:left w:val="none" w:color="FFFFFF" w:sz="0"/>
              <w:bottom w:val="single" w:color="CCCCCC" w:sz="2"/>
              <w:right w:val="none" w:color="FFFFFF" w:sz="0"/>
            </w:tcBorders>
            <w:tcMar>
              <w:top w:type="dxa" w:w="80"/>
              <w:left w:type="dxa" w:w="120"/>
              <w:bottom w:type="dxa" w:w="80"/>
              <w:right w:type="dxa" w:w="120"/>
            </w:tcMar>
          </w:tcPr>
          <w:p>
            <w:r>
              <w:rPr>
                <w:rFonts w:ascii="Arial" w:cs="Arial" w:eastAsia="Arial" w:hAnsi="Arial"/>
                <w:color w:val="333333"/>
                <w:sz w:val="20"/>
                <w:szCs w:val="20"/>
              </w:rPr>
              <w:t xml:space="preserve">Paul's Background</w:t>
            </w:r>
          </w:p>
        </w:tc>
        <w:tc>
          <w:tcPr>
            <w:tcW w:type="dxa" w:w="2226"/>
            <w:tcBorders>
              <w:top w:val="single" w:color="CCCCCC" w:sz="2"/>
              <w:left w:val="none" w:color="FFFFFF" w:sz="0"/>
              <w:bottom w:val="single" w:color="CCCCCC" w:sz="2"/>
              <w:right w:val="none" w:color="FFFFFF" w:sz="0"/>
            </w:tcBorders>
            <w:shd w:fill="FFCCBC" w:val="clear"/>
            <w:tcMar>
              <w:top w:type="dxa" w:w="80"/>
              <w:left w:type="dxa" w:w="120"/>
              <w:bottom w:type="dxa" w:w="80"/>
              <w:right w:type="dxa" w:w="120"/>
            </w:tcMar>
          </w:tcPr>
          <w:p>
            <w:r>
              <w:rPr>
                <w:rFonts w:ascii="Arial" w:cs="Arial" w:eastAsia="Arial" w:hAnsi="Arial"/>
                <w:b/>
                <w:bCs/>
                <w:color w:val="333333"/>
                <w:sz w:val="19"/>
                <w:szCs w:val="19"/>
              </w:rPr>
              <w:t xml:space="preserve">Match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226"/>
      </w:tblGrid>
      <w:tr>
        <w:tc>
          <w:tcPr>
            <w:tcW w:type="dxa" w:w="3000"/>
            <w:tcBorders>
              <w:top w:val="single" w:color="CCCCCC" w:sz="2"/>
              <w:left w:val="none" w:color="FFFFFF" w:sz="0"/>
              <w:bottom w:val="single" w:color="CCCCCC" w:sz="2"/>
              <w:right w:val="none" w:color="FFFFFF" w:sz="0"/>
            </w:tcBorders>
            <w:shd w:fill="E8F5E9" w:val="clear"/>
            <w:tcMar>
              <w:top w:type="dxa" w:w="80"/>
              <w:left w:type="dxa" w:w="120"/>
              <w:bottom w:type="dxa" w:w="80"/>
              <w:right w:type="dxa" w:w="120"/>
            </w:tcMar>
          </w:tcPr>
          <w:p>
            <w:r>
              <w:rPr>
                <w:rFonts w:ascii="Arial" w:cs="Arial" w:eastAsia="Arial" w:hAnsi="Arial"/>
                <w:b/>
                <w:bCs/>
                <w:color w:val="1E5631"/>
                <w:sz w:val="20"/>
                <w:szCs w:val="20"/>
              </w:rPr>
              <w:t xml:space="preserve">SolidWorks 3–5 years (sheet metal, weldments)</w:t>
            </w:r>
          </w:p>
        </w:tc>
        <w:tc>
          <w:tcPr>
            <w:tcW w:type="dxa" w:w="3800"/>
            <w:tcBorders>
              <w:top w:val="single" w:color="CCCCCC" w:sz="2"/>
              <w:left w:val="none" w:color="FFFFFF" w:sz="0"/>
              <w:bottom w:val="single" w:color="CCCCCC" w:sz="2"/>
              <w:right w:val="none" w:color="FFFFFF" w:sz="0"/>
            </w:tcBorders>
            <w:tcMar>
              <w:top w:type="dxa" w:w="80"/>
              <w:left w:type="dxa" w:w="120"/>
              <w:bottom w:type="dxa" w:w="80"/>
              <w:right w:type="dxa" w:w="120"/>
            </w:tcMar>
          </w:tcPr>
          <w:p>
            <w:r>
              <w:rPr>
                <w:rFonts w:ascii="Arial" w:cs="Arial" w:eastAsia="Arial" w:hAnsi="Arial"/>
                <w:color w:val="333333"/>
                <w:sz w:val="20"/>
                <w:szCs w:val="20"/>
              </w:rPr>
              <w:t xml:space="preserve">Habitec consulting + Engineering degree — confirm hours</w:t>
            </w:r>
          </w:p>
        </w:tc>
        <w:tc>
          <w:tcPr>
            <w:tcW w:type="dxa" w:w="2226"/>
            <w:tcBorders>
              <w:top w:val="single" w:color="CCCCCC" w:sz="2"/>
              <w:left w:val="none" w:color="FFFFFF" w:sz="0"/>
              <w:bottom w:val="single" w:color="CCCCCC" w:sz="2"/>
              <w:right w:val="none" w:color="FFFFFF" w:sz="0"/>
            </w:tcBorders>
            <w:shd w:fill="FFCCBC" w:val="clear"/>
            <w:tcMar>
              <w:top w:type="dxa" w:w="80"/>
              <w:left w:type="dxa" w:w="120"/>
              <w:bottom w:type="dxa" w:w="80"/>
              <w:right w:type="dxa" w:w="120"/>
            </w:tcMar>
          </w:tcPr>
          <w:p>
            <w:r>
              <w:rPr>
                <w:rFonts w:ascii="Arial" w:cs="Arial" w:eastAsia="Arial" w:hAnsi="Arial"/>
                <w:b/>
                <w:bCs/>
                <w:color w:val="333333"/>
                <w:sz w:val="19"/>
                <w:szCs w:val="19"/>
              </w:rPr>
              <w:t xml:space="preserve">CONFIRM</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226"/>
      </w:tblGrid>
      <w:tr>
        <w:tc>
          <w:tcPr>
            <w:tcW w:type="dxa" w:w="3000"/>
            <w:tcBorders>
              <w:top w:val="single" w:color="CCCCCC" w:sz="2"/>
              <w:left w:val="none" w:color="FFFFFF" w:sz="0"/>
              <w:bottom w:val="single" w:color="CCCCCC" w:sz="2"/>
              <w:right w:val="none" w:color="FFFFFF" w:sz="0"/>
            </w:tcBorders>
            <w:shd w:fill="E8F5E9" w:val="clear"/>
            <w:tcMar>
              <w:top w:type="dxa" w:w="80"/>
              <w:left w:type="dxa" w:w="120"/>
              <w:bottom w:type="dxa" w:w="80"/>
              <w:right w:type="dxa" w:w="120"/>
            </w:tcMar>
          </w:tcPr>
          <w:p>
            <w:r>
              <w:rPr>
                <w:rFonts w:ascii="Arial" w:cs="Arial" w:eastAsia="Arial" w:hAnsi="Arial"/>
                <w:b/>
                <w:bCs/>
                <w:color w:val="1E5631"/>
                <w:sz w:val="20"/>
                <w:szCs w:val="20"/>
              </w:rPr>
              <w:t xml:space="preserve">PDM Works / Vault experience</w:t>
            </w:r>
          </w:p>
        </w:tc>
        <w:tc>
          <w:tcPr>
            <w:tcW w:type="dxa" w:w="3800"/>
            <w:tcBorders>
              <w:top w:val="single" w:color="CCCCCC" w:sz="2"/>
              <w:left w:val="none" w:color="FFFFFF" w:sz="0"/>
              <w:bottom w:val="single" w:color="CCCCCC" w:sz="2"/>
              <w:right w:val="none" w:color="FFFFFF" w:sz="0"/>
            </w:tcBorders>
            <w:tcMar>
              <w:top w:type="dxa" w:w="80"/>
              <w:left w:type="dxa" w:w="120"/>
              <w:bottom w:type="dxa" w:w="80"/>
              <w:right w:type="dxa" w:w="120"/>
            </w:tcMar>
          </w:tcPr>
          <w:p>
            <w:r>
              <w:rPr>
                <w:rFonts w:ascii="Arial" w:cs="Arial" w:eastAsia="Arial" w:hAnsi="Arial"/>
                <w:color w:val="333333"/>
                <w:sz w:val="20"/>
                <w:szCs w:val="20"/>
              </w:rPr>
              <w:t xml:space="preserve">Not specifically listed — honest gap</w:t>
            </w:r>
          </w:p>
        </w:tc>
        <w:tc>
          <w:tcPr>
            <w:tcW w:type="dxa" w:w="2226"/>
            <w:tcBorders>
              <w:top w:val="single" w:color="CCCCCC" w:sz="2"/>
              <w:left w:val="none" w:color="FFFFFF" w:sz="0"/>
              <w:bottom w:val="single" w:color="CCCCCC" w:sz="2"/>
              <w:right w:val="none" w:color="FFFFFF" w:sz="0"/>
            </w:tcBorders>
            <w:shd w:fill="FFCCBC" w:val="clear"/>
            <w:tcMar>
              <w:top w:type="dxa" w:w="80"/>
              <w:left w:type="dxa" w:w="120"/>
              <w:bottom w:type="dxa" w:w="80"/>
              <w:right w:type="dxa" w:w="120"/>
            </w:tcMar>
          </w:tcPr>
          <w:p>
            <w:r>
              <w:rPr>
                <w:rFonts w:ascii="Arial" w:cs="Arial" w:eastAsia="Arial" w:hAnsi="Arial"/>
                <w:b/>
                <w:bCs/>
                <w:color w:val="333333"/>
                <w:sz w:val="19"/>
                <w:szCs w:val="19"/>
              </w:rPr>
              <w:t xml:space="preserve">GAP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226"/>
      </w:tblGrid>
      <w:tr>
        <w:tc>
          <w:tcPr>
            <w:tcW w:type="dxa" w:w="3000"/>
            <w:tcBorders>
              <w:top w:val="single" w:color="CCCCCC" w:sz="2"/>
              <w:left w:val="none" w:color="FFFFFF" w:sz="0"/>
              <w:bottom w:val="single" w:color="CCCCCC" w:sz="2"/>
              <w:right w:val="none" w:color="FFFFFF" w:sz="0"/>
            </w:tcBorders>
            <w:shd w:fill="E8F5E9" w:val="clear"/>
            <w:tcMar>
              <w:top w:type="dxa" w:w="80"/>
              <w:left w:type="dxa" w:w="120"/>
              <w:bottom w:type="dxa" w:w="80"/>
              <w:right w:type="dxa" w:w="120"/>
            </w:tcMar>
          </w:tcPr>
          <w:p>
            <w:r>
              <w:rPr>
                <w:rFonts w:ascii="Arial" w:cs="Arial" w:eastAsia="Arial" w:hAnsi="Arial"/>
                <w:b/>
                <w:bCs/>
                <w:color w:val="1E5631"/>
                <w:sz w:val="20"/>
                <w:szCs w:val="20"/>
              </w:rPr>
              <w:t xml:space="preserve">Drawing templates &amp; revision control</w:t>
            </w:r>
          </w:p>
        </w:tc>
        <w:tc>
          <w:tcPr>
            <w:tcW w:type="dxa" w:w="3800"/>
            <w:tcBorders>
              <w:top w:val="single" w:color="CCCCCC" w:sz="2"/>
              <w:left w:val="none" w:color="FFFFFF" w:sz="0"/>
              <w:bottom w:val="single" w:color="CCCCCC" w:sz="2"/>
              <w:right w:val="none" w:color="FFFFFF" w:sz="0"/>
            </w:tcBorders>
            <w:tcMar>
              <w:top w:type="dxa" w:w="80"/>
              <w:left w:type="dxa" w:w="120"/>
              <w:bottom w:type="dxa" w:w="80"/>
              <w:right w:type="dxa" w:w="120"/>
            </w:tcMar>
          </w:tcPr>
          <w:p>
            <w:r>
              <w:rPr>
                <w:rFonts w:ascii="Arial" w:cs="Arial" w:eastAsia="Arial" w:hAnsi="Arial"/>
                <w:color w:val="333333"/>
                <w:sz w:val="20"/>
                <w:szCs w:val="20"/>
              </w:rPr>
              <w:t xml:space="preserve">Technical documentation at Habitec and in degree</w:t>
            </w:r>
          </w:p>
        </w:tc>
        <w:tc>
          <w:tcPr>
            <w:tcW w:type="dxa" w:w="2226"/>
            <w:tcBorders>
              <w:top w:val="single" w:color="CCCCCC" w:sz="2"/>
              <w:left w:val="none" w:color="FFFFFF" w:sz="0"/>
              <w:bottom w:val="single" w:color="CCCCCC" w:sz="2"/>
              <w:right w:val="none" w:color="FFFFFF" w:sz="0"/>
            </w:tcBorders>
            <w:shd w:fill="FFF9C4" w:val="clear"/>
            <w:tcMar>
              <w:top w:type="dxa" w:w="80"/>
              <w:left w:type="dxa" w:w="120"/>
              <w:bottom w:type="dxa" w:w="80"/>
              <w:right w:type="dxa" w:w="120"/>
            </w:tcMar>
          </w:tcPr>
          <w:p>
            <w:r>
              <w:rPr>
                <w:rFonts w:ascii="Arial" w:cs="Arial" w:eastAsia="Arial" w:hAnsi="Arial"/>
                <w:b/>
                <w:bCs/>
                <w:color w:val="333333"/>
                <w:sz w:val="19"/>
                <w:szCs w:val="19"/>
              </w:rPr>
              <w:t xml:space="preserve">GOOD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226"/>
      </w:tblGrid>
      <w:tr>
        <w:tc>
          <w:tcPr>
            <w:tcW w:type="dxa" w:w="3000"/>
            <w:tcBorders>
              <w:top w:val="single" w:color="CCCCCC" w:sz="2"/>
              <w:left w:val="none" w:color="FFFFFF" w:sz="0"/>
              <w:bottom w:val="single" w:color="CCCCCC" w:sz="2"/>
              <w:right w:val="none" w:color="FFFFFF" w:sz="0"/>
            </w:tcBorders>
            <w:shd w:fill="E8F5E9" w:val="clear"/>
            <w:tcMar>
              <w:top w:type="dxa" w:w="80"/>
              <w:left w:type="dxa" w:w="120"/>
              <w:bottom w:type="dxa" w:w="80"/>
              <w:right w:type="dxa" w:w="120"/>
            </w:tcMar>
          </w:tcPr>
          <w:p>
            <w:r>
              <w:rPr>
                <w:rFonts w:ascii="Arial" w:cs="Arial" w:eastAsia="Arial" w:hAnsi="Arial"/>
                <w:b/>
                <w:bCs/>
                <w:color w:val="1E5631"/>
                <w:sz w:val="20"/>
                <w:szCs w:val="20"/>
              </w:rPr>
              <w:t xml:space="preserve">ANSI drawing standards</w:t>
            </w:r>
          </w:p>
        </w:tc>
        <w:tc>
          <w:tcPr>
            <w:tcW w:type="dxa" w:w="3800"/>
            <w:tcBorders>
              <w:top w:val="single" w:color="CCCCCC" w:sz="2"/>
              <w:left w:val="none" w:color="FFFFFF" w:sz="0"/>
              <w:bottom w:val="single" w:color="CCCCCC" w:sz="2"/>
              <w:right w:val="none" w:color="FFFFFF" w:sz="0"/>
            </w:tcBorders>
            <w:tcMar>
              <w:top w:type="dxa" w:w="80"/>
              <w:left w:type="dxa" w:w="120"/>
              <w:bottom w:type="dxa" w:w="80"/>
              <w:right w:type="dxa" w:w="120"/>
            </w:tcMar>
          </w:tcPr>
          <w:p>
            <w:r>
              <w:rPr>
                <w:rFonts w:ascii="Arial" w:cs="Arial" w:eastAsia="Arial" w:hAnsi="Arial"/>
                <w:color w:val="333333"/>
                <w:sz w:val="20"/>
                <w:szCs w:val="20"/>
              </w:rPr>
              <w:t xml:space="preserve">Degree covered drawing standards — confirm ANSI specifically</w:t>
            </w:r>
          </w:p>
        </w:tc>
        <w:tc>
          <w:tcPr>
            <w:tcW w:type="dxa" w:w="2226"/>
            <w:tcBorders>
              <w:top w:val="single" w:color="CCCCCC" w:sz="2"/>
              <w:left w:val="none" w:color="FFFFFF" w:sz="0"/>
              <w:bottom w:val="single" w:color="CCCCCC" w:sz="2"/>
              <w:right w:val="none" w:color="FFFFFF" w:sz="0"/>
            </w:tcBorders>
            <w:shd w:fill="FFF9C4" w:val="clear"/>
            <w:tcMar>
              <w:top w:type="dxa" w:w="80"/>
              <w:left w:type="dxa" w:w="120"/>
              <w:bottom w:type="dxa" w:w="80"/>
              <w:right w:type="dxa" w:w="120"/>
            </w:tcMar>
          </w:tcPr>
          <w:p>
            <w:r>
              <w:rPr>
                <w:rFonts w:ascii="Arial" w:cs="Arial" w:eastAsia="Arial" w:hAnsi="Arial"/>
                <w:b/>
                <w:bCs/>
                <w:color w:val="333333"/>
                <w:sz w:val="19"/>
                <w:szCs w:val="19"/>
              </w:rPr>
              <w:t xml:space="preserve">GOOD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226"/>
      </w:tblGrid>
      <w:tr>
        <w:tc>
          <w:tcPr>
            <w:tcW w:type="dxa" w:w="3000"/>
            <w:tcBorders>
              <w:top w:val="single" w:color="CCCCCC" w:sz="2"/>
              <w:left w:val="none" w:color="FFFFFF" w:sz="0"/>
              <w:bottom w:val="single" w:color="CCCCCC" w:sz="2"/>
              <w:right w:val="none" w:color="FFFFFF" w:sz="0"/>
            </w:tcBorders>
            <w:shd w:fill="E8F5E9" w:val="clear"/>
            <w:tcMar>
              <w:top w:type="dxa" w:w="80"/>
              <w:left w:type="dxa" w:w="120"/>
              <w:bottom w:type="dxa" w:w="80"/>
              <w:right w:type="dxa" w:w="120"/>
            </w:tcMar>
          </w:tcPr>
          <w:p>
            <w:r>
              <w:rPr>
                <w:rFonts w:ascii="Arial" w:cs="Arial" w:eastAsia="Arial" w:hAnsi="Arial"/>
                <w:b/>
                <w:bCs/>
                <w:color w:val="1E5631"/>
                <w:sz w:val="20"/>
                <w:szCs w:val="20"/>
              </w:rPr>
              <w:t xml:space="preserve">AS / ISO welding &amp; materials standards</w:t>
            </w:r>
          </w:p>
        </w:tc>
        <w:tc>
          <w:tcPr>
            <w:tcW w:type="dxa" w:w="3800"/>
            <w:tcBorders>
              <w:top w:val="single" w:color="CCCCCC" w:sz="2"/>
              <w:left w:val="none" w:color="FFFFFF" w:sz="0"/>
              <w:bottom w:val="single" w:color="CCCCCC" w:sz="2"/>
              <w:right w:val="none" w:color="FFFFFF" w:sz="0"/>
            </w:tcBorders>
            <w:tcMar>
              <w:top w:type="dxa" w:w="80"/>
              <w:left w:type="dxa" w:w="120"/>
              <w:bottom w:type="dxa" w:w="80"/>
              <w:right w:type="dxa" w:w="120"/>
            </w:tcMar>
          </w:tcPr>
          <w:p>
            <w:r>
              <w:rPr>
                <w:rFonts w:ascii="Arial" w:cs="Arial" w:eastAsia="Arial" w:hAnsi="Arial"/>
                <w:color w:val="333333"/>
                <w:sz w:val="20"/>
                <w:szCs w:val="20"/>
              </w:rPr>
              <w:t xml:space="preserve">Trade background + Engineering degree</w:t>
            </w:r>
          </w:p>
        </w:tc>
        <w:tc>
          <w:tcPr>
            <w:tcW w:type="dxa" w:w="2226"/>
            <w:tcBorders>
              <w:top w:val="single" w:color="CCCCCC" w:sz="2"/>
              <w:left w:val="none" w:color="FFFFFF" w:sz="0"/>
              <w:bottom w:val="single" w:color="CCCCCC" w:sz="2"/>
              <w:right w:val="none" w:color="FFFFFF" w:sz="0"/>
            </w:tcBorders>
            <w:shd w:fill="C8E6C9" w:val="clear"/>
            <w:tcMar>
              <w:top w:type="dxa" w:w="80"/>
              <w:left w:type="dxa" w:w="120"/>
              <w:bottom w:type="dxa" w:w="80"/>
              <w:right w:type="dxa" w:w="120"/>
            </w:tcMar>
          </w:tcPr>
          <w:p>
            <w:r>
              <w:rPr>
                <w:rFonts w:ascii="Arial" w:cs="Arial" w:eastAsia="Arial" w:hAnsi="Arial"/>
                <w:b/>
                <w:bCs/>
                <w:color w:val="333333"/>
                <w:sz w:val="19"/>
                <w:szCs w:val="19"/>
              </w:rPr>
              <w:t xml:space="preserve">STRONG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226"/>
      </w:tblGrid>
      <w:tr>
        <w:tc>
          <w:tcPr>
            <w:tcW w:type="dxa" w:w="3000"/>
            <w:tcBorders>
              <w:top w:val="single" w:color="CCCCCC" w:sz="2"/>
              <w:left w:val="none" w:color="FFFFFF" w:sz="0"/>
              <w:bottom w:val="single" w:color="CCCCCC" w:sz="2"/>
              <w:right w:val="none" w:color="FFFFFF" w:sz="0"/>
            </w:tcBorders>
            <w:shd w:fill="E8F5E9" w:val="clear"/>
            <w:tcMar>
              <w:top w:type="dxa" w:w="80"/>
              <w:left w:type="dxa" w:w="120"/>
              <w:bottom w:type="dxa" w:w="80"/>
              <w:right w:type="dxa" w:w="120"/>
            </w:tcMar>
          </w:tcPr>
          <w:p>
            <w:r>
              <w:rPr>
                <w:rFonts w:ascii="Arial" w:cs="Arial" w:eastAsia="Arial" w:hAnsi="Arial"/>
                <w:b/>
                <w:bCs/>
                <w:color w:val="1E5631"/>
                <w:sz w:val="20"/>
                <w:szCs w:val="20"/>
              </w:rPr>
              <w:t xml:space="preserve">Design new products to expand range</w:t>
            </w:r>
          </w:p>
        </w:tc>
        <w:tc>
          <w:tcPr>
            <w:tcW w:type="dxa" w:w="3800"/>
            <w:tcBorders>
              <w:top w:val="single" w:color="CCCCCC" w:sz="2"/>
              <w:left w:val="none" w:color="FFFFFF" w:sz="0"/>
              <w:bottom w:val="single" w:color="CCCCCC" w:sz="2"/>
              <w:right w:val="none" w:color="FFFFFF" w:sz="0"/>
            </w:tcBorders>
            <w:tcMar>
              <w:top w:type="dxa" w:w="80"/>
              <w:left w:type="dxa" w:w="120"/>
              <w:bottom w:type="dxa" w:w="80"/>
              <w:right w:type="dxa" w:w="120"/>
            </w:tcMar>
          </w:tcPr>
          <w:p>
            <w:r>
              <w:rPr>
                <w:rFonts w:ascii="Arial" w:cs="Arial" w:eastAsia="Arial" w:hAnsi="Arial"/>
                <w:color w:val="333333"/>
                <w:sz w:val="20"/>
                <w:szCs w:val="20"/>
              </w:rPr>
              <w:t xml:space="preserve">Adaptive device design at Habitec, thesis project</w:t>
            </w:r>
          </w:p>
        </w:tc>
        <w:tc>
          <w:tcPr>
            <w:tcW w:type="dxa" w:w="2226"/>
            <w:tcBorders>
              <w:top w:val="single" w:color="CCCCCC" w:sz="2"/>
              <w:left w:val="none" w:color="FFFFFF" w:sz="0"/>
              <w:bottom w:val="single" w:color="CCCCCC" w:sz="2"/>
              <w:right w:val="none" w:color="FFFFFF" w:sz="0"/>
            </w:tcBorders>
            <w:shd w:fill="C8E6C9" w:val="clear"/>
            <w:tcMar>
              <w:top w:type="dxa" w:w="80"/>
              <w:left w:type="dxa" w:w="120"/>
              <w:bottom w:type="dxa" w:w="80"/>
              <w:right w:type="dxa" w:w="120"/>
            </w:tcMar>
          </w:tcPr>
          <w:p>
            <w:r>
              <w:rPr>
                <w:rFonts w:ascii="Arial" w:cs="Arial" w:eastAsia="Arial" w:hAnsi="Arial"/>
                <w:b/>
                <w:bCs/>
                <w:color w:val="333333"/>
                <w:sz w:val="19"/>
                <w:szCs w:val="19"/>
              </w:rPr>
              <w:t xml:space="preserve">STRONG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226"/>
      </w:tblGrid>
      <w:tr>
        <w:tc>
          <w:tcPr>
            <w:tcW w:type="dxa" w:w="3000"/>
            <w:tcBorders>
              <w:top w:val="single" w:color="CCCCCC" w:sz="2"/>
              <w:left w:val="none" w:color="FFFFFF" w:sz="0"/>
              <w:bottom w:val="single" w:color="CCCCCC" w:sz="2"/>
              <w:right w:val="none" w:color="FFFFFF" w:sz="0"/>
            </w:tcBorders>
            <w:shd w:fill="E8F5E9" w:val="clear"/>
            <w:tcMar>
              <w:top w:type="dxa" w:w="80"/>
              <w:left w:type="dxa" w:w="120"/>
              <w:bottom w:type="dxa" w:w="80"/>
              <w:right w:type="dxa" w:w="120"/>
            </w:tcMar>
          </w:tcPr>
          <w:p>
            <w:r>
              <w:rPr>
                <w:rFonts w:ascii="Arial" w:cs="Arial" w:eastAsia="Arial" w:hAnsi="Arial"/>
                <w:b/>
                <w:bCs/>
                <w:color w:val="1E5631"/>
                <w:sz w:val="20"/>
                <w:szCs w:val="20"/>
              </w:rPr>
              <w:t xml:space="preserve">Coordinate quotes / POs with suppliers</w:t>
            </w:r>
          </w:p>
        </w:tc>
        <w:tc>
          <w:tcPr>
            <w:tcW w:type="dxa" w:w="3800"/>
            <w:tcBorders>
              <w:top w:val="single" w:color="CCCCCC" w:sz="2"/>
              <w:left w:val="none" w:color="FFFFFF" w:sz="0"/>
              <w:bottom w:val="single" w:color="CCCCCC" w:sz="2"/>
              <w:right w:val="none" w:color="FFFFFF" w:sz="0"/>
            </w:tcBorders>
            <w:tcMar>
              <w:top w:type="dxa" w:w="80"/>
              <w:left w:type="dxa" w:w="120"/>
              <w:bottom w:type="dxa" w:w="80"/>
              <w:right w:type="dxa" w:w="120"/>
            </w:tcMar>
          </w:tcPr>
          <w:p>
            <w:r>
              <w:rPr>
                <w:rFonts w:ascii="Arial" w:cs="Arial" w:eastAsia="Arial" w:hAnsi="Arial"/>
                <w:color w:val="333333"/>
                <w:sz w:val="20"/>
                <w:szCs w:val="20"/>
              </w:rPr>
              <w:t xml:space="preserve">Project management at Habitec</w:t>
            </w:r>
          </w:p>
        </w:tc>
        <w:tc>
          <w:tcPr>
            <w:tcW w:type="dxa" w:w="2226"/>
            <w:tcBorders>
              <w:top w:val="single" w:color="CCCCCC" w:sz="2"/>
              <w:left w:val="none" w:color="FFFFFF" w:sz="0"/>
              <w:bottom w:val="single" w:color="CCCCCC" w:sz="2"/>
              <w:right w:val="none" w:color="FFFFFF" w:sz="0"/>
            </w:tcBorders>
            <w:shd w:fill="FFF9C4" w:val="clear"/>
            <w:tcMar>
              <w:top w:type="dxa" w:w="80"/>
              <w:left w:type="dxa" w:w="120"/>
              <w:bottom w:type="dxa" w:w="80"/>
              <w:right w:type="dxa" w:w="120"/>
            </w:tcMar>
          </w:tcPr>
          <w:p>
            <w:r>
              <w:rPr>
                <w:rFonts w:ascii="Arial" w:cs="Arial" w:eastAsia="Arial" w:hAnsi="Arial"/>
                <w:b/>
                <w:bCs/>
                <w:color w:val="333333"/>
                <w:sz w:val="19"/>
                <w:szCs w:val="19"/>
              </w:rPr>
              <w:t xml:space="preserve">GOOD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226"/>
      </w:tblGrid>
      <w:tr>
        <w:tc>
          <w:tcPr>
            <w:tcW w:type="dxa" w:w="3000"/>
            <w:tcBorders>
              <w:top w:val="single" w:color="CCCCCC" w:sz="2"/>
              <w:left w:val="none" w:color="FFFFFF" w:sz="0"/>
              <w:bottom w:val="single" w:color="CCCCCC" w:sz="2"/>
              <w:right w:val="none" w:color="FFFFFF" w:sz="0"/>
            </w:tcBorders>
            <w:shd w:fill="E8F5E9" w:val="clear"/>
            <w:tcMar>
              <w:top w:type="dxa" w:w="80"/>
              <w:left w:type="dxa" w:w="120"/>
              <w:bottom w:type="dxa" w:w="80"/>
              <w:right w:type="dxa" w:w="120"/>
            </w:tcMar>
          </w:tcPr>
          <w:p>
            <w:r>
              <w:rPr>
                <w:rFonts w:ascii="Arial" w:cs="Arial" w:eastAsia="Arial" w:hAnsi="Arial"/>
                <w:b/>
                <w:bCs/>
                <w:color w:val="1E5631"/>
                <w:sz w:val="20"/>
                <w:szCs w:val="20"/>
              </w:rPr>
              <w:t xml:space="preserve">Sheet metal fabrication knowledge</w:t>
            </w:r>
          </w:p>
        </w:tc>
        <w:tc>
          <w:tcPr>
            <w:tcW w:type="dxa" w:w="3800"/>
            <w:tcBorders>
              <w:top w:val="single" w:color="CCCCCC" w:sz="2"/>
              <w:left w:val="none" w:color="FFFFFF" w:sz="0"/>
              <w:bottom w:val="single" w:color="CCCCCC" w:sz="2"/>
              <w:right w:val="none" w:color="FFFFFF" w:sz="0"/>
            </w:tcBorders>
            <w:tcMar>
              <w:top w:type="dxa" w:w="80"/>
              <w:left w:type="dxa" w:w="120"/>
              <w:bottom w:type="dxa" w:w="80"/>
              <w:right w:type="dxa" w:w="120"/>
            </w:tcMar>
          </w:tcPr>
          <w:p>
            <w:r>
              <w:rPr>
                <w:rFonts w:ascii="Arial" w:cs="Arial" w:eastAsia="Arial" w:hAnsi="Arial"/>
                <w:color w:val="333333"/>
                <w:sz w:val="20"/>
                <w:szCs w:val="20"/>
              </w:rPr>
              <w:t xml:space="preserve">4-year apprenticeship + 5 years trade experience</w:t>
            </w:r>
          </w:p>
        </w:tc>
        <w:tc>
          <w:tcPr>
            <w:tcW w:type="dxa" w:w="2226"/>
            <w:tcBorders>
              <w:top w:val="single" w:color="CCCCCC" w:sz="2"/>
              <w:left w:val="none" w:color="FFFFFF" w:sz="0"/>
              <w:bottom w:val="single" w:color="CCCCCC" w:sz="2"/>
              <w:right w:val="none" w:color="FFFFFF" w:sz="0"/>
            </w:tcBorders>
            <w:shd w:fill="C8E6C9" w:val="clear"/>
            <w:tcMar>
              <w:top w:type="dxa" w:w="80"/>
              <w:left w:type="dxa" w:w="120"/>
              <w:bottom w:type="dxa" w:w="80"/>
              <w:right w:type="dxa" w:w="120"/>
            </w:tcMar>
          </w:tcPr>
          <w:p>
            <w:r>
              <w:rPr>
                <w:rFonts w:ascii="Arial" w:cs="Arial" w:eastAsia="Arial" w:hAnsi="Arial"/>
                <w:b/>
                <w:bCs/>
                <w:color w:val="333333"/>
                <w:sz w:val="19"/>
                <w:szCs w:val="19"/>
              </w:rPr>
              <w:t xml:space="preserve">STRONG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226"/>
      </w:tblGrid>
      <w:tr>
        <w:tc>
          <w:tcPr>
            <w:tcW w:type="dxa" w:w="3000"/>
            <w:tcBorders>
              <w:top w:val="single" w:color="CCCCCC" w:sz="2"/>
              <w:left w:val="none" w:color="FFFFFF" w:sz="0"/>
              <w:bottom w:val="single" w:color="CCCCCC" w:sz="2"/>
              <w:right w:val="none" w:color="FFFFFF" w:sz="0"/>
            </w:tcBorders>
            <w:shd w:fill="E8F5E9" w:val="clear"/>
            <w:tcMar>
              <w:top w:type="dxa" w:w="80"/>
              <w:left w:type="dxa" w:w="120"/>
              <w:bottom w:type="dxa" w:w="80"/>
              <w:right w:type="dxa" w:w="120"/>
            </w:tcMar>
          </w:tcPr>
          <w:p>
            <w:r>
              <w:rPr>
                <w:rFonts w:ascii="Arial" w:cs="Arial" w:eastAsia="Arial" w:hAnsi="Arial"/>
                <w:b/>
                <w:bCs/>
                <w:color w:val="1E5631"/>
                <w:sz w:val="20"/>
                <w:szCs w:val="20"/>
              </w:rPr>
              <w:t xml:space="preserve">Weldment design knowledge</w:t>
            </w:r>
          </w:p>
        </w:tc>
        <w:tc>
          <w:tcPr>
            <w:tcW w:type="dxa" w:w="3800"/>
            <w:tcBorders>
              <w:top w:val="single" w:color="CCCCCC" w:sz="2"/>
              <w:left w:val="none" w:color="FFFFFF" w:sz="0"/>
              <w:bottom w:val="single" w:color="CCCCCC" w:sz="2"/>
              <w:right w:val="none" w:color="FFFFFF" w:sz="0"/>
            </w:tcBorders>
            <w:tcMar>
              <w:top w:type="dxa" w:w="80"/>
              <w:left w:type="dxa" w:w="120"/>
              <w:bottom w:type="dxa" w:w="80"/>
              <w:right w:type="dxa" w:w="120"/>
            </w:tcMar>
          </w:tcPr>
          <w:p>
            <w:r>
              <w:rPr>
                <w:rFonts w:ascii="Arial" w:cs="Arial" w:eastAsia="Arial" w:hAnsi="Arial"/>
                <w:color w:val="333333"/>
                <w:sz w:val="20"/>
                <w:szCs w:val="20"/>
              </w:rPr>
              <w:t xml:space="preserve">Fabricator/welder trade background</w:t>
            </w:r>
          </w:p>
        </w:tc>
        <w:tc>
          <w:tcPr>
            <w:tcW w:type="dxa" w:w="2226"/>
            <w:tcBorders>
              <w:top w:val="single" w:color="CCCCCC" w:sz="2"/>
              <w:left w:val="none" w:color="FFFFFF" w:sz="0"/>
              <w:bottom w:val="single" w:color="CCCCCC" w:sz="2"/>
              <w:right w:val="none" w:color="FFFFFF" w:sz="0"/>
            </w:tcBorders>
            <w:shd w:fill="C8E6C9" w:val="clear"/>
            <w:tcMar>
              <w:top w:type="dxa" w:w="80"/>
              <w:left w:type="dxa" w:w="120"/>
              <w:bottom w:type="dxa" w:w="80"/>
              <w:right w:type="dxa" w:w="120"/>
            </w:tcMar>
          </w:tcPr>
          <w:p>
            <w:r>
              <w:rPr>
                <w:rFonts w:ascii="Arial" w:cs="Arial" w:eastAsia="Arial" w:hAnsi="Arial"/>
                <w:b/>
                <w:bCs/>
                <w:color w:val="333333"/>
                <w:sz w:val="19"/>
                <w:szCs w:val="19"/>
              </w:rPr>
              <w:t xml:space="preserve">STRONG</w:t>
            </w:r>
          </w:p>
        </w:tc>
      </w:tr>
    </w:tbl>
    <w:p>
      <w:pPr>
        <w:spacing w:before="80" w:after="0"/>
      </w:pPr>
      <w:r>
        <w:t xml:space="preserve"/>
      </w:r>
    </w:p>
    <w:p>
      <w:pPr>
        <w:pStyle w:val="Heading2"/>
        <w:pBdr>
          <w:bottom w:val="single" w:color="AAAAAA" w:sz="2" w:space="1"/>
        </w:pBdr>
        <w:spacing w:before="220" w:after="80"/>
      </w:pPr>
      <w:r>
        <w:rPr>
          <w:rFonts w:ascii="Arial" w:cs="Arial" w:eastAsia="Arial" w:hAnsi="Arial"/>
          <w:b/>
          <w:bCs/>
          <w:color w:val="1E5631"/>
          <w:sz w:val="23"/>
          <w:szCs w:val="23"/>
        </w:rPr>
        <w:t xml:space="preserve">The PDM Vault Gap — How to Handle It</w:t>
      </w:r>
    </w:p>
    <w:p>
      <w:pPr>
        <w:spacing w:before="60" w:after="60"/>
      </w:pPr>
      <w:r>
        <w:rPr>
          <w:rFonts w:ascii="Arial" w:cs="Arial" w:eastAsia="Arial" w:hAnsi="Arial"/>
          <w:color w:val="333333"/>
          <w:sz w:val="21"/>
          <w:szCs w:val="21"/>
        </w:rPr>
        <w:t xml:space="preserve">PDM Works/Vault is a SolidWorks add-on for document and data management. It's specialised software and most candidates outside large engineering firms won't have used it. The honest approach: acknowledge you haven't used PDM Vault specifically but that you understand the principles of document control, revision management, and structured file systems from your engineering work — and that you're a fast learner with new software. The ad itself says "have ideas or input on simple folder structures" — which signals they may be building or restructuring the system, not just looking for someone to maintain an existing one. That's actually an opportunity, not just a gap.</w:t>
      </w:r>
    </w:p>
    <w:p>
      <w:pPr>
        <w:spacing w:before="80" w:after="0"/>
      </w:pPr>
      <w:r>
        <w:t xml:space="preserve"/>
      </w:r>
    </w:p>
    <w:p>
      <w:pPr>
        <w:pStyle w:val="Heading2"/>
        <w:pBdr>
          <w:bottom w:val="single" w:color="AAAAAA" w:sz="2" w:space="1"/>
        </w:pBdr>
        <w:spacing w:before="220" w:after="80"/>
      </w:pPr>
      <w:r>
        <w:rPr>
          <w:rFonts w:ascii="Arial" w:cs="Arial" w:eastAsia="Arial" w:hAnsi="Arial"/>
          <w:b/>
          <w:bCs/>
          <w:color w:val="1E5631"/>
          <w:sz w:val="23"/>
          <w:szCs w:val="23"/>
        </w:rPr>
        <w:t xml:space="preserve">The Off-Road / Adventure Culture Question</w:t>
      </w:r>
    </w:p>
    <w:p>
      <w:pPr>
        <w:spacing w:before="60" w:after="60"/>
      </w:pPr>
      <w:r>
        <w:rPr>
          <w:rFonts w:ascii="Arial" w:cs="Arial" w:eastAsia="Arial" w:hAnsi="Arial"/>
          <w:color w:val="333333"/>
          <w:sz w:val="21"/>
          <w:szCs w:val="21"/>
        </w:rPr>
        <w:t xml:space="preserve">The ad opens with "Do you love the offroad and adventure life?" — this is a genuine cultural screen. Unidan hires people who are part of this world, not just workers turning up to do a job. Before writing the cover letter, it's worth identifying any authentic connection Paul has to off-road vehicles, 4WDing, camping, adventure travel, or even the motorsport world from his fabrication history. Even indirect connections count — the key is authenticity. This will be addressed in the cover letter brief once confirmed.</w:t>
      </w:r>
    </w:p>
    <w:p>
      <w:pPr>
        <w:spacing w:before="80" w:after="0"/>
      </w:pPr>
      <w:r>
        <w:t xml:space="preserve"/>
      </w:r>
    </w:p>
    <w:p>
      <w:pPr>
        <w:pStyle w:val="Heading1"/>
        <w:shd w:fill="1E5631" w:val="clear"/>
        <w:spacing w:before="300" w:after="100"/>
        <w:ind w:left="120" w:right="120"/>
      </w:pPr>
      <w:r>
        <w:rPr>
          <w:rFonts w:ascii="Arial" w:cs="Arial" w:eastAsia="Arial" w:hAnsi="Arial"/>
          <w:b/>
          <w:bCs/>
          <w:color w:val="FFFFFF"/>
          <w:sz w:val="26"/>
          <w:szCs w:val="26"/>
        </w:rPr>
        <w:t xml:space="preserve">SECTION 3 — RESUME TAILORING BRIEF</w:t>
      </w:r>
    </w:p>
    <w:p>
      <w:pPr>
        <w:pStyle w:val="Heading2"/>
        <w:pBdr>
          <w:bottom w:val="single" w:color="AAAAAA" w:sz="2" w:space="1"/>
        </w:pBdr>
        <w:spacing w:before="220" w:after="80"/>
      </w:pPr>
      <w:r>
        <w:rPr>
          <w:rFonts w:ascii="Arial" w:cs="Arial" w:eastAsia="Arial" w:hAnsi="Arial"/>
          <w:b/>
          <w:bCs/>
          <w:color w:val="1E5631"/>
          <w:sz w:val="23"/>
          <w:szCs w:val="23"/>
        </w:rPr>
        <w:t xml:space="preserve">Key Shift From Advanced Cranes Resume</w:t>
      </w:r>
    </w:p>
    <w:p>
      <w:pPr>
        <w:spacing w:before="60" w:after="60"/>
      </w:pPr>
      <w:r>
        <w:rPr>
          <w:rFonts w:ascii="Arial" w:cs="Arial" w:eastAsia="Arial" w:hAnsi="Arial"/>
          <w:color w:val="333333"/>
          <w:sz w:val="21"/>
          <w:szCs w:val="21"/>
        </w:rPr>
        <w:t xml:space="preserve">This resume needs to lead with design and fabrication, not crane operations. The crane history moves to a supporting role. Your sheet metal fabrication apprenticeship — which was condensed to a single bullet for Advanced Cranes — becomes a genuine strength here and should be given more prominence.</w:t>
      </w:r>
    </w:p>
    <w:p>
      <w:pPr>
        <w:spacing w:before="80" w:after="0"/>
      </w:pPr>
      <w:r>
        <w:t xml:space="preserve"/>
      </w:r>
    </w:p>
    <w:p>
      <w:pPr>
        <w:pStyle w:val="Heading2"/>
        <w:pBdr>
          <w:bottom w:val="single" w:color="AAAAAA" w:sz="2" w:space="1"/>
        </w:pBdr>
        <w:spacing w:before="220" w:after="80"/>
      </w:pPr>
      <w:r>
        <w:rPr>
          <w:rFonts w:ascii="Arial" w:cs="Arial" w:eastAsia="Arial" w:hAnsi="Arial"/>
          <w:b/>
          <w:bCs/>
          <w:color w:val="1E5631"/>
          <w:sz w:val="23"/>
          <w:szCs w:val="23"/>
        </w:rPr>
        <w:t xml:space="preserve">Profile / Summary</w:t>
      </w:r>
    </w:p>
    <w:p>
      <w:pPr>
        <w:pStyle w:val="ListParagraph"/>
        <w:numPr>
          <w:ilvl w:val="0"/>
          <w:numId w:val="2"/>
        </w:numPr>
        <w:spacing w:before="40" w:after="40"/>
      </w:pPr>
      <w:r>
        <w:rPr>
          <w:rFonts w:ascii="Arial" w:cs="Arial" w:eastAsia="Arial" w:hAnsi="Arial"/>
          <w:color w:val="333333"/>
          <w:sz w:val="21"/>
          <w:szCs w:val="21"/>
        </w:rPr>
        <w:t xml:space="preserve">Lead with: Mechanical Engineer + SolidWorks designer + sheet metal fabricator. That combination is rare and directly relevant.</w:t>
      </w:r>
    </w:p>
    <w:p>
      <w:pPr>
        <w:pStyle w:val="ListParagraph"/>
        <w:numPr>
          <w:ilvl w:val="0"/>
          <w:numId w:val="2"/>
        </w:numPr>
        <w:spacing w:before="40" w:after="40"/>
      </w:pPr>
      <w:r>
        <w:rPr>
          <w:rFonts w:ascii="Arial" w:cs="Arial" w:eastAsia="Arial" w:hAnsi="Arial"/>
          <w:color w:val="333333"/>
          <w:sz w:val="21"/>
          <w:szCs w:val="21"/>
        </w:rPr>
        <w:t xml:space="preserve">Mention SolidWorks specifically and prominently — it's their single most important requirement.</w:t>
      </w:r>
    </w:p>
    <w:p>
      <w:pPr>
        <w:pStyle w:val="ListParagraph"/>
        <w:numPr>
          <w:ilvl w:val="0"/>
          <w:numId w:val="2"/>
        </w:numPr>
        <w:spacing w:before="40" w:after="40"/>
      </w:pPr>
      <w:r>
        <w:rPr>
          <w:rFonts w:ascii="Arial" w:cs="Arial" w:eastAsia="Arial" w:hAnsi="Arial"/>
          <w:color w:val="333333"/>
          <w:sz w:val="21"/>
          <w:szCs w:val="21"/>
        </w:rPr>
        <w:t xml:space="preserve">Reference your trade background in sheet metal and weldments — you've physically made the parts you now design, which gives you a manufacturing perspective most desk engineers lack.</w:t>
      </w:r>
    </w:p>
    <w:p>
      <w:pPr>
        <w:pStyle w:val="ListParagraph"/>
        <w:numPr>
          <w:ilvl w:val="0"/>
          <w:numId w:val="2"/>
        </w:numPr>
        <w:spacing w:before="40" w:after="40"/>
      </w:pPr>
      <w:r>
        <w:rPr>
          <w:rFonts w:ascii="Arial" w:cs="Arial" w:eastAsia="Arial" w:hAnsi="Arial"/>
          <w:color w:val="333333"/>
          <w:sz w:val="21"/>
          <w:szCs w:val="21"/>
        </w:rPr>
        <w:t xml:space="preserve">Keep the engineering degree front and centre — this is an engineering company.</w:t>
      </w:r>
    </w:p>
    <w:p>
      <w:pPr>
        <w:pStyle w:val="ListParagraph"/>
        <w:numPr>
          <w:ilvl w:val="0"/>
          <w:numId w:val="2"/>
        </w:numPr>
        <w:spacing w:before="40" w:after="40"/>
      </w:pPr>
      <w:r>
        <w:rPr>
          <w:rFonts w:ascii="Arial" w:cs="Arial" w:eastAsia="Arial" w:hAnsi="Arial"/>
          <w:color w:val="333333"/>
          <w:sz w:val="21"/>
          <w:szCs w:val="21"/>
        </w:rPr>
        <w:t xml:space="preserve">One line on your adaptive device design work at Habitec as evidence of designing novel products from scratch.</w:t>
      </w:r>
    </w:p>
    <w:p>
      <w:pPr>
        <w:spacing w:before="80" w:after="0"/>
      </w:pPr>
      <w:r>
        <w:t xml:space="preserve"/>
      </w:r>
    </w:p>
    <w:p>
      <w:pPr>
        <w:pStyle w:val="Heading2"/>
        <w:pBdr>
          <w:bottom w:val="single" w:color="AAAAAA" w:sz="2" w:space="1"/>
        </w:pBdr>
        <w:spacing w:before="220" w:after="80"/>
      </w:pPr>
      <w:r>
        <w:rPr>
          <w:rFonts w:ascii="Arial" w:cs="Arial" w:eastAsia="Arial" w:hAnsi="Arial"/>
          <w:b/>
          <w:bCs/>
          <w:color w:val="1E5631"/>
          <w:sz w:val="23"/>
          <w:szCs w:val="23"/>
        </w:rPr>
        <w:t xml:space="preserve">Work Experience — Priority Order</w:t>
      </w:r>
    </w:p>
    <w:p>
      <w:pPr>
        <w:spacing w:before="120" w:after="60"/>
      </w:pPr>
      <w:r>
        <w:rPr>
          <w:rFonts w:ascii="Arial" w:cs="Arial" w:eastAsia="Arial" w:hAnsi="Arial"/>
          <w:b/>
          <w:bCs/>
          <w:color w:val="1E5631"/>
          <w:sz w:val="21"/>
          <w:szCs w:val="21"/>
        </w:rPr>
        <w:t xml:space="preserve">1. Habitec (2020–Present) — lead with this</w:t>
      </w:r>
    </w:p>
    <w:p>
      <w:pPr>
        <w:spacing w:before="60" w:after="60"/>
      </w:pPr>
      <w:r>
        <w:rPr>
          <w:rFonts w:ascii="Arial" w:cs="Arial" w:eastAsia="Arial" w:hAnsi="Arial"/>
          <w:color w:val="333333"/>
          <w:sz w:val="21"/>
          <w:szCs w:val="21"/>
        </w:rPr>
        <w:t xml:space="preserve">Reframe entirely for this role. Emphasise: SolidWorks design work, designing products from scratch, technical documentation, coordinating with suppliers for prototyping, working autonomously on bespoke solutions. If you have any specific examples of complex assemblies or novel designs, name them.</w:t>
      </w:r>
    </w:p>
    <w:p>
      <w:pPr>
        <w:spacing w:before="120" w:after="60"/>
      </w:pPr>
      <w:r>
        <w:rPr>
          <w:rFonts w:ascii="Arial" w:cs="Arial" w:eastAsia="Arial" w:hAnsi="Arial"/>
          <w:b/>
          <w:bCs/>
          <w:color w:val="1E5631"/>
          <w:sz w:val="21"/>
          <w:szCs w:val="21"/>
        </w:rPr>
        <w:t xml:space="preserve">2. Swift Marine apprenticeship and Superior Stainless — elevate these</w:t>
      </w:r>
    </w:p>
    <w:p>
      <w:pPr>
        <w:spacing w:before="60" w:after="60"/>
      </w:pPr>
      <w:r>
        <w:rPr>
          <w:rFonts w:ascii="Arial" w:cs="Arial" w:eastAsia="Arial" w:hAnsi="Arial"/>
          <w:color w:val="333333"/>
          <w:sz w:val="21"/>
          <w:szCs w:val="21"/>
        </w:rPr>
        <w:t xml:space="preserve">For Advanced Cranes these were compressed to one line each. Here they deserve more. Swift Marine: sheet metal fabrication in a marine environment (complex geometry, tight tolerances). Superior Stainless: stainless, mild steel and aluminium, reading and problem-solving shop drawings. These directly mirror the SolidWorks sheet metal and weldments work they need.</w:t>
      </w:r>
    </w:p>
    <w:p>
      <w:pPr>
        <w:spacing w:before="120" w:after="60"/>
      </w:pPr>
      <w:r>
        <w:rPr>
          <w:rFonts w:ascii="Arial" w:cs="Arial" w:eastAsia="Arial" w:hAnsi="Arial"/>
          <w:b/>
          <w:bCs/>
          <w:color w:val="1E5631"/>
          <w:sz w:val="21"/>
          <w:szCs w:val="21"/>
        </w:rPr>
        <w:t xml:space="preserve">3. Education — thesis description is important here</w:t>
      </w:r>
    </w:p>
    <w:p>
      <w:pPr>
        <w:spacing w:before="60" w:after="60"/>
      </w:pPr>
      <w:r>
        <w:rPr>
          <w:rFonts w:ascii="Arial" w:cs="Arial" w:eastAsia="Arial" w:hAnsi="Arial"/>
          <w:color w:val="333333"/>
          <w:sz w:val="21"/>
          <w:szCs w:val="21"/>
        </w:rPr>
        <w:t xml:space="preserve">The leg/foot attachment thesis shows you can design an entirely novel product from a blank canvas — which is exactly what Unidan's draftsperson does on every build. Describe the design process briefly: problem identification, CAD modelling, prototyping, iteration.</w:t>
      </w:r>
    </w:p>
    <w:p>
      <w:pPr>
        <w:spacing w:before="120" w:after="60"/>
      </w:pPr>
      <w:r>
        <w:rPr>
          <w:rFonts w:ascii="Arial" w:cs="Arial" w:eastAsia="Arial" w:hAnsi="Arial"/>
          <w:b/>
          <w:bCs/>
          <w:color w:val="1E5631"/>
          <w:sz w:val="21"/>
          <w:szCs w:val="21"/>
        </w:rPr>
        <w:t xml:space="preserve">4. Crane history — keep but compress</w:t>
      </w:r>
    </w:p>
    <w:p>
      <w:pPr>
        <w:spacing w:before="60" w:after="60"/>
      </w:pPr>
      <w:r>
        <w:rPr>
          <w:rFonts w:ascii="Arial" w:cs="Arial" w:eastAsia="Arial" w:hAnsi="Arial"/>
          <w:color w:val="333333"/>
          <w:sz w:val="21"/>
          <w:szCs w:val="21"/>
        </w:rPr>
        <w:t xml:space="preserve">Two or three lines maximum across all crane roles, grouped under "Prior Career — Crane Operations." It adds to your story and shows industry breadth but shouldn't dominate the page for this application.</w:t>
      </w:r>
    </w:p>
    <w:p>
      <w:pPr>
        <w:spacing w:before="80" w:after="0"/>
      </w:pPr>
      <w:r>
        <w:t xml:space="preserve"/>
      </w:r>
    </w:p>
    <w:p>
      <w:pPr>
        <w:pStyle w:val="Heading2"/>
        <w:pBdr>
          <w:bottom w:val="single" w:color="AAAAAA" w:sz="2" w:space="1"/>
        </w:pBdr>
        <w:spacing w:before="220" w:after="80"/>
      </w:pPr>
      <w:r>
        <w:rPr>
          <w:rFonts w:ascii="Arial" w:cs="Arial" w:eastAsia="Arial" w:hAnsi="Arial"/>
          <w:b/>
          <w:bCs/>
          <w:color w:val="1E5631"/>
          <w:sz w:val="23"/>
          <w:szCs w:val="23"/>
        </w:rPr>
        <w:t xml:space="preserve">Skills Section — Words to Mirror From the Ad</w:t>
      </w:r>
    </w:p>
    <w:p>
      <w:pPr>
        <w:pStyle w:val="ListParagraph"/>
        <w:numPr>
          <w:ilvl w:val="0"/>
          <w:numId w:val="2"/>
        </w:numPr>
        <w:spacing w:before="40" w:after="40"/>
      </w:pPr>
      <w:r>
        <w:rPr>
          <w:rFonts w:ascii="Arial" w:cs="Arial" w:eastAsia="Arial" w:hAnsi="Arial"/>
          <w:color w:val="333333"/>
          <w:sz w:val="21"/>
          <w:szCs w:val="21"/>
        </w:rPr>
        <w:t xml:space="preserve">SolidWorks (sheet metal, weldments, multi-level assemblies)</w:t>
      </w:r>
    </w:p>
    <w:p>
      <w:pPr>
        <w:pStyle w:val="ListParagraph"/>
        <w:numPr>
          <w:ilvl w:val="0"/>
          <w:numId w:val="2"/>
        </w:numPr>
        <w:spacing w:before="40" w:after="40"/>
      </w:pPr>
      <w:r>
        <w:rPr>
          <w:rFonts w:ascii="Arial" w:cs="Arial" w:eastAsia="Arial" w:hAnsi="Arial"/>
          <w:color w:val="333333"/>
          <w:sz w:val="21"/>
          <w:szCs w:val="21"/>
        </w:rPr>
        <w:t xml:space="preserve">Technical drawing production and revision control</w:t>
      </w:r>
    </w:p>
    <w:p>
      <w:pPr>
        <w:pStyle w:val="ListParagraph"/>
        <w:numPr>
          <w:ilvl w:val="0"/>
          <w:numId w:val="2"/>
        </w:numPr>
        <w:spacing w:before="40" w:after="40"/>
      </w:pPr>
      <w:r>
        <w:rPr>
          <w:rFonts w:ascii="Arial" w:cs="Arial" w:eastAsia="Arial" w:hAnsi="Arial"/>
          <w:color w:val="333333"/>
          <w:sz w:val="21"/>
          <w:szCs w:val="21"/>
        </w:rPr>
        <w:t xml:space="preserve">AS and ISO welding and materials standards</w:t>
      </w:r>
    </w:p>
    <w:p>
      <w:pPr>
        <w:pStyle w:val="ListParagraph"/>
        <w:numPr>
          <w:ilvl w:val="0"/>
          <w:numId w:val="2"/>
        </w:numPr>
        <w:spacing w:before="40" w:after="40"/>
      </w:pPr>
      <w:r>
        <w:rPr>
          <w:rFonts w:ascii="Arial" w:cs="Arial" w:eastAsia="Arial" w:hAnsi="Arial"/>
          <w:color w:val="333333"/>
          <w:sz w:val="21"/>
          <w:szCs w:val="21"/>
        </w:rPr>
        <w:t xml:space="preserve">Supplier coordination and first-off prototype procurement</w:t>
      </w:r>
    </w:p>
    <w:p>
      <w:pPr>
        <w:pStyle w:val="ListParagraph"/>
        <w:numPr>
          <w:ilvl w:val="0"/>
          <w:numId w:val="2"/>
        </w:numPr>
        <w:spacing w:before="40" w:after="40"/>
      </w:pPr>
      <w:r>
        <w:rPr>
          <w:rFonts w:ascii="Arial" w:cs="Arial" w:eastAsia="Arial" w:hAnsi="Arial"/>
          <w:color w:val="333333"/>
          <w:sz w:val="21"/>
          <w:szCs w:val="21"/>
        </w:rPr>
        <w:t xml:space="preserve">Standard Operating Procedures (SOPs) and Engineering Specifications</w:t>
      </w:r>
    </w:p>
    <w:p>
      <w:pPr>
        <w:pStyle w:val="ListParagraph"/>
        <w:numPr>
          <w:ilvl w:val="0"/>
          <w:numId w:val="2"/>
        </w:numPr>
        <w:spacing w:before="40" w:after="40"/>
      </w:pPr>
      <w:r>
        <w:rPr>
          <w:rFonts w:ascii="Arial" w:cs="Arial" w:eastAsia="Arial" w:hAnsi="Arial"/>
          <w:color w:val="333333"/>
          <w:sz w:val="21"/>
          <w:szCs w:val="21"/>
        </w:rPr>
        <w:t xml:space="preserve">Product design and development from concept to manufacture</w:t>
      </w:r>
    </w:p>
    <w:p>
      <w:pPr>
        <w:pStyle w:val="ListParagraph"/>
        <w:numPr>
          <w:ilvl w:val="0"/>
          <w:numId w:val="2"/>
        </w:numPr>
        <w:spacing w:before="40" w:after="40"/>
      </w:pPr>
      <w:r>
        <w:rPr>
          <w:rFonts w:ascii="Arial" w:cs="Arial" w:eastAsia="Arial" w:hAnsi="Arial"/>
          <w:color w:val="333333"/>
          <w:sz w:val="21"/>
          <w:szCs w:val="21"/>
        </w:rPr>
        <w:t xml:space="preserve">Sheet metal fabrication — hands-on trade background</w:t>
      </w:r>
    </w:p>
    <w:p>
      <w:pPr>
        <w:spacing w:before="80" w:after="0"/>
      </w:pPr>
      <w:r>
        <w:t xml:space="preserve"/>
      </w:r>
    </w:p>
    <w:p>
      <w:pPr>
        <w:pStyle w:val="Heading1"/>
        <w:shd w:fill="1E5631" w:val="clear"/>
        <w:spacing w:before="300" w:after="100"/>
        <w:ind w:left="120" w:right="120"/>
      </w:pPr>
      <w:r>
        <w:rPr>
          <w:rFonts w:ascii="Arial" w:cs="Arial" w:eastAsia="Arial" w:hAnsi="Arial"/>
          <w:b/>
          <w:bCs/>
          <w:color w:val="FFFFFF"/>
          <w:sz w:val="26"/>
          <w:szCs w:val="26"/>
        </w:rPr>
        <w:t xml:space="preserve">SECTION 4 — COVER LETTER BRIEF</w:t>
      </w:r>
    </w:p>
    <w:p>
      <w:pPr>
        <w:pStyle w:val="Heading2"/>
        <w:pBdr>
          <w:bottom w:val="single" w:color="AAAAAA" w:sz="2" w:space="1"/>
        </w:pBdr>
        <w:spacing w:before="220" w:after="80"/>
      </w:pPr>
      <w:r>
        <w:rPr>
          <w:rFonts w:ascii="Arial" w:cs="Arial" w:eastAsia="Arial" w:hAnsi="Arial"/>
          <w:b/>
          <w:bCs/>
          <w:color w:val="1E5631"/>
          <w:sz w:val="23"/>
          <w:szCs w:val="23"/>
        </w:rPr>
        <w:t xml:space="preserve">Tone</w:t>
      </w:r>
    </w:p>
    <w:p>
      <w:pPr>
        <w:spacing w:before="60" w:after="60"/>
      </w:pPr>
      <w:r>
        <w:rPr>
          <w:rFonts w:ascii="Arial" w:cs="Arial" w:eastAsia="Arial" w:hAnsi="Arial"/>
          <w:color w:val="333333"/>
          <w:sz w:val="21"/>
          <w:szCs w:val="21"/>
        </w:rPr>
        <w:t xml:space="preserve">Unidan's culture is passionate, energetic, and hands-on. Less formal than the Advanced Cranes letter — warmer and more personal. They explicitly say they want someone who loves the off-road and adventure life, so the letter can afford to show personality. Still professional, still evidence-based, but with more energy and genuine enthusiasm for what they build.</w:t>
      </w:r>
    </w:p>
    <w:p>
      <w:pPr>
        <w:spacing w:before="80" w:after="0"/>
      </w:pPr>
      <w:r>
        <w:t xml:space="preserve"/>
      </w:r>
    </w:p>
    <w:p>
      <w:pPr>
        <w:pStyle w:val="Heading2"/>
        <w:pBdr>
          <w:bottom w:val="single" w:color="AAAAAA" w:sz="2" w:space="1"/>
        </w:pBdr>
        <w:spacing w:before="220" w:after="80"/>
      </w:pPr>
      <w:r>
        <w:rPr>
          <w:rFonts w:ascii="Arial" w:cs="Arial" w:eastAsia="Arial" w:hAnsi="Arial"/>
          <w:b/>
          <w:bCs/>
          <w:color w:val="1E5631"/>
          <w:sz w:val="23"/>
          <w:szCs w:val="23"/>
        </w:rPr>
        <w:t xml:space="preserve">Recommended Structure</w:t>
      </w:r>
    </w:p>
    <w:p>
      <w:pPr>
        <w:spacing w:before="120" w:after="60"/>
      </w:pPr>
      <w:r>
        <w:rPr>
          <w:rFonts w:ascii="Arial" w:cs="Arial" w:eastAsia="Arial" w:hAnsi="Arial"/>
          <w:b/>
          <w:bCs/>
          <w:color w:val="1E5631"/>
          <w:sz w:val="21"/>
          <w:szCs w:val="21"/>
        </w:rPr>
        <w:t xml:space="preserve">Paragraph 1 — The Hook</w:t>
      </w:r>
    </w:p>
    <w:p>
      <w:pPr>
        <w:spacing w:before="60" w:after="60"/>
      </w:pPr>
      <w:r>
        <w:rPr>
          <w:rFonts w:ascii="Arial" w:cs="Arial" w:eastAsia="Arial" w:hAnsi="Arial"/>
          <w:color w:val="333333"/>
          <w:sz w:val="21"/>
          <w:szCs w:val="21"/>
        </w:rPr>
        <w:t xml:space="preserve">Lead with the rare combination: someone who has physically fabricated sheet metal and welded complex assemblies, who now designs them in SolidWorks. Most draftspeople have never been on the shop floor. You have. That changes how you design — you know what's actually manufacturable.</w:t>
      </w:r>
    </w:p>
    <w:p>
      <w:pPr>
        <w:spacing w:before="120" w:after="60"/>
      </w:pPr>
      <w:r>
        <w:rPr>
          <w:rFonts w:ascii="Arial" w:cs="Arial" w:eastAsia="Arial" w:hAnsi="Arial"/>
          <w:b/>
          <w:bCs/>
          <w:color w:val="1E5631"/>
          <w:sz w:val="21"/>
          <w:szCs w:val="21"/>
        </w:rPr>
        <w:t xml:space="preserve">Paragraph 2 — Your Story (brief)</w:t>
      </w:r>
    </w:p>
    <w:p>
      <w:pPr>
        <w:spacing w:before="60" w:after="60"/>
      </w:pPr>
      <w:r>
        <w:rPr>
          <w:rFonts w:ascii="Arial" w:cs="Arial" w:eastAsia="Arial" w:hAnsi="Arial"/>
          <w:color w:val="333333"/>
          <w:sz w:val="21"/>
          <w:szCs w:val="21"/>
        </w:rPr>
        <w:t xml:space="preserve">Much shorter version of the personal journey than the Advanced Cranes letter — a sentence or two. Focus on the pivot from trades to engineering and what drove it. The detail isn't as central here.</w:t>
      </w:r>
    </w:p>
    <w:p>
      <w:pPr>
        <w:spacing w:before="120" w:after="60"/>
      </w:pPr>
      <w:r>
        <w:rPr>
          <w:rFonts w:ascii="Arial" w:cs="Arial" w:eastAsia="Arial" w:hAnsi="Arial"/>
          <w:b/>
          <w:bCs/>
          <w:color w:val="1E5631"/>
          <w:sz w:val="21"/>
          <w:szCs w:val="21"/>
        </w:rPr>
        <w:t xml:space="preserve">Paragraph 3 — Connection to Unidan specifically</w:t>
      </w:r>
    </w:p>
    <w:p>
      <w:pPr>
        <w:spacing w:before="60" w:after="60"/>
      </w:pPr>
      <w:r>
        <w:rPr>
          <w:rFonts w:ascii="Arial" w:cs="Arial" w:eastAsia="Arial" w:hAnsi="Arial"/>
          <w:color w:val="333333"/>
          <w:sz w:val="21"/>
          <w:szCs w:val="21"/>
        </w:rPr>
        <w:t xml:space="preserve">This is where the off-road/adventure connection lands, if Paul has one. Also: reference their SolidWorks-led design process for expedition builds (as described on their website), their need for someone who can design from scratch, and your ability to communicate with fabricators and suppliers because you've been one. PDM Vault gap can be addressed here honestly and briefly.</w:t>
      </w:r>
    </w:p>
    <w:p>
      <w:pPr>
        <w:spacing w:before="120" w:after="60"/>
      </w:pPr>
      <w:r>
        <w:rPr>
          <w:rFonts w:ascii="Arial" w:cs="Arial" w:eastAsia="Arial" w:hAnsi="Arial"/>
          <w:b/>
          <w:bCs/>
          <w:color w:val="1E5631"/>
          <w:sz w:val="21"/>
          <w:szCs w:val="21"/>
        </w:rPr>
        <w:t xml:space="preserve">Paragraph 4 — Close</w:t>
      </w:r>
    </w:p>
    <w:p>
      <w:pPr>
        <w:spacing w:before="60" w:after="60"/>
      </w:pPr>
      <w:r>
        <w:rPr>
          <w:rFonts w:ascii="Arial" w:cs="Arial" w:eastAsia="Arial" w:hAnsi="Arial"/>
          <w:color w:val="333333"/>
          <w:sz w:val="21"/>
          <w:szCs w:val="21"/>
        </w:rPr>
        <w:t xml:space="preserve">Confident, purposeful. Reference the opportunity to be part of unique projects — echo their own language from the ad.</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2"/>
              <w:left w:val="single" w:color="2E7D32" w:sz="10"/>
              <w:bottom w:val="single" w:color="2E7D32" w:sz="2"/>
              <w:right w:val="none" w:color="FFFFFF" w:sz="0"/>
            </w:tcBorders>
            <w:shd w:fill="E8F5E9" w:val="clear"/>
            <w:tcMar>
              <w:top w:type="dxa" w:w="120"/>
              <w:left w:type="dxa" w:w="200"/>
              <w:bottom w:type="dxa" w:w="120"/>
              <w:right w:type="dxa" w:w="200"/>
            </w:tcMar>
          </w:tcPr>
          <w:p>
            <w:pPr>
              <w:spacing w:before="0" w:after="0"/>
            </w:pPr>
            <w:r>
              <w:rPr>
                <w:rFonts w:ascii="Arial" w:cs="Arial" w:eastAsia="Arial" w:hAnsi="Arial"/>
                <w:b/>
                <w:bCs/>
                <w:color w:val="1E5631"/>
                <w:sz w:val="20"/>
                <w:szCs w:val="20"/>
              </w:rPr>
              <w:t xml:space="preserve">Pending before writing the letter: </w:t>
            </w:r>
            <w:r>
              <w:rPr>
                <w:rFonts w:ascii="Arial" w:cs="Arial" w:eastAsia="Arial" w:hAnsi="Arial"/>
                <w:color w:val="333333"/>
                <w:sz w:val="20"/>
                <w:szCs w:val="20"/>
              </w:rPr>
              <w:t xml:space="preserve">Confirm Paul's authentic connection (if any) to off-road vehicles, 4WDing, adventure travel, or related activities. This will shape the opening tone and the Paragraph 3 content significantly.</w:t>
            </w:r>
          </w:p>
        </w:tc>
      </w:tr>
    </w:tbl>
    <w:p>
      <w:pPr>
        <w:spacing w:before="80" w:after="0"/>
      </w:pPr>
      <w:r>
        <w:t xml:space="preserve"/>
      </w:r>
    </w:p>
    <w:p>
      <w:pPr>
        <w:pBdr>
          <w:top w:val="single" w:color="CCCCCC" w:sz="2" w:space="4"/>
        </w:pBdr>
        <w:spacing w:before="300"/>
        <w:jc w:val="center"/>
      </w:pPr>
      <w:r>
        <w:rPr>
          <w:rFonts w:ascii="Arial" w:cs="Arial" w:eastAsia="Arial" w:hAnsi="Arial"/>
          <w:i/>
          <w:iCs/>
          <w:color w:val="888888"/>
          <w:sz w:val="18"/>
          <w:szCs w:val="18"/>
        </w:rPr>
        <w:t xml:space="preserve">Prepared for Paul Robinson  |  Unidan Engineering Application  |  February 2026</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00" w:after="100"/>
      <w:outlineLvl w:val="0"/>
    </w:pPr>
    <w:rPr>
      <w:rFonts w:ascii="Arial" w:cs="Arial" w:eastAsia="Arial" w:hAnsi="Arial"/>
      <w:b/>
      <w:bCs/>
      <w:color w:val="FFFFFF"/>
      <w:sz w:val="26"/>
      <w:szCs w:val="26"/>
    </w:rPr>
  </w:style>
  <w:style w:type="paragraph" w:styleId="Heading2">
    <w:name w:val="Heading 2"/>
    <w:basedOn w:val="Normal"/>
    <w:next w:val="Normal"/>
    <w:pPr>
      <w:spacing w:before="220" w:after="80"/>
      <w:outlineLvl w:val="1"/>
    </w:pPr>
    <w:rPr>
      <w:rFonts w:ascii="Arial" w:cs="Arial" w:eastAsia="Arial" w:hAnsi="Arial"/>
      <w:b/>
      <w:bCs/>
      <w:color w:val="1E563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2026-02-22T23:53:32.893Z</dcterms:created>
  <dcterms:modified xsi:type="dcterms:W3CDTF">2026-02-22T23:53:32.894Z</dcterms:modified>
</cp:coreProperties>
</file>

<file path=docProps/custom.xml><?xml version="1.0" encoding="utf-8"?>
<Properties xmlns="http://schemas.openxmlformats.org/officeDocument/2006/custom-properties" xmlns:vt="http://schemas.openxmlformats.org/officeDocument/2006/docPropsVTypes"/>
</file>