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A6978"/>
          <w:sz w:val="18"/>
        </w:rPr>
        <w:t>미국 상장 보통주 | 2026년 10월 15일 기준</w:t>
      </w:r>
    </w:p>
    <w:p>
      <w:pPr>
        <w:pStyle w:val="Title"/>
      </w:pPr>
      <w:r>
        <w:t>최근 30일 장중 고점 기준 100% 이상 상승 종목</w:t>
      </w:r>
    </w:p>
    <w:p>
      <w:r>
        <w:rPr>
          <w:color w:val="4B5A69"/>
          <w:sz w:val="24"/>
        </w:rPr>
        <w:t>미국 보통주 · 시가총액 5억 달러 이하</w:t>
      </w:r>
    </w:p>
    <w:p>
      <w:pPr>
        <w:pStyle w:val="Heading1"/>
      </w:pPr>
      <w:r>
        <w:t>요약</w:t>
      </w:r>
    </w:p>
    <w:p>
      <w:r>
        <w:t>2026년 9월 14일 장중 고가를 기준점으로 두고, 그날부터 10월 14일까지 30일 구간에 기록된 최고 장중가까지의 상승률로 선별했습니다. 확인된 조건 충족 종목은 PDS Biotechnology (PDSB), TJGC Group (TJGC), Nautilus Biotechnology (NAUT)입니다. 세 종목 모두 미국 거래소 상장 보통주이며, 2026년 10월 14일 기준 시가총액이 5억 달러 미만입니다.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4"/>
          </w:tcPr>
          <w:p>
            <w:r>
              <w:t>티커 / 회사</w:t>
            </w:r>
          </w:p>
        </w:tc>
        <w:tc>
          <w:tcPr>
            <w:tcW w:type="dxa" w:w="1680"/>
            <w:shd w:fill="D9EAF4"/>
          </w:tcPr>
          <w:p>
            <w:r>
              <w:t>증권 종류</w:t>
            </w:r>
          </w:p>
        </w:tc>
        <w:tc>
          <w:tcPr>
            <w:tcW w:type="dxa" w:w="1680"/>
            <w:shd w:fill="D9EAF4"/>
          </w:tcPr>
          <w:p>
            <w:r>
              <w:t>9/14 장중 고가</w:t>
            </w:r>
          </w:p>
        </w:tc>
        <w:tc>
          <w:tcPr>
            <w:tcW w:type="dxa" w:w="1680"/>
            <w:shd w:fill="D9EAF4"/>
          </w:tcPr>
          <w:p>
            <w:r>
              <w:t>30일 구간 최고가</w:t>
            </w:r>
          </w:p>
        </w:tc>
        <w:tc>
          <w:tcPr>
            <w:tcW w:type="dxa" w:w="1680"/>
            <w:shd w:fill="D9EAF4"/>
          </w:tcPr>
          <w:p>
            <w:r>
              <w:t>고점 기준 상승률</w:t>
            </w:r>
          </w:p>
        </w:tc>
        <w:tc>
          <w:tcPr>
            <w:tcW w:type="dxa" w:w="1680"/>
            <w:shd w:fill="D9EAF4"/>
          </w:tcPr>
          <w:p>
            <w:r>
              <w:t>시가총액</w:t>
            </w:r>
          </w:p>
        </w:tc>
      </w:tr>
      <w:tr>
        <w:tc>
          <w:tcPr>
            <w:tcW w:type="dxa" w:w="1680"/>
            <w:vAlign w:val="center"/>
          </w:tcPr>
          <w:p>
            <w:r>
              <w:t>PDSB</w:t>
              <w:br/>
              <w:t>PDS Biotechnology</w:t>
            </w:r>
          </w:p>
        </w:tc>
        <w:tc>
          <w:tcPr>
            <w:tcW w:type="dxa" w:w="1680"/>
            <w:vAlign w:val="center"/>
          </w:tcPr>
          <w:p>
            <w:r>
              <w:t>NASDAQ 보통주</w:t>
            </w:r>
          </w:p>
        </w:tc>
        <w:tc>
          <w:tcPr>
            <w:tcW w:type="dxa" w:w="1680"/>
            <w:vAlign w:val="center"/>
          </w:tcPr>
          <w:p>
            <w:r>
              <w:t>$0.45</w:t>
            </w:r>
          </w:p>
        </w:tc>
        <w:tc>
          <w:tcPr>
            <w:tcW w:type="dxa" w:w="1680"/>
            <w:vAlign w:val="center"/>
          </w:tcPr>
          <w:p>
            <w:r>
              <w:t>$1.79 (10/13)</w:t>
            </w:r>
          </w:p>
        </w:tc>
        <w:tc>
          <w:tcPr>
            <w:tcW w:type="dxa" w:w="1680"/>
            <w:vAlign w:val="center"/>
          </w:tcPr>
          <w:p>
            <w:r>
              <w:t>+297.8%</w:t>
            </w:r>
          </w:p>
        </w:tc>
        <w:tc>
          <w:tcPr>
            <w:tcW w:type="dxa" w:w="1680"/>
            <w:vAlign w:val="center"/>
          </w:tcPr>
          <w:p>
            <w:r>
              <w:t>$102.19M</w:t>
            </w:r>
          </w:p>
        </w:tc>
      </w:tr>
      <w:tr>
        <w:tc>
          <w:tcPr>
            <w:tcW w:type="dxa" w:w="1680"/>
            <w:vAlign w:val="center"/>
          </w:tcPr>
          <w:p>
            <w:r>
              <w:t>TJGC</w:t>
              <w:br/>
              <w:t>TJGC Group</w:t>
            </w:r>
          </w:p>
        </w:tc>
        <w:tc>
          <w:tcPr>
            <w:tcW w:type="dxa" w:w="1680"/>
            <w:vAlign w:val="center"/>
          </w:tcPr>
          <w:p>
            <w:r>
              <w:t>NASDAQ Class A 보통주</w:t>
            </w:r>
          </w:p>
        </w:tc>
        <w:tc>
          <w:tcPr>
            <w:tcW w:type="dxa" w:w="1680"/>
            <w:vAlign w:val="center"/>
          </w:tcPr>
          <w:p>
            <w:r>
              <w:t>$12.38</w:t>
            </w:r>
          </w:p>
        </w:tc>
        <w:tc>
          <w:tcPr>
            <w:tcW w:type="dxa" w:w="1680"/>
            <w:vAlign w:val="center"/>
          </w:tcPr>
          <w:p>
            <w:r>
              <w:t>$36.76 (9/29)</w:t>
            </w:r>
          </w:p>
        </w:tc>
        <w:tc>
          <w:tcPr>
            <w:tcW w:type="dxa" w:w="1680"/>
            <w:vAlign w:val="center"/>
          </w:tcPr>
          <w:p>
            <w:r>
              <w:t>+196.9%</w:t>
            </w:r>
          </w:p>
        </w:tc>
        <w:tc>
          <w:tcPr>
            <w:tcW w:type="dxa" w:w="1680"/>
            <w:vAlign w:val="center"/>
          </w:tcPr>
          <w:p>
            <w:r>
              <w:t>$324.31M</w:t>
            </w:r>
          </w:p>
        </w:tc>
      </w:tr>
      <w:tr>
        <w:tc>
          <w:tcPr>
            <w:tcW w:type="dxa" w:w="1680"/>
            <w:vAlign w:val="center"/>
          </w:tcPr>
          <w:p>
            <w:r>
              <w:t>NAUT</w:t>
              <w:br/>
              <w:t>Nautilus Biotechnology</w:t>
            </w:r>
          </w:p>
        </w:tc>
        <w:tc>
          <w:tcPr>
            <w:tcW w:type="dxa" w:w="1680"/>
            <w:vAlign w:val="center"/>
          </w:tcPr>
          <w:p>
            <w:r>
              <w:t>NASDAQ 보통주</w:t>
            </w:r>
          </w:p>
        </w:tc>
        <w:tc>
          <w:tcPr>
            <w:tcW w:type="dxa" w:w="1680"/>
            <w:vAlign w:val="center"/>
          </w:tcPr>
          <w:p>
            <w:r>
              <w:t>$1.02</w:t>
            </w:r>
          </w:p>
        </w:tc>
        <w:tc>
          <w:tcPr>
            <w:tcW w:type="dxa" w:w="1680"/>
            <w:vAlign w:val="center"/>
          </w:tcPr>
          <w:p>
            <w:r>
              <w:t>$2.475 (10/5)</w:t>
            </w:r>
          </w:p>
        </w:tc>
        <w:tc>
          <w:tcPr>
            <w:tcW w:type="dxa" w:w="1680"/>
            <w:vAlign w:val="center"/>
          </w:tcPr>
          <w:p>
            <w:r>
              <w:t>+142.6%</w:t>
            </w:r>
          </w:p>
        </w:tc>
        <w:tc>
          <w:tcPr>
            <w:tcW w:type="dxa" w:w="1680"/>
            <w:vAlign w:val="center"/>
          </w:tcPr>
          <w:p>
            <w:r>
              <w:t>$274.87M</w:t>
            </w:r>
          </w:p>
        </w:tc>
      </w:tr>
    </w:tbl>
    <w:p>
      <w:r>
        <w:t>수익률 계산: (2026년 9월 14일 장중 고가부터 10월 14일까지의 최고 장중가 ÷ 9월 14일 장중 고가 − 1) × 100. 계산값은 반올림했습니다. 이는 고점 대 고점의 최대 구간 상승폭이며, 실제 투자자가 그 저점·고점에 체결했음을 뜻하지 않습니다.</w:t>
      </w:r>
    </w:p>
    <w:p>
      <w:pPr>
        <w:pStyle w:val="Heading1"/>
      </w:pPr>
      <w:r>
        <w:t>종목별 확인 사항</w:t>
      </w:r>
    </w:p>
    <w:p>
      <w:pPr>
        <w:pStyle w:val="Heading2"/>
      </w:pPr>
      <w:r>
        <w:t>PDSB | PDS Biotechnology</w:t>
      </w:r>
    </w:p>
    <w:p>
      <w:r>
        <w:t>가격·성과: 9월 14일 장중 고가 $0.45에서 10월 13일 장중 고가 $1.79까지 상승해 약 +297.8%입니다. 10월 14일 시가총액은 $102.19M입니다. 9월 8일 회사 발표는 Nant Capital 주도의 최대 $22.55M PIPE를 알렸고, 초기 자금 조달과 조건부 후속 조달, 보통주 및 워런트 발행 구조를 설명했습니다. 이는 시장이 주목할 수 있는 촉매인 동시에 잠재적 주식 희석 요인입니다.</w:t>
      </w:r>
    </w:p>
    <w:p>
      <w:r>
        <w:t>주의 위험: 해당 PIPE에는 보통주·사전납입 워런트·커먼 워런트가 포함됩니다. 급격한 단기 상승과 높은 거래량은 가격 변동성을 키울 수 있습니다. 임상 결과와 자금 조달은 투자 성과를 보장하지 않습니다.</w:t>
      </w:r>
    </w:p>
    <w:p>
      <w:pPr>
        <w:pStyle w:val="Heading2"/>
      </w:pPr>
      <w:r>
        <w:t>TJGC | TJGC Group</w:t>
      </w:r>
    </w:p>
    <w:p>
      <w:r>
        <w:t>가격·성과: 9월 14일 장중 고가 $12.38에서 30일 구간 중 9월 29일 고가 $36.76까지 상승해 약 +196.9%입니다. 10월 14일 시가총액은 $324.31M입니다. 회사의 SEC Form 6-K에 따르면 9월 24일 이사회는 최대 $2.0M의 Class A ordinary shares 자사주 매입 프로그램을 승인했습니다. 이 프로그램은 재량적이며 회사가 실제 매입을 해야 할 의무는 없습니다.</w:t>
      </w:r>
    </w:p>
    <w:p>
      <w:r>
        <w:t>주의 위험: 거래량은 일부 세션에서 매우 낮았습니다(예: 10월 14일 약 68,904주). 낮은 유동성은 호가 간격 확대와 큰 가격 충격을 유발할 수 있습니다. 30일 상승률이 크게 높더라도 현재 가격에서의 매수 가능성이나 지속성을 뜻하지 않습니다.</w:t>
      </w:r>
    </w:p>
    <w:p>
      <w:pPr>
        <w:pStyle w:val="Heading2"/>
      </w:pPr>
      <w:r>
        <w:t>NAUT | Nautilus Biotechnology</w:t>
      </w:r>
    </w:p>
    <w:p>
      <w:r>
        <w:t>가격·성과: 9월 14일 장중 고가 $1.02에서 30일 구간 중 10월 5일 장중 고가 $2.475까지 상승해 약 +142.6%입니다. 10월 14일 시가총액은 $274.87M입니다. SEC 공시에 따르면 회사는 9월 11일 최대 $125M 규모의 ATM 판매 계약을 맺어 필요에 따라 보통주를 발행·매각할 수 있습니다.</w:t>
      </w:r>
    </w:p>
    <w:p>
      <w:r>
        <w:t>주의 위험: $125M ATM은 실제 매각 여부·규모가 회사 재량이지만, 실행 시 주식 공급과 기존 주주 희석 가능성이 있습니다. 특히 30일 상승률이 급격하고 시장 데이터 제공처 간 종가도 소폭 다르므로 체결 시점과 유동성을 확인해야 합니다.</w:t>
      </w:r>
    </w:p>
    <w:p>
      <w:pPr>
        <w:pStyle w:val="Heading1"/>
      </w:pPr>
      <w:r>
        <w:t>기준 및 해석</w:t>
      </w:r>
    </w:p>
    <w:p>
      <w:pPr>
        <w:pStyle w:val="ListBullet"/>
      </w:pPr>
      <w:r>
        <w:t>시장·종목: 미국 거래소 상장 보통주만 포함했습니다. ETF, ETN, 우선주, 워런트, 유닛 및 인수목적회사 증권은 제외했습니다. TJGC는 SEC 공시상 Nasdaq 상장 Class A ordinary shares로 확인했습니다.</w:t>
      </w:r>
    </w:p>
    <w:p>
      <w:pPr>
        <w:pStyle w:val="ListBullet"/>
      </w:pPr>
      <w:r>
        <w:t>기간 및 고점 규칙: 2026년 9월 14일부터 10월 14일까지 미국 동부시간 거래일의 장중 가격을 사용했습니다. 출발점은 9월 14일 고가이며, 구간 최고가는 9월 14일을 포함해 10월 14일까지 각 거래일의 고가 중 최댓값입니다. 따라서 측정값은 고점 대 고점이며, 종가 수익률이나 30일 최저점부터의 상승률이 아닙니다.</w:t>
      </w:r>
    </w:p>
    <w:p>
      <w:pPr>
        <w:pStyle w:val="ListBullet"/>
      </w:pPr>
      <w:r>
        <w:t>시가총액: 2026년 10월 14일 종가 기준으로 제시된 시장 데이터 제공처의 값입니다. 시가총액은 주가와 발행주식수에 따라 바뀌며, 데이터 제공처별 집계·시점 차이가 있을 수 있습니다.</w:t>
      </w:r>
    </w:p>
    <w:p>
      <w:pPr>
        <w:pStyle w:val="ListBullet"/>
      </w:pPr>
      <w:r>
        <w:t>범위: 이 문서는 가격·시총 필터 결과이지 매수 추천이나 전체 시장에 대한 공식적 완전성 보증이 아닙니다. 극단적 상승 종목은 변동성·유동성·희석 위험을 별도로 검토해야 합니다.</w:t>
      </w:r>
    </w:p>
    <w:p>
      <w:pPr>
        <w:pStyle w:val="Heading1"/>
      </w:pPr>
      <w:r>
        <w:t>출처</w:t>
      </w:r>
    </w:p>
    <w:p>
      <w:pPr>
        <w:pStyle w:val="ListBullet"/>
      </w:pPr>
      <w:hyperlink r:id="rId9">
        <w:r>
          <w:rPr>
            <w:color w:val="0563C1"/>
            <w:u w:val="single"/>
          </w:rPr>
          <w:t>PDSB 가격 이력 및 장중 고가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PDSB 2026-10-14 시가총액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PDS Biotechnology 2026-09-08 자금 조달 발표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TJGC 가격 이력 및 장중 고가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TJGC 2026-10-14 시가총액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TJGC SEC Form 6-K: 자사주 매입 프로그램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TJGC SEC 등록 공시: Nasdaq 상장 Class A Ordinary Shares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NAUT 가격 이력 및 장중 고가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NAUT 2026-10-14 시가총액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NAUT SEC Form 8-K: 보통주 및 ATM 계약</w:t>
        </w:r>
      </w:hyperlink>
    </w:p>
    <w:p>
      <w:r>
        <w:t>시장 정보 기준 시각: 2026년 10월 14일 종가. 문서 작성일: 2026년 10월 15일.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1441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22567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algun Gothic"/>
      <w:b/>
      <w:color w:val="142D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ckanalysis.com/stocks/pdsb/history/" TargetMode="External"/><Relationship Id="rId10" Type="http://schemas.openxmlformats.org/officeDocument/2006/relationships/hyperlink" Target="https://stockanalysis.com/stocks/pdsb/market-cap/" TargetMode="External"/><Relationship Id="rId11" Type="http://schemas.openxmlformats.org/officeDocument/2006/relationships/hyperlink" Target="https://www.globenewswire.com/news-release/2026/09/08/3357657/0/en/pds-biotech-announces-up-to-22-55-million-financing-led-by-dr-patrick-soon-shiong-founder-of-nantworks.html" TargetMode="External"/><Relationship Id="rId12" Type="http://schemas.openxmlformats.org/officeDocument/2006/relationships/hyperlink" Target="https://chartexchange.com/symbol/nasdaq-tjgc/historical/" TargetMode="External"/><Relationship Id="rId13" Type="http://schemas.openxmlformats.org/officeDocument/2006/relationships/hyperlink" Target="https://stockanalysis.com/stocks/tjgc/market-cap/" TargetMode="External"/><Relationship Id="rId14" Type="http://schemas.openxmlformats.org/officeDocument/2006/relationships/hyperlink" Target="https://www.sec.gov/Archives/edgar/data/1969928/000118518526004251/tjgc6k092426.htm" TargetMode="External"/><Relationship Id="rId15" Type="http://schemas.openxmlformats.org/officeDocument/2006/relationships/hyperlink" Target="https://www.sec.gov/Archives/edgar/data/1969928/000118518526003808/tjgcf3081926.htm" TargetMode="External"/><Relationship Id="rId16" Type="http://schemas.openxmlformats.org/officeDocument/2006/relationships/hyperlink" Target="https://chartexchange.com/symbol/nasdaq-naut/historical/" TargetMode="External"/><Relationship Id="rId17" Type="http://schemas.openxmlformats.org/officeDocument/2006/relationships/hyperlink" Target="https://stockanalysis.com/stocks/naut/market-cap/" TargetMode="External"/><Relationship Id="rId18" Type="http://schemas.openxmlformats.org/officeDocument/2006/relationships/hyperlink" Target="https://www.sec.gov/Archives/edgar/data/1808805/000180880526000041/naut-2026091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