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修改说明：审回意见第2条</w:t>
      </w:r>
    </w:p>
    <w:p>
      <w:r>
        <w:t>稿件编号：9953480</w:t>
        <w:br/>
        <w:t>论文题目：频率分离双流网络的非接触式心率检测</w:t>
        <w:br/>
        <w:t>本文件为本轮第2条意见的专项修改说明，后续可并入完整逐条回复。</w:t>
      </w:r>
    </w:p>
    <w:p>
      <w:pPr>
        <w:pStyle w:val="Heading1"/>
      </w:pPr>
      <w:r>
        <w:t>审稿意见</w:t>
      </w:r>
    </w:p>
    <w:p>
      <w:r>
        <w:t>第2.2节称σ=1.8对应4.2帧、140 ms，并在约0.52 Hz处达到50%衰减，该换算关系需严格核验。请给出考虑帧率、时间步长和多层重复滤波后的离散频率响应推导，并绘制实际幅频曲线，修正不一致的数值。</w:t>
      </w:r>
    </w:p>
    <w:p>
      <w:pPr>
        <w:pStyle w:val="Heading1"/>
      </w:pPr>
      <w:r>
        <w:t>回复与修改依据</w:t>
      </w:r>
    </w:p>
    <w:p>
      <w:r>
        <w:rPr>
          <w:color w:val="FF0000"/>
        </w:rPr>
        <w:t>感谢审稿专家指出时间尺度和频率响应说明中的问题。原稿将高斯尺度对应的特征采样点直接按原始视频帧率换算为时间，未充分区分时间压缩后的特征采样率；同时未明确“50%衰减”的幅值或功率定义，所列频率数值与稿件规定的有限离散核不一致。本次保持原实验结果不变，并依据作者确认用于论文评测的Epoch4检查点核验固定核参数，根据原实验检查点核对，慢、快流分解及低频路径平滑的核长均为K=5，保留σ=1.8/0.8、原始帧率30 Hz和慢/快流4倍/2倍时间压缩，重新推导和计算频率响应。</w:t>
      </w:r>
      <w:r>
        <w:rPr>
          <w:color w:val="FF0000"/>
        </w:rPr>
        <w:t>原稿以尺度参数推导核长的写法与原实验保存核不符，现更正为两流固定5点核；本次没有更换原模型滤波器或重新训练。</w:t>
      </w:r>
    </w:p>
    <w:p>
      <w:pPr>
        <w:pStyle w:val="Heading2"/>
      </w:pPr>
      <w:r>
        <w:t>1．补充有限离散核及采样间隔推导</w:t>
      </w:r>
    </w:p>
    <w:p>
      <w:r>
        <w:rPr>
          <w:color w:val="FF0000"/>
        </w:rPr>
        <w:t>修订第2.2.1节，以式(1)—式(3)明确归一化离散核、三维外积及分解方式；式(4)给出Δts=s/F0及Fs=F0/s；式(5)给出有限长离散核的频率响应，式(6)解释三维响应与空间零频率时间截面的关系。慢流K=5、Fs=7.5 Hz，快流K=5、Fs=15 Hz。补充说明：时间响应由核长、σ和分支采样率共同决定，空间与时间频率的物理单位不同。</w:t>
      </w:r>
    </w:p>
    <w:p>
      <w:pPr>
        <w:pStyle w:val="Heading2"/>
      </w:pPr>
      <w:r>
        <w:t>2．修正半高全宽及50%衰减的数值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t>分支</w:t>
            </w:r>
          </w:p>
        </w:tc>
        <w:tc>
          <w:tcPr>
            <w:tcW w:type="dxa" w:w="1928"/>
          </w:tcPr>
          <w:p>
            <w:r>
              <w:t>核长/采样率</w:t>
            </w:r>
          </w:p>
        </w:tc>
        <w:tc>
          <w:tcPr>
            <w:tcW w:type="dxa" w:w="1928"/>
          </w:tcPr>
          <w:p>
            <w:r>
              <w:t>解析半高全宽换算</w:t>
            </w:r>
          </w:p>
        </w:tc>
        <w:tc>
          <w:tcPr>
            <w:tcW w:type="dxa" w:w="1928"/>
          </w:tcPr>
          <w:p>
            <w:r>
              <w:t>幅值50%频率</w:t>
            </w:r>
          </w:p>
        </w:tc>
        <w:tc>
          <w:tcPr>
            <w:tcW w:type="dxa" w:w="1928"/>
          </w:tcPr>
          <w:p>
            <w:r>
              <w:t>功率50%频率</w:t>
            </w:r>
          </w:p>
        </w:tc>
      </w:tr>
      <w:tr>
        <w:tc>
          <w:tcPr>
            <w:tcW w:type="dxa" w:w="1928"/>
          </w:tcPr>
          <w:p>
            <w:r>
              <w:t>慢流</w:t>
            </w:r>
          </w:p>
        </w:tc>
        <w:tc>
          <w:tcPr>
            <w:tcW w:type="dxa" w:w="1928"/>
          </w:tcPr>
          <w:p>
            <w:r>
              <w:rPr>
                <w:color w:val="FF0000"/>
              </w:rPr>
              <w:t>K=5 / 7.5 Hz</w:t>
            </w:r>
          </w:p>
        </w:tc>
        <w:tc>
          <w:tcPr>
            <w:tcW w:type="dxa" w:w="1928"/>
          </w:tcPr>
          <w:p>
            <w:r>
              <w:t>4.239点 / 565 ms</w:t>
            </w:r>
          </w:p>
        </w:tc>
        <w:tc>
          <w:tcPr>
            <w:tcW w:type="dxa" w:w="1928"/>
          </w:tcPr>
          <w:p>
            <w:r>
              <w:rPr>
                <w:color w:val="FF0000"/>
              </w:rPr>
              <w:t>1.048 Hz</w:t>
            </w:r>
          </w:p>
        </w:tc>
        <w:tc>
          <w:tcPr>
            <w:tcW w:type="dxa" w:w="1928"/>
          </w:tcPr>
          <w:p>
            <w:r>
              <w:rPr>
                <w:color w:val="FF0000"/>
              </w:rPr>
              <w:t>0.765 Hz</w:t>
            </w:r>
          </w:p>
        </w:tc>
      </w:tr>
      <w:tr>
        <w:tc>
          <w:tcPr>
            <w:tcW w:type="dxa" w:w="1928"/>
          </w:tcPr>
          <w:p>
            <w:r>
              <w:t>快流</w:t>
            </w:r>
          </w:p>
        </w:tc>
        <w:tc>
          <w:tcPr>
            <w:tcW w:type="dxa" w:w="1928"/>
          </w:tcPr>
          <w:p>
            <w:r>
              <w:t>K=5 / 15 Hz</w:t>
            </w:r>
          </w:p>
        </w:tc>
        <w:tc>
          <w:tcPr>
            <w:tcW w:type="dxa" w:w="1928"/>
          </w:tcPr>
          <w:p>
            <w:r>
              <w:t>1.884点 / 126 ms</w:t>
            </w:r>
          </w:p>
        </w:tc>
        <w:tc>
          <w:tcPr>
            <w:tcW w:type="dxa" w:w="1928"/>
          </w:tcPr>
          <w:p>
            <w:r>
              <w:t>3.520 Hz</w:t>
            </w:r>
          </w:p>
        </w:tc>
        <w:tc>
          <w:tcPr>
            <w:tcW w:type="dxa" w:w="1928"/>
          </w:tcPr>
          <w:p>
            <w:r>
              <w:t>2.493 Hz</w:t>
            </w:r>
          </w:p>
        </w:tc>
      </w:tr>
    </w:tbl>
    <w:p>
      <w:r>
        <w:t>原稿中的慢流约140 ms、快流约63 ms分别更正为约565 ms和126 ms，并将“帧”明确为“特征采样点”。上述半高全宽来自未截断解析高斯，仅用于尺度量纲说明；有限离散核的截止特性以离散响应计算。原0.52 Hz和1.17 Hz不再作为两组核的50%衰减频率。幅值50%与功率50%分别定义为|H|=0.5和|H|²=0.5，对应约−6.02 dB和−3.01 dB。</w:t>
      </w:r>
    </w:p>
    <w:p>
      <w:pPr>
        <w:pStyle w:val="Heading2"/>
      </w:pPr>
      <w:r>
        <w:t>3．说明多层重复滤波的适用条件</w:t>
      </w:r>
    </w:p>
    <w:p>
      <w:r>
        <w:t>新增式(7)，说明相同采样率下的纯线性滤波器串联响应等于各层响应的乘积，相同核时为H的m次方。新增图2展示1、2、3、6次纯滤波的重复作用。每个FreqSepBlock包含分解滤波和低频路平滑，每条流3个块沿低频处理路径包含6处高斯滤波；但中间存在非线性编码、分支求和和跨流交互，故不将H³或H⁶表述为完整网络响应。上采样及输出阶段的平滑也不归入单个分解核的截止频率。</w:t>
      </w:r>
    </w:p>
    <w:p>
      <w:pPr>
        <w:pStyle w:val="Heading2"/>
      </w:pPr>
      <w:r>
        <w:t>4．绘制响应曲线并完成滤波算子数值核验</w:t>
      </w:r>
    </w:p>
    <w:p>
      <w:r>
        <w:rPr>
          <w:color w:val="FF0000"/>
        </w:rPr>
        <w:t>图2(a)(b)使用有限离散核系数直接计算慢、快流低通及残差响应；图2(c)(d)给出纯线性串联参考曲线。另直接使用Epoch4检查点保存的固定核系数，以空间恒定的合成正弦输入进行算子级数值核验，每条流12个频率点，每个序列128个特征采样点，比较单次及连续2、3次滤波，共72组幅值结果；使用CPU单精度计算，并剔除重复滤波的时空边界影响，以正弦/余弦及常数项最小二乘拟合幅值。理论曲线与数值输出的最大绝对幅值误差为4.99e-07，支持计算与滤波算子的一致性。</w:t>
      </w:r>
    </w:p>
    <w:p>
      <w:r>
        <w:rPr>
          <w:color w:val="FF0000"/>
        </w:rPr>
        <w:t>验证对象为使用原实验Epoch4检查点中所存核系数的高斯滤波算子及纯线性串联。该结果不是训练后完整网络的经验传递函数，也不替代心搏频带能量或运动泄漏分析；后者将在第3条意见中处理。完整数值结果及生成脚本随本轮材料提供。</w:t>
      </w:r>
    </w:p>
    <w:p>
      <w:pPr>
        <w:pStyle w:val="Heading2"/>
      </w:pPr>
      <w:r>
        <w:t>5．同步修正文中关联表述</w:t>
      </w:r>
    </w:p>
    <w:p>
      <w:r>
        <w:t>同步调整中英文摘要、第1.5节、第2.1节、第2.2节及第3.7.2节中将截止频率仅归因于σ或直接由0.5—3 Hz给出的表述；补充第2.2.2节中慢/快流低频路径的不同平滑尺度。第2.1节及第3.4节删除“平滑仅作用于上采样伪影”“心搏频带响应基本不变”的确定性解释，保留原消融数值，并限定其支持的结论范围。</w:t>
      </w:r>
    </w:p>
    <w:p>
      <w:pPr>
        <w:pStyle w:val="Heading1"/>
      </w:pPr>
      <w:r>
        <w:t>修改位置与核对</w:t>
      </w:r>
    </w:p>
    <w:p>
      <w:r>
        <w:rPr>
          <w:color w:val="FF0000"/>
        </w:rPr>
        <w:t>主要修改位于修订稿第2.2.1节、式(1)—式(7)及新增图2；关联修改包括中英文摘要、第1.5节、第2.1节、第2.2节引导段、第2.2.2节、第3.4节和第3.7.2节。原式(4)—式(9)顺延为式(8)—式(13)，对应文字引用同步更新。全部新写和修改内容直接标红，未使用修订模式。原表1—表9及其中数据保持不变，训练配置和实验指标未因本次频率换算核验而重新估计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