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color w:val="1F4E79"/>
          <w:sz w:val="40"/>
        </w:rPr>
        <w:t>식품 공장 로봇 자동화 시스템 아키텍처 설계 보고서</w:t>
      </w:r>
    </w:p>
    <w:p>
      <w:pPr>
        <w:jc w:val="center"/>
      </w:pPr>
      <w:r>
        <w:rPr>
          <w:rFonts w:ascii="맑은 고딕" w:hAnsi="맑은 고딕"/>
          <w:i/>
          <w:color w:val="787878"/>
          <w:sz w:val="24"/>
        </w:rPr>
        <w:t>지능형 3D 비전 피킹과 소프트 그리퍼 기반 고위생 협동로봇의 시스템 아키텍처 및 데이터 연동 모델</w:t>
      </w:r>
    </w:p>
    <w:p/>
    <w:p>
      <w:r>
        <w:rPr>
          <w:rFonts w:ascii="맑은 고딕" w:hAnsi="맑은 고딕"/>
        </w:rPr>
        <w:t>본 보고서는 식품 산업 특유의 비정형 식재료 가변성과 엄격한 위생 요구 조건(HACCP, IP69K)을 극복하기 위한 지능형 로봇 자동화 시스템 아키텍처 설계를 다룹니다. 기존 단일 태스크 기반 로봇 자동화를 넘어 AI 머신 비전, 적응형 그리퍼, 그리고 스마트 팩토리 상위 시스템(MES/SCADA)이 유기적으로 통신하는 3-Tier 아키텍처 모델을 제안합니다.</w:t>
      </w:r>
    </w:p>
    <w:p>
      <w:r>
        <w:rPr>
          <w:rFonts w:ascii="맑은 고딕" w:hAnsi="맑은 고딕"/>
          <w:b/>
          <w:color w:val="1F4E79"/>
          <w:sz w:val="28"/>
        </w:rPr>
        <w:t>Ⅰ. 통합 시스템 아키텍처 설계 (3-Tier 모델)</w:t>
      </w:r>
    </w:p>
    <w:p>
      <w:r>
        <w:rPr>
          <w:rFonts w:ascii="맑은 고딕" w:hAnsi="맑은 고딕"/>
          <w:b/>
          <w:sz w:val="24"/>
        </w:rPr>
        <w:t>1. 디바이스 레이어 (Device Layer - 현장 물리 계층)</w:t>
      </w:r>
    </w:p>
    <w:p>
      <w:r>
        <w:rPr>
          <w:rFonts w:ascii="맑은 고딕" w:hAnsi="맑은 고딕"/>
        </w:rPr>
        <w:t>- 로봇 시스템: IP69K 고위생 사양의 6축 협동 로봇 바디 및 식품 등급(NSF H1) 윤활 시스템 적용</w:t>
        <w:br/>
        <w:t>- 구동 엔드이펙터: FDA 인증 실리콘 기반 가변 압력 공압식 소프트 그리퍼 탑재</w:t>
        <w:br/>
        <w:t>- 센싱 및 비전: 컨베이어 상단에 고정된 고해상도 3D 깊이 센서(Depth Camera) 및 조명 시스템 구축</w:t>
      </w:r>
    </w:p>
    <w:p>
      <w:r>
        <w:rPr>
          <w:rFonts w:ascii="맑은 고딕" w:hAnsi="맑은 고딕"/>
          <w:b/>
          <w:sz w:val="24"/>
        </w:rPr>
        <w:t>2. 엣지 컨트롤 레이어 (Edge Control Layer - 실시간 제어 및 추론 계층)</w:t>
      </w:r>
    </w:p>
    <w:p>
      <w:r>
        <w:rPr>
          <w:rFonts w:ascii="맑은 고딕" w:hAnsi="맑은 고딕"/>
        </w:rPr>
        <w:t>- AI 비전 서버: 입력 3D 이미지를 분석하여 실시간으로 객체를 분할(Instance Segmentation)하고 파지 가능 포인트 계산</w:t>
        <w:br/>
        <w:t>- 로봇 컨트롤러(PLC/ROS2): AI 서버로부터 수신한 3차원 위치 데이터를 바탕으로 충돌 없는 모션 궤적 생성 및 공압 밸브 가변 제어</w:t>
        <w:br/>
        <w:t>- 안전 인터락 시스템: 세이프티 센서 레이저 스캐너 연동을 통한 인간-로봇 작업 구역 접근 제어</w:t>
      </w:r>
    </w:p>
    <w:p>
      <w:r>
        <w:rPr>
          <w:rFonts w:ascii="맑은 고딕" w:hAnsi="맑은 고딕"/>
          <w:b/>
          <w:sz w:val="24"/>
        </w:rPr>
        <w:t>3. 클라우드 및 모니터링 레이어 (Cloud &amp; SCADA Layer - 지휘 관리 계층)</w:t>
      </w:r>
    </w:p>
    <w:p>
      <w:r>
        <w:rPr>
          <w:rFonts w:ascii="맑은 고딕" w:hAnsi="맑은 고딕"/>
        </w:rPr>
        <w:t>- SCADA/디지털 트윈: 로봇의 가동 상태, 모터 온도, 공기압 상태, 일일 피킹 수량 등을 시각화 대시보드로 실시간 렌더링</w:t>
        <w:br/>
        <w:t>- 상위 시스템 연동: OPC-UA/MQTT 프로토콜을 통해 제조실행시스템(MES) 및 전사적자원관리(ERP)와 데이터 동기화</w:t>
      </w:r>
    </w:p>
    <w:p>
      <w:r>
        <w:rPr>
          <w:rFonts w:ascii="맑은 고딕" w:hAnsi="맑은 고딕"/>
          <w:b/>
          <w:color w:val="1F4E79"/>
          <w:sz w:val="28"/>
        </w:rPr>
        <w:t>Ⅱ. 실시간 데이터 프로세스 시퀀스</w:t>
      </w:r>
    </w:p>
    <w:p>
      <w:r>
        <w:rPr>
          <w:rFonts w:ascii="맑은 고딕" w:hAnsi="맑은 고딕"/>
        </w:rPr>
        <w:t>1단계: 컨베이어 벨트 위의 비정형 원재료 감지 (3D 카메라 센싱)</w:t>
        <w:br/>
        <w:t>2단계: AI 비전 서버가 실시간 객체 인식 및 최적의 파지각도(Roll, Pitch, Yaw) 매핑</w:t>
        <w:br/>
        <w:t>3단계: 로봇 컨트롤러로 모션 좌표 전송 및 충돌 최소화 최적 경로 계산</w:t>
        <w:br/>
        <w:t>4단계: 소프트 그리퍼 공압 공급 제어를 통한 안심 파지 및 정렬 대상 적재</w:t>
        <w:br/>
        <w:t>5단계: 작업 완료 데이터(성공 여부, 적재 횟수)를 스마트공장 MES 서버로 송신</w:t>
      </w:r>
    </w:p>
    <w:p>
      <w:r>
        <w:rPr>
          <w:rFonts w:ascii="맑은 고딕" w:hAnsi="맑은 고딕"/>
          <w:b/>
          <w:color w:val="1F4E79"/>
          <w:sz w:val="28"/>
        </w:rPr>
        <w:t>Ⅲ. 아키텍처 도입 시 기대 효과 목표치</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rFonts w:ascii="맑은 고딕" w:hAnsi="맑은 고딕"/>
                <w:b/>
              </w:rPr>
              <w:t>구분</w:t>
            </w:r>
          </w:p>
        </w:tc>
        <w:tc>
          <w:tcPr>
            <w:tcW w:type="dxa" w:w="2880"/>
            <w:shd w:val="clear" w:color="auto" w:fill="F2F2F2"/>
          </w:tcPr>
          <w:p>
            <w:r>
              <w:rPr>
                <w:rFonts w:ascii="맑은 고딕" w:hAnsi="맑은 고딕"/>
                <w:b/>
              </w:rPr>
              <w:t>기존 방식 (수작업/구형 설비)</w:t>
            </w:r>
          </w:p>
        </w:tc>
        <w:tc>
          <w:tcPr>
            <w:tcW w:type="dxa" w:w="2880"/>
            <w:shd w:val="clear" w:color="auto" w:fill="F2F2F2"/>
          </w:tcPr>
          <w:p>
            <w:r>
              <w:rPr>
                <w:rFonts w:ascii="맑은 고딕" w:hAnsi="맑은 고딕"/>
                <w:b/>
              </w:rPr>
              <w:t>제안 아키텍처 적용 후</w:t>
            </w:r>
          </w:p>
        </w:tc>
      </w:tr>
      <w:tr>
        <w:tc>
          <w:tcPr>
            <w:tcW w:type="dxa" w:w="2880"/>
          </w:tcPr>
          <w:p>
            <w:r>
              <w:rPr>
                <w:rFonts w:ascii="맑은 고딕" w:hAnsi="맑은 고딕"/>
                <w:sz w:val="19"/>
              </w:rPr>
              <w:t>시간당 생산량 (Throughput)</w:t>
            </w:r>
          </w:p>
        </w:tc>
        <w:tc>
          <w:tcPr>
            <w:tcW w:type="dxa" w:w="2880"/>
          </w:tcPr>
          <w:p>
            <w:r>
              <w:rPr>
                <w:rFonts w:ascii="맑은 고딕" w:hAnsi="맑은 고딕"/>
                <w:sz w:val="19"/>
              </w:rPr>
              <w:t>평균 600개 / 시간 (수작업 병목)</w:t>
            </w:r>
          </w:p>
        </w:tc>
        <w:tc>
          <w:tcPr>
            <w:tcW w:type="dxa" w:w="2880"/>
          </w:tcPr>
          <w:p>
            <w:r>
              <w:rPr>
                <w:rFonts w:ascii="맑은 고딕" w:hAnsi="맑은 고딕"/>
                <w:sz w:val="19"/>
              </w:rPr>
              <w:t>평균 1,800개 이상 / 시간 (3배 향상)</w:t>
            </w:r>
          </w:p>
        </w:tc>
      </w:tr>
      <w:tr>
        <w:tc>
          <w:tcPr>
            <w:tcW w:type="dxa" w:w="2880"/>
          </w:tcPr>
          <w:p>
            <w:r>
              <w:rPr>
                <w:rFonts w:ascii="맑은 고딕" w:hAnsi="맑은 고딕"/>
                <w:sz w:val="19"/>
              </w:rPr>
              <w:t>원재료 변형/손상율 (Defect Rate)</w:t>
            </w:r>
          </w:p>
        </w:tc>
        <w:tc>
          <w:tcPr>
            <w:tcW w:type="dxa" w:w="2880"/>
          </w:tcPr>
          <w:p>
            <w:r>
              <w:rPr>
                <w:rFonts w:ascii="맑은 고딕" w:hAnsi="맑은 고딕"/>
                <w:sz w:val="19"/>
              </w:rPr>
              <w:t>5.2% (강성 집게 또는 손상 발생)</w:t>
            </w:r>
          </w:p>
        </w:tc>
        <w:tc>
          <w:tcPr>
            <w:tcW w:type="dxa" w:w="2880"/>
          </w:tcPr>
          <w:p>
            <w:r>
              <w:rPr>
                <w:rFonts w:ascii="맑은 고딕" w:hAnsi="맑은 고딕"/>
                <w:sz w:val="19"/>
              </w:rPr>
              <w:t>0.1% 미만 (소프트 핑거 적용)</w:t>
            </w:r>
          </w:p>
        </w:tc>
      </w:tr>
      <w:tr>
        <w:tc>
          <w:tcPr>
            <w:tcW w:type="dxa" w:w="2880"/>
          </w:tcPr>
          <w:p>
            <w:r>
              <w:rPr>
                <w:rFonts w:ascii="맑은 고딕" w:hAnsi="맑은 고딕"/>
                <w:sz w:val="19"/>
              </w:rPr>
              <w:t>작업 교체 소요시간 (Changeover)</w:t>
            </w:r>
          </w:p>
        </w:tc>
        <w:tc>
          <w:tcPr>
            <w:tcW w:type="dxa" w:w="2880"/>
          </w:tcPr>
          <w:p>
            <w:r>
              <w:rPr>
                <w:rFonts w:ascii="맑은 고딕" w:hAnsi="맑은 고딕"/>
                <w:sz w:val="19"/>
              </w:rPr>
              <w:t>평균 40분 (비정형 품종 교체 시 핑거 교환)</w:t>
            </w:r>
          </w:p>
        </w:tc>
        <w:tc>
          <w:tcPr>
            <w:tcW w:type="dxa" w:w="2880"/>
          </w:tcPr>
          <w:p>
            <w:r>
              <w:rPr>
                <w:rFonts w:ascii="맑은 고딕" w:hAnsi="맑은 고딕"/>
                <w:sz w:val="19"/>
              </w:rPr>
              <w:t>5분 이내 (AI 비전 사전 세팅 소프트웨어 전환)</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