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color w:val="1F4E79"/>
          <w:sz w:val="40"/>
        </w:rPr>
        <w:t>식품 공장 로봇 자동화 최신 기술 도입 분석 보고서</w:t>
      </w:r>
    </w:p>
    <w:p>
      <w:pPr>
        <w:jc w:val="center"/>
      </w:pPr>
      <w:r>
        <w:rPr>
          <w:rFonts w:ascii="맑은 고딕" w:hAnsi="맑은 고딕"/>
          <w:i/>
          <w:color w:val="787878"/>
          <w:sz w:val="24"/>
        </w:rPr>
        <w:t>로봇 에이전트 도입을 위한 3대 핵심 기술 및 관련 연구 자료 분석</w:t>
      </w:r>
    </w:p>
    <w:p/>
    <w:p>
      <w:r>
        <w:rPr>
          <w:rFonts w:ascii="맑은 고딕" w:hAnsi="맑은 고딕"/>
        </w:rPr>
        <w:t>최근 식품 제조업계는 인구 감소로 인한 고령화, 심각한 인력난, 그리고 HACCP 등 위생 요구사항의 강화로 인해 급격한 로봇 자동화 전환기를 맞이하고 있습니다. 본 보고서는 최신 학술 논문 및 산업 분석 보고서 5종을 바탕으로 식품 공장에 즉시 적용할 수 있는 3대 핵심 로봇 기술을 도출하고 구체적인 도입 전략을 제시합니다.</w:t>
      </w:r>
    </w:p>
    <w:p>
      <w:r>
        <w:rPr>
          <w:rFonts w:ascii="맑은 고딕" w:hAnsi="맑은 고딕"/>
          <w:b/>
          <w:color w:val="1F4E79"/>
          <w:sz w:val="28"/>
        </w:rPr>
        <w:t>Ⅰ. 적용 가능한 3대 핵심 기술</w:t>
      </w:r>
    </w:p>
    <w:p>
      <w:r>
        <w:rPr>
          <w:rFonts w:ascii="맑은 고딕" w:hAnsi="맑은 고딕"/>
          <w:b/>
          <w:sz w:val="24"/>
        </w:rPr>
        <w:t>1. 식품 위생 규격 준수 소프트 로봇 그리퍼 기술</w:t>
      </w:r>
    </w:p>
    <w:p>
      <w:r>
        <w:rPr>
          <w:rFonts w:ascii="맑은 고딕" w:hAnsi="맑은 고딕"/>
        </w:rPr>
        <w:t>• 특징: 기존 금속 그리퍼의 단점을 극복하고, 유연 실리콘 및 정밀 가변 공압 제어 기술을 통해 비정형 식품(딸기, 빵, 계란 등)을 파손 없이 정렬 및 이송합니다.</w:t>
        <w:br/>
        <w:t>• 기대효과: 제품 표면 손상률 0% 달성 및 고속 컨베이어 벨트(1.2 m/s 이상)에서의 신속한 피킹 성공률 확보.</w:t>
      </w:r>
    </w:p>
    <w:p>
      <w:r>
        <w:rPr>
          <w:rFonts w:ascii="맑은 고딕" w:hAnsi="맑은 고딕"/>
          <w:b/>
          <w:sz w:val="24"/>
        </w:rPr>
        <w:t>2. AI 딥러닝 기반 3D 비전 및 무작위 피킹(Bin-Picking) 기술</w:t>
      </w:r>
    </w:p>
    <w:p>
      <w:r>
        <w:rPr>
          <w:rFonts w:ascii="맑은 고딕" w:hAnsi="맑은 고딕"/>
        </w:rPr>
        <w:t>• 특징: 3D 센서 및 깊이 카메라와 Mask R-CNN 알고리즘을 결합하여, 불규칙하게 적재되어 있거나 겹쳐 있는 원재료의 형상과 자세를 실시간 판독하여 최적의 경로로 집어 올립니다.</w:t>
        <w:br/>
        <w:t>• 기대효과: 원자재 세척 라인 투입 등 난공정 자동화 및 결함품 실시간 선별을 통한 품질 고도화.</w:t>
      </w:r>
    </w:p>
    <w:p>
      <w:r>
        <w:rPr>
          <w:rFonts w:ascii="맑은 고딕" w:hAnsi="맑은 고딕"/>
          <w:b/>
          <w:sz w:val="24"/>
        </w:rPr>
        <w:t>3. 고위생 규격(Washdown) 및 협동로봇(Cobot) 시스템</w:t>
      </w:r>
    </w:p>
    <w:p>
      <w:r>
        <w:rPr>
          <w:rFonts w:ascii="맑은 고딕" w:hAnsi="맑은 고딕"/>
        </w:rPr>
        <w:t>• 특징: 고온고압 온수 세척(IP69K 등급)이 가능한 위생 하우징 설계 및 인체 무해한 식품 등급 윤활유(NSF H1)를 사용하고 작업자 안전 센서를 장착해 좁은 조리/포장 공간에 유연하게 배치할 수 있는 안전 협동 로봇입니다.</w:t>
        <w:br/>
        <w:t>• 기대효과: 공정 내 안전지수 향상 및 조리 보조, 포장 상자 적재(팔레타이징)의 유연한 기계적 대체.</w:t>
      </w:r>
    </w:p>
    <w:p>
      <w:r>
        <w:rPr>
          <w:rFonts w:ascii="맑은 고딕" w:hAnsi="맑은 고딕"/>
          <w:b/>
          <w:color w:val="1F4E79"/>
          <w:sz w:val="28"/>
        </w:rPr>
        <w:t>Ⅱ. 수집 자료 요약 (최대 5선)</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F2F2F2"/>
          </w:tcPr>
          <w:p>
            <w:r>
              <w:rPr>
                <w:rFonts w:ascii="맑은 고딕" w:hAnsi="맑은 고딕"/>
                <w:b/>
              </w:rPr>
              <w:t>구분 / 출처</w:t>
            </w:r>
          </w:p>
        </w:tc>
        <w:tc>
          <w:tcPr>
            <w:tcW w:type="dxa" w:w="2880"/>
            <w:shd w:val="clear" w:color="auto" w:fill="F2F2F2"/>
          </w:tcPr>
          <w:p>
            <w:r>
              <w:rPr>
                <w:rFonts w:ascii="맑은 고딕" w:hAnsi="맑은 고딕"/>
                <w:b/>
              </w:rPr>
              <w:t>핵심 기술요소</w:t>
            </w:r>
          </w:p>
        </w:tc>
        <w:tc>
          <w:tcPr>
            <w:tcW w:type="dxa" w:w="2880"/>
            <w:shd w:val="clear" w:color="auto" w:fill="F2F2F2"/>
          </w:tcPr>
          <w:p>
            <w:r>
              <w:rPr>
                <w:rFonts w:ascii="맑은 고딕" w:hAnsi="맑은 고딕"/>
                <w:b/>
              </w:rPr>
              <w:t>주요 성과 및 활용처</w:t>
            </w:r>
          </w:p>
        </w:tc>
      </w:tr>
      <w:tr>
        <w:tc>
          <w:tcPr>
            <w:tcW w:type="dxa" w:w="2880"/>
          </w:tcPr>
          <w:p>
            <w:r>
              <w:rPr>
                <w:rFonts w:ascii="맑은 고딕" w:hAnsi="맑은 고딕"/>
                <w:sz w:val="19"/>
              </w:rPr>
              <w:t>자료 1</w:t>
              <w:br/>
              <w:t>[학술논문]</w:t>
              <w:br/>
              <w:t>한국생산기술연구원 (2024)</w:t>
            </w:r>
          </w:p>
        </w:tc>
        <w:tc>
          <w:tcPr>
            <w:tcW w:type="dxa" w:w="2880"/>
          </w:tcPr>
          <w:p>
            <w:r>
              <w:rPr>
                <w:rFonts w:ascii="맑은 고딕" w:hAnsi="맑은 고딕"/>
                <w:sz w:val="19"/>
              </w:rPr>
              <w:t>식품용 다지 소프트 그리퍼</w:t>
              <w:br/>
              <w:t>FDA 인증 실리콘 및 압력 감지 센서</w:t>
            </w:r>
          </w:p>
        </w:tc>
        <w:tc>
          <w:tcPr>
            <w:tcW w:type="dxa" w:w="2880"/>
          </w:tcPr>
          <w:p>
            <w:r>
              <w:rPr>
                <w:rFonts w:ascii="맑은 고딕" w:hAnsi="맑은 고딕"/>
                <w:sz w:val="19"/>
              </w:rPr>
              <w:t>과채류/제과 등 비정형 식품의 고속 파지 및 파손 없는 이동</w:t>
            </w:r>
          </w:p>
        </w:tc>
      </w:tr>
      <w:tr>
        <w:tc>
          <w:tcPr>
            <w:tcW w:type="dxa" w:w="2880"/>
          </w:tcPr>
          <w:p>
            <w:r>
              <w:rPr>
                <w:rFonts w:ascii="맑은 고딕" w:hAnsi="맑은 고딕"/>
                <w:sz w:val="19"/>
              </w:rPr>
              <w:t>자료 2</w:t>
              <w:br/>
              <w:t>[학술논문]</w:t>
              <w:br/>
              <w:t>서울대학교 (2025)</w:t>
            </w:r>
          </w:p>
        </w:tc>
        <w:tc>
          <w:tcPr>
            <w:tcW w:type="dxa" w:w="2880"/>
          </w:tcPr>
          <w:p>
            <w:r>
              <w:rPr>
                <w:rFonts w:ascii="맑은 고딕" w:hAnsi="맑은 고딕"/>
                <w:sz w:val="19"/>
              </w:rPr>
              <w:t>AI 기반 3D 비전 및 3D 점구름 매핑</w:t>
              <w:br/>
              <w:t>무작위 적재 적합 빈피킹 경로 설정</w:t>
            </w:r>
          </w:p>
        </w:tc>
        <w:tc>
          <w:tcPr>
            <w:tcW w:type="dxa" w:w="2880"/>
          </w:tcPr>
          <w:p>
            <w:r>
              <w:rPr>
                <w:rFonts w:ascii="맑은 고딕" w:hAnsi="맑은 고딕"/>
                <w:sz w:val="19"/>
              </w:rPr>
              <w:t>원자재 세척기 투입, 고속 선별 및 분류 공정 자동화</w:t>
            </w:r>
          </w:p>
        </w:tc>
      </w:tr>
      <w:tr>
        <w:tc>
          <w:tcPr>
            <w:tcW w:type="dxa" w:w="2880"/>
          </w:tcPr>
          <w:p>
            <w:r>
              <w:rPr>
                <w:rFonts w:ascii="맑은 고딕" w:hAnsi="맑은 고딕"/>
                <w:sz w:val="19"/>
              </w:rPr>
              <w:t>자료 3</w:t>
              <w:br/>
              <w:t>[산업보고서]</w:t>
              <w:br/>
              <w:t>한국로봇산업진흥원 (2025)</w:t>
            </w:r>
          </w:p>
        </w:tc>
        <w:tc>
          <w:tcPr>
            <w:tcW w:type="dxa" w:w="2880"/>
          </w:tcPr>
          <w:p>
            <w:r>
              <w:rPr>
                <w:rFonts w:ascii="맑은 고딕" w:hAnsi="맑은 고딕"/>
                <w:sz w:val="19"/>
              </w:rPr>
              <w:t>식품공정 로봇 플러스 실증사업</w:t>
              <w:br/>
              <w:t>6축 협동로봇 표준공정 구축사례</w:t>
            </w:r>
          </w:p>
        </w:tc>
        <w:tc>
          <w:tcPr>
            <w:tcW w:type="dxa" w:w="2880"/>
          </w:tcPr>
          <w:p>
            <w:r>
              <w:rPr>
                <w:rFonts w:ascii="맑은 고딕" w:hAnsi="맑은 고딕"/>
                <w:sz w:val="19"/>
              </w:rPr>
              <w:t>튀김, 건조, 밀키트 정량 배분 및 포장 공정 생산성 3.2배 향상</w:t>
            </w:r>
          </w:p>
        </w:tc>
      </w:tr>
      <w:tr>
        <w:tc>
          <w:tcPr>
            <w:tcW w:type="dxa" w:w="2880"/>
          </w:tcPr>
          <w:p>
            <w:r>
              <w:rPr>
                <w:rFonts w:ascii="맑은 고딕" w:hAnsi="맑은 고딕"/>
                <w:sz w:val="19"/>
              </w:rPr>
              <w:t>자료 4</w:t>
              <w:br/>
              <w:t>[해외학술논문]</w:t>
              <w:br/>
              <w:t>EHEDG Group (2023)</w:t>
            </w:r>
          </w:p>
        </w:tc>
        <w:tc>
          <w:tcPr>
            <w:tcW w:type="dxa" w:w="2880"/>
          </w:tcPr>
          <w:p>
            <w:r>
              <w:rPr>
                <w:rFonts w:ascii="맑은 고딕" w:hAnsi="맑은 고딕"/>
                <w:sz w:val="19"/>
              </w:rPr>
              <w:t>IP69K 등급 방수/방진 구조 설계</w:t>
              <w:br/>
              <w:t>식품 등급 NSF H1 윤활제 활용 규격</w:t>
            </w:r>
          </w:p>
        </w:tc>
        <w:tc>
          <w:tcPr>
            <w:tcW w:type="dxa" w:w="2880"/>
          </w:tcPr>
          <w:p>
            <w:r>
              <w:rPr>
                <w:rFonts w:ascii="맑은 고딕" w:hAnsi="맑은 고딕"/>
                <w:sz w:val="19"/>
              </w:rPr>
              <w:t>소스, 가공유 등 고온다습 가혹 환경 내 위생 검증 및 잔류 세균 방지</w:t>
            </w:r>
          </w:p>
        </w:tc>
      </w:tr>
      <w:tr>
        <w:tc>
          <w:tcPr>
            <w:tcW w:type="dxa" w:w="2880"/>
          </w:tcPr>
          <w:p>
            <w:r>
              <w:rPr>
                <w:rFonts w:ascii="맑은 고딕" w:hAnsi="맑은 고딕"/>
                <w:sz w:val="19"/>
              </w:rPr>
              <w:t>자료 5</w:t>
              <w:br/>
              <w:t>[산업보고서]</w:t>
              <w:br/>
              <w:t>농림축산식품부 (2025)</w:t>
            </w:r>
          </w:p>
        </w:tc>
        <w:tc>
          <w:tcPr>
            <w:tcW w:type="dxa" w:w="2880"/>
          </w:tcPr>
          <w:p>
            <w:r>
              <w:rPr>
                <w:rFonts w:ascii="맑은 고딕" w:hAnsi="맑은 고딕"/>
                <w:sz w:val="19"/>
              </w:rPr>
              <w:t>K-푸드 디지털 전환(DX) 연계 AX</w:t>
              <w:br/>
              <w:t>초분광 검출기 및 지능화 품질 검사</w:t>
            </w:r>
          </w:p>
        </w:tc>
        <w:tc>
          <w:tcPr>
            <w:tcW w:type="dxa" w:w="2880"/>
          </w:tcPr>
          <w:p>
            <w:r>
              <w:rPr>
                <w:rFonts w:ascii="맑은 고딕" w:hAnsi="맑은 고딕"/>
                <w:sz w:val="19"/>
              </w:rPr>
              <w:t>포장 밀봉 검사 전수 자동화, 제조 공정 데이터 연계 모니터링</w:t>
            </w:r>
          </w:p>
        </w:tc>
      </w:tr>
    </w:tbl>
    <w:p/>
    <w:p>
      <w:r>
        <w:rPr>
          <w:rFonts w:ascii="맑은 고딕" w:hAnsi="맑은 고딕"/>
          <w:b/>
          <w:color w:val="1F4E79"/>
          <w:sz w:val="28"/>
        </w:rPr>
        <w:t>Ⅲ. 결론 및 로봇에이전트 도입 제언</w:t>
      </w:r>
    </w:p>
    <w:p>
      <w:r>
        <w:rPr>
          <w:rFonts w:ascii="맑은 고딕" w:hAnsi="맑은 고딕"/>
        </w:rPr>
        <w:t>식품공장 로봇 자동화는 제품의 유연성과 위생 확보가 성공의 열쇠입니다. 본 조사 분석 결과를 기반으로, 로봇에이전트는 첫째, 식품 위생과 방수 규격(IP69K)을 충족하는 최신 협동 로봇을 주축으로 도입하고, 둘째, 파손 위험이 높은 원자재 핸들링을 위해 센서 피드백을 동반한 소프트 그리퍼를 적용하며, 셋째, 3D 비전 카메라와 딥러닝 피킹 알고리즘을 연결하는 것이 투자 대비 효과를 극대화하는 방안입니다. 국가 보조금 및 스마트 제조 고도화 지원 혜택을 연계한다면 구축 비용 절감과 함께 성공적인 디지털 혁신이 가능할 것으로 사료됩니다.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