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i w:val="0"/>
          <w:color w:val="7A5A00"/>
          <w:sz w:val="20"/>
        </w:rPr>
        <w:t>技术验证报告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48"/>
        </w:rPr>
        <w:t>编码器周期角度误差 LUT</w:t>
        <w:br/>
        <w:t>Stage 2 与 Stage 3 详细报告</w:t>
      </w:r>
    </w:p>
    <w:p>
      <w:pPr>
        <w:spacing w:after="360"/>
      </w:pPr>
      <w:r>
        <w:rPr>
          <w:rFonts w:ascii="Calibri" w:hAnsi="Calibri" w:eastAsia="Microsoft YaHei"/>
          <w:color w:val="667085"/>
          <w:sz w:val="27"/>
        </w:rPr>
        <w:t>Scheme 4 流式充分统计量 vs. Scheme 5 二维非线性更新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cantSplit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报告日期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2026-08-19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 2 正式运行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stage2_20260818_221202_329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 3 正式运行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stage3_20260818_234502_642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基线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 1 PASS / 20 kHz / p=21 / N=1024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1300"/>
        <w:gridCol w:w="6560"/>
      </w:tblGrid>
      <w:tr>
        <w:trPr>
          <w:cantSplit w:val="true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正式状态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结论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 2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PASS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完整范围：8×M64 + 8×M128 + 8 漂移 + 32 冻结配对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Stage 3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FAIL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20"/>
              </w:rPr>
              <w:t>训练收敛，但 ±5 rad/s 的 LUT 漂移超过 0.5°e 门槛并早停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Stage 2 已证明基于 z 的 Scheme 4 可以稳定辨识并冻结补偿；Stage 3 也证明 Scheme 5 会随融合次数持续改善并在训练工况收敛，但其低速跨工况一致性不足，因此 FAIL 不是“没有学会”，而是“学到的表在 ±5 rad/s 时发生了不可接受的速度相关漂移”。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技术摘要：Stage 2 可交付，Stage 3 需解决低速不变性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2 正式结果为 PASS / FULL_STAGE2。114 项测试全部通过，8 个 M64 与 8 个 M128 训练结果覆盖率均为 100%，32 个冻结配对全部完成。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2 的主组合波形 M64 active LUT RMSE 为 0.304°e，零表到 active 的 LUT RMSE 改善为 96.94%；最大跨工况漂移仅 0.239°e，小于 0.5°e。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3 的 8 个 M64、8 个 M128、16 个诊断幅值模式和 8 个 profile 冻结配对均完成，117 项测试全通过；主组合波形 active LUT RMSE 为 0.438°e。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3 在 condition_drift 阶段失败：-5 rad/s 漂移 0.650°e，+5 rad/s 漂移 0.766°e，均超过 0.5°e。由于 gate 规定失败立即早停，后续敏感度与 24 个完整冻结验证未执行。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学习演化证据明确：Scheme 5 active LUT RMSE 从第 1 次融合的 8.426°e 降到第 18 次的 0.438°e；相对零表改善从 15.23% 提高到 95.59%。</w:t>
      </w:r>
    </w:p>
    <w:p>
      <w:pPr>
        <w:pStyle w:val="Heading2"/>
      </w:pPr>
      <w:r>
        <w:t>阅读导航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2600"/>
        <w:gridCol w:w="586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主题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1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证据范围与指标定义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明确哪些结论来自正式 gate、哪些属于诊断推断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两种学习方案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说明 Scheme 4 与 Scheme 5 的输入、更新和控制反馈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3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Gate 修订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解释 60% 或量化地板分支为什么必要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4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Stage 2 结果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展示训练、冻结、漂移和工程完整性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5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Stage 3 结果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展示学习随时间改善、LUT 线条和 Scheme 4/5 对比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6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Stage 3 FAIL 根因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量化低速漂移、区分已证事实与待验证机制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7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建议与复现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给出不放宽门槛的下一步实验顺序</w:t>
            </w:r>
          </w:p>
        </w:tc>
      </w:tr>
    </w:tbl>
    <w:p>
      <w:pPr>
        <w:spacing w:after="0"/>
      </w:pPr>
    </w:p>
    <w:p>
      <w:pPr>
        <w:pStyle w:val="Heading1"/>
      </w:pPr>
      <w:r>
        <w:t>1. 证据范围、数据与指标定义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202B38"/>
          <w:sz w:val="22"/>
        </w:rPr>
        <w:t>本报告只使用</w:t>
      </w:r>
      <w:r>
        <w:rPr>
          <w:rFonts w:ascii="Calibri" w:hAnsi="Calibri" w:eastAsia="Microsoft YaHei"/>
          <w:i w:val="0"/>
          <w:color w:val="202B38"/>
          <w:sz w:val="22"/>
        </w:rPr>
        <w:t>正式 Stage 2/3 结果目录中的 gate.json、metrics.csv、result.json、run_manifest.json、训练/冻结指标和自动报告图。真值只用于训练完成后的评价；算法更新器没有读取 truth、plant voltage 或注入误差。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rPr>
          <w:cantSplit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shadow LUT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学习器当前估计表。它反映最新学习结果，但不直接驱动控制。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active LUT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shadow 经过幅值/单调等约束，并以 gamma=0.2 慢融合后的控制表。控制角使用它。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zero LUT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全零补偿表，即未补偿基线。用于计算 LUT RMSE 改善率。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evaluation truth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注入的真实角误差，只在更新结束后评分，不进入学习或门控。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control-angle RMSE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修正后的控制电角与真实电角之间的 RMS 误差，单位 deg_e。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LUT drift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独立工况学习出的 shadow LUT 与主训练 LUT 的圆周 RMS 差。Stage 2/3 门槛均为 &lt;0.5°e。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改善率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1 - metric_active_on / metric_active_off。正数表示改善；iq tracking change 为变化率，负数表示误差下降。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解释边界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Stage 3 的 FAIL 是正式的描述性验证结论：两个低速独立 LUT 与主 LUT 的差超过预注册门槛。关于“为什么低速会漂移”的算法机制属于诊断推断；由于早停使 sensitivity_count=0，尚不能把某个单一非理想因素定性为唯一根因。</w:t>
            </w:r>
          </w:p>
        </w:tc>
      </w:tr>
    </w:tbl>
    <w:p>
      <w:pPr>
        <w:spacing w:after="40"/>
      </w:pPr>
    </w:p>
    <w:p>
      <w:pPr>
        <w:pStyle w:val="Heading1"/>
      </w:pPr>
      <w:r>
        <w:t>2. 两种学习方案如何工作</w:t>
      </w:r>
    </w:p>
    <w:p>
      <w:pPr>
        <w:pStyle w:val="Heading2"/>
      </w:pPr>
      <w:r>
        <w:t>2.1 Stage 2 / Scheme 4：从 z 流式积累正规方程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Scheme 4 的单样本输入为原始机械角 φ、伪测量角 z、质量权重 χ、解缠机械角和时间戳。每个样本只更新两个相邻周期节点对应的固定尺寸充分统计量；不保存样本历史。达到覆盖、权重和累计行程条件后，先用 mldivide 产生参考解，再用固定循环带状求解器求 shadow。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E20  z̃ = unwrap_local(z | hᵀ·shadow)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以当前 shadow 的局部预测为分支中心，避免 atan2 的 ±π 跳变污染统计量。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E21  A ← A + χhhᵀ,   b ← b + χhz̃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每次只影响周期线性插值的两个节点；A、b、节点权重、访问次数和行程均为固定尺寸状态。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E22  shadow = arg min ||Hw-z̃||²χ + λs||D²w||² + λ0||w-wprior||²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shadow 经约束处理后以 gamma=0.2 融入 active，单次 active 节点变化不超过 2°e。</w:t>
            </w:r>
          </w:p>
        </w:tc>
      </w:tr>
    </w:tbl>
    <w:p>
      <w:pPr>
        <w:spacing w:after="0"/>
      </w:pPr>
    </w:p>
    <w:p>
      <w:pPr>
        <w:pStyle w:val="Heading2"/>
      </w:pPr>
      <w:r>
        <w:t>2.2 Stage 3 / Scheme 5：用二维残差切向分量做非线性局部更新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Scheme 5 不再把 atan2 得到的 z 作为学习目标，而是直接使用统一残差 y=[yd,yq]。正式主路固定 Rs/Ls/ψf，采用 nominal_model 幅值；measured_magnitude 与 direction_normalized 仅作诊断，不能在看过真值后替换主路。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E30  δ̂=hᵀ·shadow;  â=Ts·ψf·|ω̂e|/Ls;  ŷ=â[sinδ̂, cosδ̂]ᵀ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LUT 给出角度 δ̂，名义电机模型给出残差幅值 â。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E31  t=ed·cosδ̂-eq·sinδ̂;  n=ed·sinδ̂+eq·cosδ̂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t 是沿角度变化方向的切向误差，用于 LUT 更新；n 仅作径向诊断。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E32  w̃←w+μ5·χ·(â·t)/(ε5+â²||h||²)·h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μ5=0.01，ε5=0.01 A²；正号更新，且单样本只改两个局部 shadow 节点。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控制链隔离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两阶段都保持 raw identification frame 不变：原始机械角/电角进入残差与学习；只有 active LUT 经过周期插值后从控制角中相减。active 关闭时与上一级 harness 数值等价。</w:t>
            </w:r>
          </w:p>
        </w:tc>
      </w:tr>
    </w:tbl>
    <w:p>
      <w:pPr>
        <w:spacing w:after="40"/>
      </w:pPr>
    </w:p>
    <w:p>
      <w:pPr>
        <w:pStyle w:val="Heading1"/>
      </w:pPr>
      <w:r>
        <w:t>3. Gate 修订：60% 或量化地板，不是降低所有要求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编码器 1024 机械计数、21 极对导致每个机械计数对应 7.382812°e。均匀量化的理论 RMS 地板为 2.131234°e；加 0.10°e 余量后，地板分支阈值为 2.231234°e。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2200"/>
        <w:gridCol w:w="2300"/>
        <w:gridCol w:w="3160"/>
      </w:tblGrid>
      <w:tr>
        <w:trPr>
          <w:cantSplit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案例类型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门槛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记录分支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目的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理想非零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改善 ≥60%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percentage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达到比例目标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理想非零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active RMSE ≤2.231234°e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quantization_floor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已触及编码器可解释地板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fixed-zero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不判断百分比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fixed_zero_exempt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零误差时分母过小，百分比无意义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非理想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改善 ≥50%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percentage only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不允许使用地板例外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该变更是用户授权、版本化且只对新运行生效。旧的 Stage 2 FAIL 结果没有被覆盖或改写；其他求解器、精度、安全、冻结和漂移门槛保持不变。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为什么 periodic 2× 可以低于 60% 仍通过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Stage 2 的 periodic_2x 改善为 56.80%，Stage 3 为 56.38%，但 active 控制角 RMSE 分别约 2.14°e 和 2.16°e，均低于 2.231234°e，因此使用 quantization_floor 分支。它们不是被忽略，而是已经达到编码器量化所允许的误差地板。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Stage 2：Scheme 4 完整通过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202B38"/>
          <w:sz w:val="22"/>
        </w:rPr>
        <w:t>Stage 2 的正式结果是完整范围 PASS。</w:t>
      </w:r>
      <w:r>
        <w:rPr>
          <w:rFonts w:ascii="Calibri" w:hAnsi="Calibri" w:eastAsia="Microsoft YaHei"/>
          <w:i w:val="0"/>
          <w:color w:val="202B38"/>
          <w:sz w:val="22"/>
        </w:rPr>
        <w:t>所有训练、求解器、跨工况漂移、冻结控制、安全约束和报告工件均闭合；其结果可作为 Stage 3 的前置输入。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Stage 2 正式结果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正式状态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PASS / FULL_STAGE2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训练规模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8 个 M64 + 8 个 M128，同流重放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冻结验证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32 组 active-off/on（理想 16，非理想 15，饱和 1）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测试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114 PASS / 0 FAIL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求解器最大相对差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2.854e-16（门槛 1e-9）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最小 rcond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0.160（门槛 1e-8）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主 M64 active RMSE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0.304°e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最大跨工况漂移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0.239°e（门槛 &lt;0.5°e）</w:t>
            </w:r>
          </w:p>
        </w:tc>
      </w:tr>
    </w:tbl>
    <w:p>
      <w:pPr>
        <w:spacing w:after="0"/>
      </w:pPr>
    </w:p>
    <w:p>
      <w:pPr>
        <w:pStyle w:val="Heading2"/>
      </w:pPr>
      <w:r>
        <w:t>4.1 LUT 对比图：三条线分别代表什么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黑色线是注入误差的 evaluation reference，只在训练完成后用于评分；蓝色线是最新 shadow 解；橙色线是经过约束和慢融合、实际可送入控制器的 active 表。黑线与学习器数据流物理隔离，因此蓝/橙线贴近黑线证明的是盲辨识效果，不是真值回灌。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09669"/>
            <wp:docPr id="1" name="Picture 1" descr="Stage 2 LUT 曲线：黑色评价真值、蓝色 shadow、橙色 active，三者在完整机械周期上高度贴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t_truth_shadow_a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1  Stage 2 主组合波形的真值、shadow 与 active LUT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2 正式报告工件；truth 仅用于 evaluation。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active 与 shadow 不完全重合是预期行为：active 每次只融合 shadow 的 20%，且单节点每次最多变化 2°e。该滞后用于避免控制补偿突跳。最终主组合波形 shadow RMSE 为 0.256°e，active RMSE 为 0.304°e，active 最大节点误差为 0.481°e。</w:t>
      </w:r>
    </w:p>
    <w:p>
      <w:r>
        <w:br w:type="page"/>
      </w:r>
    </w:p>
    <w:p>
      <w:pPr>
        <w:pStyle w:val="Heading2"/>
      </w:pPr>
      <w:r>
        <w:t>4.2 八条 M64 训练均覆盖完整且稳定求解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50"/>
        <w:gridCol w:w="1400"/>
        <w:gridCol w:w="1400"/>
        <w:gridCol w:w="1500"/>
        <w:gridCol w:w="1100"/>
        <w:gridCol w:w="1810"/>
      </w:tblGrid>
      <w:tr>
        <w:trPr>
          <w:cantSplit w:val="true"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训练波形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shadow RMSE °e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active RMSE °e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相对零表改善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求解次数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fixed_00deg_e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0.257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0.253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fixed-zero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fixed_05deg_e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0.256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0.325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93.49%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fixed_10deg_e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0.255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0.393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96.07%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fixed_20deg_e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0.253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0.788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96.06%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18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periodic_constant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0.256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0.380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95.45%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periodic_1x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0.280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96.85%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periodic_2x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0.256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94.23%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periodic_combined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0.256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0.304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96.94%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18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fixed-zero 的“相对零表改善”为负并不表示算法失稳：零表本来就是真值，任何非零估计都会使相对比例失真。因此 fixed-zero 使用绝对 LUT RMSE 门槛，最终 active RMSE 为 0.253°e，满足 ≤0.5°e。</w:t>
      </w:r>
    </w:p>
    <w:p>
      <w:pPr>
        <w:pStyle w:val="Heading2"/>
      </w:pPr>
      <w:r>
        <w:t>4.3 冻结控制：控制角被压到约 2.14–2.26°e 的量化地板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每条 LUT 学完后均在独立仿真中做 active-off/on 配对。下图使用同一横轴展示补偿前后控制角 RMSE；浅蓝区为 2.231234°e 的地板阈值。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11500"/>
            <wp:docPr id="2" name="Picture 2" descr="两个面板的哑铃图对比 active 关闭与开启的控制角 RMSE，开启后均收敛到约 2.2 度电角附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stage3_control_angle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2  Stage 2 与 Stage 3 八个 profile 的独立冻结控制角 RMSE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来源：两次正式运行的 profile_freeze/pair_metrics.json；图由本报告重新汇总。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1200"/>
        <w:gridCol w:w="1200"/>
        <w:gridCol w:w="1300"/>
        <w:gridCol w:w="3460"/>
      </w:tblGrid>
      <w:tr>
        <w:trPr>
          <w:cantSplit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2 profile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off °e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on °e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改善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Gate 分支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fixed_00deg_e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2.130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2.138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-0.37%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fixed_zero_exempt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fixed_05deg_e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5.371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2.147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60.02%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fixed_10deg_e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10.168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2.159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78.77%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fixed_20deg_e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20.040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2.255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88.74%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periodic_1x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9.449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2.143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77.32%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periodic_2x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4.955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2.141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56.80%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quantization_floor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periodic_combined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11.277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2.151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80.93%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periodic_constant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8.545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2.159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74.73%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percentage</w:t>
            </w:r>
          </w:p>
        </w:tc>
      </w:tr>
    </w:tbl>
    <w:p>
      <w:pPr>
        <w:spacing w:after="0"/>
      </w:pPr>
    </w:p>
    <w:p>
      <w:pPr>
        <w:pStyle w:val="Heading2"/>
      </w:pPr>
      <w:r>
        <w:t>4.4 跨方向、速度与负载 LUT 漂移全部小于 0.5°e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Stage 2 的 8 条独立 shadow LUT 与主组合 LUT 的差均低于门槛。最大值出现在 load 2 Nm，为 0.239°e；速度项最大约 0.085°e，说明 Scheme 4 的结果对速度与方向较稳定。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32273"/>
            <wp:docPr id="3" name="Picture 3" descr="Stage 2 八个跨工况漂移柱均明显低于 0.5 度电角门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speed_load_dri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3  Stage 2 的方向、速度和负载一致性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2 正式报告工件；红线为 0.5°e gate。</w:t>
      </w:r>
    </w:p>
    <w:p>
      <w:r>
        <w:br w:type="page"/>
      </w:r>
    </w:p>
    <w:p>
      <w:pPr>
        <w:pStyle w:val="Heading2"/>
      </w:pPr>
      <w:r>
        <w:t>4.5 Stage 2 的历史失败与修复链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0"/>
        <w:gridCol w:w="1400"/>
        <w:gridCol w:w="5410"/>
      </w:tblGrid>
      <w:tr>
        <w:trPr>
          <w:cantSplit w:val="true"/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节点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stage2_20260818_194629_441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FAIL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旧协议要求理想控制角改善 ≥70%，fixed 5° 仅约 60.05%。结果保留不改。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协议 v2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版本化修订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用户授权 60% 或量化地板+0.10°e；fixed-zero 豁免，非理想仍为 50%。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stage2_20260818_214347_814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FAIL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发现 active-on 平衡初始化仍用未补偿控制帧，fixed 20° 配对的平均转矩可比性失真。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D014 修复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实现修复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冻结 active-on 按实际量化角减 frozen LUT 建立平衡初值；不改控制器、LUT、门槛或评价窗。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stage2_20260818_221202_329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完整训练、漂移和 32 组冻结配对通过。</w:t>
            </w:r>
          </w:p>
        </w:tc>
      </w:tr>
    </w:tbl>
    <w:p>
      <w:pPr>
        <w:spacing w:after="0"/>
      </w:pPr>
    </w:p>
    <w:p>
      <w:pPr>
        <w:pStyle w:val="Heading1"/>
      </w:pPr>
      <w:r>
        <w:t>5. Stage 3：学习收敛，但跨工况不变性失败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202B38"/>
          <w:sz w:val="22"/>
        </w:rPr>
        <w:t>Stage 3 的训练阶段不是失败点。</w:t>
      </w:r>
      <w:r>
        <w:rPr>
          <w:rFonts w:ascii="Calibri" w:hAnsi="Calibri" w:eastAsia="Microsoft YaHei"/>
          <w:i w:val="0"/>
          <w:color w:val="202B38"/>
          <w:sz w:val="22"/>
        </w:rPr>
        <w:t>八条 nominal M64、八条 M128 同流扫描和两个诊断幅值模式均有限、覆盖完整且满足安全约束；八个 profile 冻结控制也通过。正式 FAIL 发生在随后的 condition_drift gate。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Stage 3 正式结果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正式 gate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FAIL / BOUNDED_OR_PARTIAL_STAGE3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已完成训练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M64 8，M128 8，诊断模式 16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已完成冻结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profile pair 8；完整验证矩阵因早停未运行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测试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117 PASS / 0 FAIL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主 M64 active RMSE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0.438°e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主 M128 active RMSE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0.456°e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最大跨工况漂移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0.766°e（门槛 &lt;0.5°e）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早停位置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9"/>
              </w:rPr>
              <w:t>condition_drift</w:t>
            </w:r>
          </w:p>
        </w:tc>
      </w:tr>
    </w:tbl>
    <w:p>
      <w:pPr>
        <w:spacing w:after="0"/>
      </w:pPr>
    </w:p>
    <w:p>
      <w:pPr>
        <w:pStyle w:val="Heading2"/>
      </w:pPr>
      <w:r>
        <w:t>5.1 LUT 确实随学习增加而持续改善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主组合波形在第 1 次融合时，shadow RMSE 已降到 2.993°e，但 active 因慢融合仍为 8.426°e；到第 18 次融合，active RMSE 降到 0.438°e，改善率从 15.23% 上升到 95.59%。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39641"/>
            <wp:docPr id="4" name="Picture 4" descr="左图显示 shadow 和 active LUT RMSE 随 18 次融合下降；右图显示相对零表改善持续上升并越过 80% gat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t_learning_ev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4  Scheme 5 主组合波形的 LUT 学习演化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3 runner 外部记录的 fusion history；历史仅用于报告，不反馈学习器。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左图中蓝色 shadow RMSE 在第 6 次融合后大致稳定在 0.39–0.45°e；橙色 active RMSE 因 gamma=0.2 慢融合持续下降，最终追到 0.438°e。右图绿色改善率越过 80% 门槛后继续上升并趋于饱和。这正是“学习越多、补偿越好”的证据。</w:t>
      </w:r>
    </w:p>
    <w:p>
      <w:pPr>
        <w:pStyle w:val="Heading2"/>
      </w:pPr>
      <w:r>
        <w:t>5.2 Stage 3 LUT 图的四条线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黑色 truth 是评价参考；蓝色 Scheme 5 shadow 是当前学习表；橙红色 Scheme 5 active 是约束和慢融合后的控制表；灰色虚线 zero LUT 是未补偿基线。zero LUT 与 truth 的距离很大，而 shadow/active 与 truth 高度贴合，说明训练工况下学习有效。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49460"/>
            <wp:docPr id="5" name="Picture 5" descr="Stage 3 四条 LUT 曲线，学习得到的 shadow 与 active 紧贴评价真值，零表为水平虚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t_truth_shadow_ac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5  Stage 3 主组合波形的 truth / shadow / active / zero LUT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3 正式报告工件；truth 仅用于训练完成后的评价。</w:t>
      </w:r>
    </w:p>
    <w:p>
      <w:pPr>
        <w:pStyle w:val="Heading2"/>
      </w:pPr>
      <w:r>
        <w:t>5.3 八条 nominal M64 训练均通过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50"/>
        <w:gridCol w:w="1400"/>
        <w:gridCol w:w="1400"/>
        <w:gridCol w:w="1500"/>
        <w:gridCol w:w="1100"/>
        <w:gridCol w:w="1810"/>
      </w:tblGrid>
      <w:tr>
        <w:trPr>
          <w:cantSplit w:val="true"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训练波形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shadow RMSE °e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active RMSE °e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相对零表改善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融合次数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fixed_00deg_e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0.431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0.425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fixed-zero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fixed_05deg_e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0.424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0.486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90.26%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fixed_10deg_e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0.419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0.557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94.42%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fixed_20deg_e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0.412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0.937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95.31%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18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periodic_constant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0.398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0.512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93.89%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periodic_1x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0.439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0.437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95.09%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periodic_2x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0.435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0.423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90.47%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19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  <w:t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periodic_combined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0.419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0.438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95.59%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7"/>
              </w:rPr>
              <w:t>18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5.4 Scheme 5 与 Scheme 4 的最终 LUT 非常接近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左面板比较 shadow，右面板比较 active：蓝色虚线为 Scheme 4，橙色实线为 Scheme 5。两种算法虽然目标不同（Scheme 4 学 z，Scheme 5 学二维 y），但主训练工况下得到的表高度一致。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45535"/>
            <wp:docPr id="6" name="Picture 6" descr="两个面板显示 Scheme 4 蓝色虚线与 Scheme 5 橙色实线几乎重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4_scheme5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6  同一训练流下 Scheme 4 与 Scheme 5 的 shadow / active 对比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3 正式报告工件；Scheme 4 表来自通过的 Stage 2。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主组合 M64 的 Scheme 5 与 Scheme 4 shadow 圆周 RMS 差为 0.168°e，active 差为 0.173°e，均低于 0.5°e。由此可排除“Stage 3 完全学错方向或符号”的解释。</w:t>
      </w:r>
    </w:p>
    <w:p>
      <w:pPr>
        <w:pStyle w:val="Heading2"/>
      </w:pPr>
      <w:r>
        <w:t>5.5 三种幅值模式：正式主路不是数值最小者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measured_magnitude 与 direction_normalized 在主组合波形上的 active RMSE 约 0.35°e，低于 nominal_model 的 0.438°e；但协议预注册 nominal_model 为唯一 gate-driving 路径，因此没有依据真值改选模式。这保护了结果免受事后择优。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94919"/>
            <wp:docPr id="7" name="Picture 7" descr="柱状图显示 direction_normalized 与 measured_magnitude 约 0.35 度，nominal_model 约 0.44 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litude_mode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7  Stage 3 三种幅值模式的 active LUT RMSE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来源：Stage 3 正式报告工件；后两种仅诊断，不决定最终 gate。</w:t>
      </w:r>
    </w:p>
    <w:p>
      <w:pPr>
        <w:pStyle w:val="Heading1"/>
      </w:pPr>
      <w:r>
        <w:t>6. Stage 3 为什么 FAIL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202B38"/>
          <w:sz w:val="22"/>
        </w:rPr>
        <w:t>直接原因只有一个：</w:t>
      </w:r>
      <w:r>
        <w:rPr>
          <w:rFonts w:ascii="Calibri" w:hAnsi="Calibri" w:eastAsia="Microsoft YaHei"/>
          <w:i w:val="0"/>
          <w:color w:val="202B38"/>
          <w:sz w:val="22"/>
        </w:rPr>
        <w:t>独立低速 LUT 与主训练 LUT 的圆周 RMS 差超过 0.5°e。-5 rad/s 为 0.650°e，超门槛约 30%；+5 rad/s 为 0.766°e，超门槛约 53%。其余六个方向/速度/负载案例通过。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0455"/>
            <wp:docPr id="8" name="Picture 8" descr="水平分组条形图显示 Stage 2 八项均小于 0.5 度，而 Stage 3 的正负 5 rad/s 两项越过门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stage3_drift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rPr>
          <w:rFonts w:ascii="Calibri" w:hAnsi="Calibri" w:eastAsia="Microsoft YaHei"/>
          <w:b/>
          <w:color w:val="1F4D78"/>
          <w:sz w:val="19"/>
        </w:rPr>
        <w:t>图 8  Stage 2 与 Stage 3 的跨工况 LUT 漂移对比</w:t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来源：两次正式运行的 condition-drift 指标；图由本报告重新汇总。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50"/>
        <w:gridCol w:w="1450"/>
        <w:gridCol w:w="1450"/>
        <w:gridCol w:w="1400"/>
        <w:gridCol w:w="2610"/>
      </w:tblGrid>
      <w:tr>
        <w:trPr>
          <w:cantSplit w:val="true"/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独立工况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2 °e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3 °e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门槛 °e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3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speed_-20radps_m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0.085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0.322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speed_-10radps_m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0.061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0.388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speed_-05radps_m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0.059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0.650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FAIL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speed_+05radps_m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0.085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0.766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FAIL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speed_+10radps_m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0.021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0.127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speed_+20radps_m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0.084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0.090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load_0Nm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0.236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0.227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load_2Nm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0.239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0.318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&lt;0.500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6.1 这不是训练精度、符号或安全约束失败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00"/>
        <w:gridCol w:w="1300"/>
        <w:gridCol w:w="6060"/>
      </w:tblGrid>
      <w:tr>
        <w:trPr>
          <w:cantSplit w:val="true"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候选解释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正式证据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训练精度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通过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主 M64 shadow/active RMSE=0.419/0.438°e；非零 profile LUT 改善均 &gt;90%。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学习随时间收敛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通过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active RMSE 8.426→0.438°e，改善 15.23%→95.59%。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Scheme 4 一致性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通过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主表 shadow/active 差约 0.168/0.173°e。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冻结控制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通过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8 个 profile pair 全部通过 percentage、floor 或 fixed-zero 分支。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覆盖与安全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通过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M64/M128 覆盖 100%，融合次数、安全约束、未覆盖节点保护均通过。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跨工况不变性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失败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±5 rad/s 的独立 LUT 漂移为 0.650/0.766°e。</w:t>
            </w:r>
          </w:p>
        </w:tc>
      </w:tr>
    </w:tbl>
    <w:p>
      <w:pPr>
        <w:spacing w:after="0"/>
      </w:pPr>
    </w:p>
    <w:p>
      <w:pPr>
        <w:pStyle w:val="Heading2"/>
      </w:pPr>
      <w:r>
        <w:t>6.2 最可能的机制，但尚未被 sensitivity 阶段证实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E30 的名义幅值 â 与 |ωe| 成正比。低速时二维残差的有效幅值更小，更新更容易受 ADC 量化、电流噪声、时序和模型误差的相对占比影响。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±5 rad/s 只有 5–6 次融合，而 ±20 rad/s 有 11 次；融合数量与信息结构不同，可能使独立表对有限样本和局部残差偏差更敏感。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E30 使用 |ωe|，理论上正反转更新应一致；但 +5 与 -5 的漂移都失败且幅值不同，提示残差重构、方向门控或非理想项仍有速度/方向相关成分。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这些是基于正式数据的诊断推断，不是唯一归因。Stage 3 在漂移 gate 后按合同早停，sensitivity_count=0，因此尚无 Rs/Ls/ψf、死区、延迟等分项证据来锁定根因。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为什么不能把 Stage 3 改判为 PASS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Stage 3 的完整范围要求漂移、敏感度、24 组完整冻结矩阵和饱和诊断全部完成并通过。当前 condition_drift 已有两项硬失败，随后阶段依法未执行；即使训练曲线非常好，也不能用训练工况的收敛替代跨工况鲁棒性。</w:t>
            </w:r>
          </w:p>
        </w:tc>
      </w:tr>
    </w:tbl>
    <w:p>
      <w:pPr>
        <w:spacing w:after="40"/>
      </w:pPr>
    </w:p>
    <w:p>
      <w:pPr>
        <w:pStyle w:val="Heading1"/>
      </w:pPr>
      <w:r>
        <w:t>7. 下一步建议：先验证低速机制，再决定是否重开协议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2900"/>
        <w:gridCol w:w="556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验收目的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1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保持当前 FAIL 工件不变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不得改写 gate.json、重标案例或放宽 0.5°e 门槛。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建立低速定向诊断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只读重放 ±5 与 ±10 rad/s 的 y、t、n、â、χ、节点访问与融合事件，比较每节点信息量和创新偏置。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3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做等行程/等信息量对照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分别控制机械周期、有效权重与融合次数，区分“低速本身”与“触发次数不同”。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4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预注册幅值模型 A/B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若新协议允许，可在不看真值选优的前提下预注册 nominal 与 direction-normalized 的低速一致性对照。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5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验证方向与时序敏感度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在相同随机种子下扫描正反转、5/50 µs 对齐和电压重构，检查 t/n 与 LUT 漂移是否同向。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6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仅在根因闭合后正式重跑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新 Stage 3 必须从干净会话完整执行，不能拼接旧训练与新冻结结果形成 PASS。</w:t>
            </w:r>
          </w:p>
        </w:tc>
      </w:tr>
    </w:tbl>
    <w:p>
      <w:pPr>
        <w:spacing w:after="0"/>
      </w:pPr>
    </w:p>
    <w:p>
      <w:pPr>
        <w:pStyle w:val="Heading1"/>
      </w:pPr>
      <w:r>
        <w:t>8. 完整性、可复现性与限制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3430"/>
        <w:gridCol w:w="3430"/>
      </w:tblGrid>
      <w:tr>
        <w:trPr>
          <w:cantSplit w:val="true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审计项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2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3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随机种子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20260818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20260818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测试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114 PASS / 0 FAIL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117 PASS / 0 FAIL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源模型 SHA256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0ceef2841260...b586c2cf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0ceef2841260...b586c2cf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 2 harness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9618730505fb...a6d355aa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9618730505fb...a6d355aa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 3 harness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-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b201ad0db5e3...11bc7727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报告工件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generated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generated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 4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未执行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未执行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22"/>
        </w:rPr>
        <w:t>两次正式运行前后源模型 SHA256 均为 0ceef284...586c2cf，说明原始 SLX 未被修改。Stage 3 的 gate scope 为 BOUNDED_OR_PARTIAL_STAGE3，是早停的结果；run manifest 的 requested scope 仍为 FULL_STAGE3。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本报告没有把 evaluation truth 当作可部署信号；所有 truth 曲线均明确标为 evaluation only。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2 的完整 PASS 证明 Scheme 4 适用于当前案例矩阵，但不等于对真实硬件误差来源的外推保证。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Stage 3 低速机制尚未由 sensitivity 案例拆分；报告只把其列为待验证假设。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202B38"/>
          <w:sz w:val="22"/>
        </w:rPr>
        <w:t>control-angle RMSE 的约 2.13°e 地板来自理想均匀量化假设；真实编码器还可能存在非均匀量化、抖动和时间戳误差。</w:t>
      </w:r>
    </w:p>
    <w:p>
      <w:pPr>
        <w:pStyle w:val="Heading1"/>
      </w:pPr>
      <w:r>
        <w:t>附录 A：正式工件与复现入口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cantSplit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工件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绝对路径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2 gate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D:\Desktop\HKU_2\FOC_Arclab\simulink_2\angle_lut_identification\results\stage2_20260818_221202_329\stage2\gate.json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2 metrics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D:\Desktop\HKU_2\FOC_Arclab\simulink_2\angle_lut_identification\results\stage2_20260818_221202_329\stage2\metrics.csv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2 result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D:\Desktop\HKU_2\FOC_Arclab\simulink_2\angle_lut_identification\results\stage2_20260818_221202_329\stage2\result.json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3 gate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D:\Desktop\HKU_2\FOC_Arclab\simulink_2\angle_lut_identification\results\stage3_20260818_234502_642\stage3\gate.json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3 metrics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D:\Desktop\HKU_2\FOC_Arclab\simulink_2\angle_lut_identification\results\stage3_20260818_234502_642\stage3\metrics.csv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3 result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D:\Desktop\HKU_2\FOC_Arclab\simulink_2\angle_lut_identification\results\stage3_20260818_234502_642\stage3\result.json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Stage 3 学习历史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D:\Desktop\HKU_2\FOC_Arclab\simulink_2\angle_lut_identification\results\stage3_20260818_234502_642\stage3\reports\lut_learning_evolution.csv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协议决策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5"/>
              </w:rPr>
              <w:t>D:\Desktop\HKU_2\FOC_Arclab\simulink_2\angle_lut_identification\docs\decisions.md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202B38"/>
          <w:sz w:val="19"/>
        </w:rPr>
        <w:t>干净会话复现顺序：setup_project; r2=run_stage2; assert(r2.final_status=="PASS"); r3=run_stage3;。当前确定性运行预期 Stage 2 PASS、Stage 3 在 condition_drift 返回 FAIL。</w:t>
      </w:r>
    </w:p>
    <w:p>
      <w:pPr>
        <w:pStyle w:val="Heading1"/>
      </w:pPr>
      <w:r>
        <w:t>附录 B：来源与版本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cantSplit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标识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数学/公式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D:\Download\Angle_LUT_Theory_Review_v1.1.pdf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工程/门控合同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D:\Download\Codex_Simulink_Angle_LUT_Implementation_Spec.docx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MATLAB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R2024b Update 7 / 24.2.0.3070828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Simulink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24.2 (R2024b)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报告证据截止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B38"/>
                <w:sz w:val="18"/>
              </w:rPr>
              <w:t>Stage 2 2026-08-18 14:59:52；Stage 3 2026-08-18 16:09:10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最终判定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B38"/>
                <w:sz w:val="21"/>
              </w:rPr>
              <w:t>Stage 2：可接受并可作为后续阶段的稳定基线。Stage 3：学习机制与训练工况性能已得到正面验证，但低速跨工况一致性未达到预注册要求；应保留 FAIL，完成定向低速诊断后再决定是否建立新的 Stage 3 协议版本。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内部技术报告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spacing w:after="0"/>
            <w:jc w:val="left"/>
          </w:pPr>
          <w:r>
            <w:rPr>
              <w:rFonts w:ascii="Calibri" w:hAnsi="Calibri" w:eastAsia="Microsoft YaHei"/>
              <w:b/>
              <w:color w:val="667085"/>
              <w:sz w:val="17"/>
            </w:rPr>
            <w:t>ENCODER ANGLE LUT</w:t>
          </w:r>
        </w:p>
      </w:tc>
      <w:tc>
        <w:tcPr>
          <w:tcW w:type="dxa" w:w="4680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b/>
              <w:color w:val="667085"/>
              <w:sz w:val="17"/>
            </w:rPr>
            <w:t>STAGE 2 / STAGE 3 TECHNICAL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编码器周期角度误差 LUT - Stage 2 与 Stage 3 详细技术报告</dc:title>
  <dc:subject>Scheme 4 / Scheme 5 implementation, convergence, frozen validation, and Stage 3 failure analysis</dc:subject>
  <dc:creator>Codex</dc:creator>
  <cp:keywords>Simulink, encoder angle error, LUT, Scheme 4, Scheme 5, Stage 2, Stage 3</cp:keywords>
  <dc:description>generated by python-docx</dc:description>
  <cp:lastModifiedBy/>
  <cp:revision>1</cp:revision>
  <dcterms:created xsi:type="dcterms:W3CDTF">2026-08-19T00:00:00Z</dcterms:created>
  <dcterms:modified xsi:type="dcterms:W3CDTF">2026-08-19T00:00:00Z</dcterms:modified>
  <cp:category/>
</cp:coreProperties>
</file>