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/>
      </w:pPr>
      <w:r w:rsidDel="00000000" w:rsidR="00000000" w:rsidRPr="00000000">
        <w:rPr>
          <w:rtl w:val="0"/>
        </w:rPr>
        <w:t xml:space="preserve">Secure Document Intelligence - Proof of Concept (POC)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b w:val="1"/>
          <w:bCs w:val="1"/>
          <w:rtl w:val="0"/>
        </w:rPr>
        <w:t xml:space="preserve">Executive Presentation Document</w:t>
        <w:br w:type="textWrapping"/>
      </w:r>
      <w:r w:rsidDel="00000000" w:rsidR="00000000" w:rsidRPr="00000000">
        <w:rPr>
          <w:rtl w:val="0"/>
        </w:rPr>
        <w:t xml:space="preserve">AI-Powered Document Search, Question Answering &amp; Summarization Platform</w:t>
      </w:r>
    </w:p>
    <w:p w:rsidR="00000000" w:rsidDel="00000000" w:rsidP="00000000" w:rsidRDefault="00000000" w:rsidRPr="00000000" w14:paraId="00000003">
      <w:pPr>
        <w:pStyle w:val="Heading1"/>
        <w:rPr/>
      </w:pPr>
      <w:r w:rsidDel="00000000" w:rsidR="00000000" w:rsidRPr="00000000">
        <w:rPr>
          <w:rtl w:val="0"/>
        </w:rPr>
        <w:t xml:space="preserve">Executive Summary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Secure Document Intelligence is a local-first AI platform that enables users to upload documents, perform semantic search, ask questions, generate summaries, and retrieve source-backed information while keeping all data within the organization's environment.</w:t>
      </w:r>
    </w:p>
    <w:p w:rsidR="00000000" w:rsidDel="00000000" w:rsidP="00000000" w:rsidRDefault="00000000" w:rsidRPr="00000000" w14:paraId="00000005">
      <w:pPr>
        <w:pStyle w:val="Heading1"/>
        <w:rPr/>
      </w:pPr>
      <w:r w:rsidDel="00000000" w:rsidR="00000000" w:rsidRPr="00000000">
        <w:rPr>
          <w:rtl w:val="0"/>
        </w:rPr>
        <w:t xml:space="preserve">Business Problem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Organizations spend significant time manually searching PDFs, policies, contracts, reports, and technical documents. Critical information is often buried within hundreds of pages.</w:t>
      </w:r>
    </w:p>
    <w:p w:rsidR="00000000" w:rsidDel="00000000" w:rsidP="00000000" w:rsidRDefault="00000000" w:rsidRPr="00000000" w14:paraId="00000007">
      <w:pPr>
        <w:pStyle w:val="Heading1"/>
        <w:rPr/>
      </w:pPr>
      <w:r w:rsidDel="00000000" w:rsidR="00000000" w:rsidRPr="00000000">
        <w:rPr>
          <w:rtl w:val="0"/>
        </w:rPr>
        <w:t xml:space="preserve">POC Scope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The current implementation demonstrates document ingestion, vector search, document-specific Q&amp;A, summarization, source attribution, and document lifecycle management. Q&amp;A capabilities are functional but remain under active improvement as part of the POC roadmap.</w:t>
      </w:r>
    </w:p>
    <w:p w:rsidR="00000000" w:rsidDel="00000000" w:rsidP="00000000" w:rsidRDefault="00000000" w:rsidRPr="00000000" w14:paraId="00000009">
      <w:pPr>
        <w:pStyle w:val="Heading1"/>
        <w:rPr/>
      </w:pPr>
      <w:r w:rsidDel="00000000" w:rsidR="00000000" w:rsidRPr="00000000">
        <w:rPr>
          <w:rtl w:val="0"/>
        </w:rPr>
        <w:t xml:space="preserve">POC Walkthrough</w:t>
      </w:r>
    </w:p>
    <w:p w:rsidR="00000000" w:rsidDel="00000000" w:rsidP="00000000" w:rsidRDefault="00000000" w:rsidRPr="00000000" w14:paraId="0000000A">
      <w:pPr>
        <w:pStyle w:val="Heading2"/>
        <w:rPr/>
      </w:pPr>
      <w:r w:rsidDel="00000000" w:rsidR="00000000" w:rsidRPr="00000000">
        <w:rPr>
          <w:rtl w:val="0"/>
        </w:rPr>
        <w:t xml:space="preserve">Application Home Screen &amp; Upload Interface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/>
        <w:drawing>
          <wp:inline distB="0" distT="0" distL="114300" distR="114300">
            <wp:extent cx="5303520" cy="2096805"/>
            <wp:effectExtent b="0" l="0" r="0" t="0"/>
            <wp:docPr id="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0968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Application Home Screen &amp; Upload Interface</w:t>
      </w:r>
    </w:p>
    <w:p w:rsidR="00000000" w:rsidDel="00000000" w:rsidP="00000000" w:rsidRDefault="00000000" w:rsidRPr="00000000" w14:paraId="0000000D">
      <w:pPr>
        <w:pStyle w:val="Heading2"/>
        <w:rPr/>
      </w:pPr>
      <w:r w:rsidDel="00000000" w:rsidR="00000000" w:rsidRPr="00000000">
        <w:rPr>
          <w:rtl w:val="0"/>
        </w:rPr>
        <w:t xml:space="preserve">System Health Monitoring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1810700</wp:posOffset>
            </wp:positionH>
            <wp:positionV relativeFrom="paragraph">
              <wp:posOffset>19050</wp:posOffset>
            </wp:positionV>
            <wp:extent cx="3115441" cy="7653338"/>
            <wp:effectExtent b="0" l="0" r="0" t="0"/>
            <wp:wrapSquare wrapText="bothSides" distB="0" distT="0" distL="114300" distR="11430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115441" cy="765333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System Health Monitoring</w:t>
      </w:r>
    </w:p>
    <w:p w:rsidR="00000000" w:rsidDel="00000000" w:rsidP="00000000" w:rsidRDefault="00000000" w:rsidRPr="00000000" w14:paraId="00000010">
      <w:pPr>
        <w:pStyle w:val="Heading2"/>
        <w:rPr/>
      </w:pPr>
      <w:r w:rsidDel="00000000" w:rsidR="00000000" w:rsidRPr="00000000">
        <w:rPr>
          <w:rtl w:val="0"/>
        </w:rPr>
        <w:t xml:space="preserve">Document Upload Process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/>
        <w:drawing>
          <wp:inline distB="0" distT="0" distL="114300" distR="114300">
            <wp:extent cx="5303520" cy="2474976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47497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2"/>
        <w:rPr/>
      </w:pPr>
      <w:r w:rsidDel="00000000" w:rsidR="00000000" w:rsidRPr="00000000">
        <w:rPr>
          <w:rtl w:val="0"/>
        </w:rPr>
        <w:t xml:space="preserve">Document Successfully Ingested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/>
        <w:drawing>
          <wp:inline distB="0" distT="0" distL="114300" distR="114300">
            <wp:extent cx="5303520" cy="2823584"/>
            <wp:effectExtent b="0" l="0" r="0" t="0"/>
            <wp:docPr id="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82358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rPr/>
      </w:pPr>
      <w:r w:rsidDel="00000000" w:rsidR="00000000" w:rsidRPr="00000000">
        <w:rPr>
          <w:rtl w:val="0"/>
        </w:rPr>
        <w:t xml:space="preserve">Document Repository View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/>
        <w:drawing>
          <wp:inline distB="0" distT="0" distL="114300" distR="114300">
            <wp:extent cx="5303520" cy="5447344"/>
            <wp:effectExtent b="0" l="0" r="0" t="0"/>
            <wp:docPr id="6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544734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rPr/>
      </w:pPr>
      <w:r w:rsidDel="00000000" w:rsidR="00000000" w:rsidRPr="00000000">
        <w:rPr>
          <w:rtl w:val="0"/>
        </w:rPr>
        <w:t xml:space="preserve">Question &amp; Answer Workflow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/>
        <w:drawing>
          <wp:inline distB="0" distT="0" distL="114300" distR="114300">
            <wp:extent cx="5303520" cy="2674130"/>
            <wp:effectExtent b="0" l="0" r="0" t="0"/>
            <wp:docPr id="9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6741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2"/>
        <w:rPr/>
      </w:pPr>
      <w:r w:rsidDel="00000000" w:rsidR="00000000" w:rsidRPr="00000000">
        <w:rPr>
          <w:rtl w:val="0"/>
        </w:rPr>
        <w:t xml:space="preserve">Document Selection &amp; Management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/>
        <w:drawing>
          <wp:inline distB="0" distT="0" distL="114300" distR="114300">
            <wp:extent cx="5303520" cy="2152275"/>
            <wp:effectExtent b="0" l="0" r="0" t="0"/>
            <wp:docPr id="8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1522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rPr/>
      </w:pPr>
      <w:r w:rsidDel="00000000" w:rsidR="00000000" w:rsidRPr="00000000">
        <w:rPr>
          <w:rtl w:val="0"/>
        </w:rPr>
        <w:t xml:space="preserve">Document Summary Generation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/>
        <w:drawing>
          <wp:inline distB="114300" distT="114300" distL="114300" distR="114300">
            <wp:extent cx="5486400" cy="2933700"/>
            <wp:effectExtent b="0" l="0" r="0" t="0"/>
            <wp:docPr id="2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33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rPr/>
      </w:pPr>
      <w:bookmarkStart w:colFirst="0" w:colLast="0" w:name="_sclx2fsuqz4v" w:id="0"/>
      <w:bookmarkEnd w:id="0"/>
      <w:r w:rsidDel="00000000" w:rsidR="00000000" w:rsidRPr="00000000">
        <w:rPr>
          <w:rtl w:val="0"/>
        </w:rPr>
        <w:t xml:space="preserve">Downloaded Summary Output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/>
        <w:drawing>
          <wp:inline distB="0" distT="0" distL="114300" distR="114300">
            <wp:extent cx="5303520" cy="664627"/>
            <wp:effectExtent b="0" l="0" r="0" t="0"/>
            <wp:docPr id="10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66462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Calibri" w:cs="Calibri" w:eastAsia="Calibri" w:hAnsi="Calibri"/>
          <w:b w:val="1"/>
          <w:bCs w:val="1"/>
          <w:color w:val="4f81bd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Calibri" w:cs="Calibri" w:eastAsia="Calibri" w:hAnsi="Calibri"/>
          <w:b w:val="1"/>
          <w:bCs w:val="1"/>
          <w:color w:val="4f81bd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Calibri" w:cs="Calibri" w:eastAsia="Calibri" w:hAnsi="Calibri"/>
          <w:b w:val="1"/>
          <w:bCs w:val="1"/>
          <w:color w:val="4f81bd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Calibri" w:cs="Calibri" w:eastAsia="Calibri" w:hAnsi="Calibri"/>
          <w:b w:val="1"/>
          <w:bCs w:val="1"/>
          <w:color w:val="4f81bd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Calibri" w:cs="Calibri" w:eastAsia="Calibri" w:hAnsi="Calibri"/>
          <w:b w:val="1"/>
          <w:bCs w:val="1"/>
          <w:color w:val="4f81bd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Calibri" w:cs="Calibri" w:eastAsia="Calibri" w:hAnsi="Calibri"/>
          <w:b w:val="1"/>
          <w:bCs w:val="1"/>
          <w:color w:val="4f81bd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Calibri" w:cs="Calibri" w:eastAsia="Calibri" w:hAnsi="Calibri"/>
          <w:b w:val="1"/>
          <w:bCs w:val="1"/>
          <w:color w:val="4f81bd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Calibri" w:cs="Calibri" w:eastAsia="Calibri" w:hAnsi="Calibri"/>
          <w:b w:val="1"/>
          <w:bCs w:val="1"/>
          <w:color w:val="4f81bd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Calibri" w:cs="Calibri" w:eastAsia="Calibri" w:hAnsi="Calibri"/>
          <w:b w:val="1"/>
          <w:bCs w:val="1"/>
          <w:color w:val="4f81bd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Calibri" w:cs="Calibri" w:eastAsia="Calibri" w:hAnsi="Calibri"/>
          <w:b w:val="1"/>
          <w:bCs w:val="1"/>
          <w:color w:val="4f81bd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Calibri" w:cs="Calibri" w:eastAsia="Calibri" w:hAnsi="Calibri"/>
          <w:b w:val="1"/>
          <w:bCs w:val="1"/>
          <w:color w:val="4f81bd"/>
          <w:sz w:val="26"/>
          <w:szCs w:val="26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4f81bd"/>
          <w:sz w:val="26"/>
          <w:szCs w:val="26"/>
          <w:rtl w:val="0"/>
        </w:rPr>
        <w:t xml:space="preserve">After Delete document - Document section </w:t>
      </w:r>
    </w:p>
    <w:p w:rsidR="00000000" w:rsidDel="00000000" w:rsidP="00000000" w:rsidRDefault="00000000" w:rsidRPr="00000000" w14:paraId="0000002A">
      <w:pPr>
        <w:pStyle w:val="Heading2"/>
        <w:rPr/>
      </w:pPr>
      <w:r w:rsidDel="00000000" w:rsidR="00000000" w:rsidRPr="00000000">
        <w:rPr>
          <w:rFonts w:ascii="Cambria" w:cs="Cambria" w:eastAsia="Cambria" w:hAnsi="Cambria"/>
          <w:b w:val="0"/>
          <w:bCs w:val="0"/>
          <w:color w:val="000000"/>
          <w:sz w:val="22"/>
          <w:szCs w:val="22"/>
        </w:rPr>
        <w:drawing>
          <wp:inline distB="0" distT="0" distL="114300" distR="114300">
            <wp:extent cx="5303520" cy="415261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41526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1"/>
        <w:rPr/>
      </w:pPr>
      <w:r w:rsidDel="00000000" w:rsidR="00000000" w:rsidRPr="00000000">
        <w:rPr>
          <w:rtl w:val="0"/>
        </w:rPr>
        <w:t xml:space="preserve">Current Features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• Upload PDF, DOCX and TXT documents</w:t>
        <w:br w:type="textWrapping"/>
        <w:t xml:space="preserve">• Local document processing</w:t>
        <w:br w:type="textWrapping"/>
        <w:t xml:space="preserve">• Qdrant vector storage</w:t>
        <w:br w:type="textWrapping"/>
        <w:t xml:space="preserve">• Semantic retrieval</w:t>
        <w:br w:type="textWrapping"/>
        <w:t xml:space="preserve">• Document-specific Q&amp;A</w:t>
        <w:br w:type="textWrapping"/>
        <w:t xml:space="preserve">• Source citations and relevance scores</w:t>
        <w:br w:type="textWrapping"/>
        <w:t xml:space="preserve">• Document summaries</w:t>
        <w:br w:type="textWrapping"/>
        <w:t xml:space="preserve">• Downloadable summaries</w:t>
        <w:br w:type="textWrapping"/>
        <w:t xml:space="preserve">• System health monitoring</w:t>
        <w:br w:type="textWrapping"/>
        <w:t xml:space="preserve">• Document deletion and chat reset</w:t>
      </w:r>
    </w:p>
    <w:p w:rsidR="00000000" w:rsidDel="00000000" w:rsidP="00000000" w:rsidRDefault="00000000" w:rsidRPr="00000000" w14:paraId="0000002F">
      <w:pPr>
        <w:pStyle w:val="Heading1"/>
        <w:rPr/>
      </w:pPr>
      <w:r w:rsidDel="00000000" w:rsidR="00000000" w:rsidRPr="00000000">
        <w:rPr>
          <w:rtl w:val="0"/>
        </w:rPr>
        <w:t xml:space="preserve">Technical Architecture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Frontend: Streamlit</w:t>
        <w:br w:type="textWrapping"/>
        <w:t xml:space="preserve">Backend: FastAPI</w:t>
        <w:br w:type="textWrapping"/>
        <w:t xml:space="preserve">Vector Database: Qdrant</w:t>
        <w:br w:type="textWrapping"/>
        <w:t xml:space="preserve">Embeddings: nomic-embed-text</w:t>
        <w:br w:type="textWrapping"/>
        <w:t xml:space="preserve">LLM: Gemma/Phi-3 via Ollama</w:t>
        <w:br w:type="textWrapping"/>
        <w:t xml:space="preserve">Language: Python</w:t>
      </w:r>
    </w:p>
    <w:p w:rsidR="00000000" w:rsidDel="00000000" w:rsidP="00000000" w:rsidRDefault="00000000" w:rsidRPr="00000000" w14:paraId="00000031">
      <w:pPr>
        <w:pStyle w:val="Heading1"/>
        <w:rPr/>
      </w:pPr>
      <w:r w:rsidDel="00000000" w:rsidR="00000000" w:rsidRPr="00000000">
        <w:rPr>
          <w:rtl w:val="0"/>
        </w:rPr>
        <w:t xml:space="preserve">Known POC Limitations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• Question answering quality is functional but not yet production-grade.</w:t>
        <w:br w:type="textWrapping"/>
        <w:t xml:space="preserve">• General document understanding questions require prompt optimization.</w:t>
        <w:br w:type="textWrapping"/>
        <w:t xml:space="preserve">• Multi-document reasoning is not yet implemented.</w:t>
        <w:br w:type="textWrapping"/>
        <w:t xml:space="preserve">• Advanced citation formatting and confidence scoring require enhancement.</w:t>
      </w:r>
    </w:p>
    <w:p w:rsidR="00000000" w:rsidDel="00000000" w:rsidP="00000000" w:rsidRDefault="00000000" w:rsidRPr="00000000" w14:paraId="00000033">
      <w:pPr>
        <w:pStyle w:val="Heading1"/>
        <w:rPr/>
      </w:pPr>
      <w:r w:rsidDel="00000000" w:rsidR="00000000" w:rsidRPr="00000000">
        <w:rPr>
          <w:rtl w:val="0"/>
        </w:rPr>
        <w:t xml:space="preserve">Future Roadmap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Phase 1:</w:t>
        <w:br w:type="textWrapping"/>
        <w:t xml:space="preserve">- Improve prompt engineering and answer quality</w:t>
        <w:br w:type="textWrapping"/>
        <w:t xml:space="preserve">- Better document overview responses</w:t>
        <w:br w:type="textWrapping"/>
        <w:t xml:space="preserve">- Enhanced source citation formatting</w:t>
        <w:br w:type="textWrapping"/>
        <w:br w:type="textWrapping"/>
        <w:t xml:space="preserve">Phase 2:</w:t>
        <w:br w:type="textWrapping"/>
        <w:t xml:space="preserve">- Multi-document search</w:t>
        <w:br w:type="textWrapping"/>
        <w:t xml:space="preserve">- OCR support for scanned PDFs</w:t>
        <w:br w:type="textWrapping"/>
        <w:t xml:space="preserve">- Excel and PowerPoint ingestion</w:t>
        <w:br w:type="textWrapping"/>
        <w:t xml:space="preserve">- User authentication and RBAC</w:t>
        <w:br w:type="textWrapping"/>
        <w:br w:type="textWrapping"/>
        <w:t xml:space="preserve">Phase 3:</w:t>
        <w:br w:type="textWrapping"/>
        <w:t xml:space="preserve">- Agentic workflows</w:t>
        <w:br w:type="textWrapping"/>
        <w:t xml:space="preserve">- Compliance validation</w:t>
        <w:br w:type="textWrapping"/>
        <w:t xml:space="preserve">- Document comparison</w:t>
        <w:br w:type="textWrapping"/>
        <w:t xml:space="preserve">- Executive insight generation</w:t>
        <w:br w:type="textWrapping"/>
        <w:t xml:space="preserve">- Analytics dashboard</w:t>
      </w:r>
    </w:p>
    <w:p w:rsidR="00000000" w:rsidDel="00000000" w:rsidP="00000000" w:rsidRDefault="00000000" w:rsidRPr="00000000" w14:paraId="00000035">
      <w:pPr>
        <w:pStyle w:val="Heading1"/>
        <w:rPr/>
      </w:pPr>
      <w:r w:rsidDel="00000000" w:rsidR="00000000" w:rsidRPr="00000000">
        <w:rPr>
          <w:rtl w:val="0"/>
        </w:rPr>
        <w:t xml:space="preserve">Conclusion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The POC successfully demonstrates a secure, local-first document intelligence platform capable of document ingestion, semantic retrieval, summarization, and AI-assisted knowledge discovery. The next phase focuses on improving answer quality and enterprise-scale capabilities.</w:t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3" Type="http://schemas.openxmlformats.org/officeDocument/2006/relationships/image" Target="media/image10.png"/><Relationship Id="rId12" Type="http://schemas.openxmlformats.org/officeDocument/2006/relationships/image" Target="media/image1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5" Type="http://schemas.openxmlformats.org/officeDocument/2006/relationships/image" Target="media/image4.png"/><Relationship Id="rId14" Type="http://schemas.openxmlformats.org/officeDocument/2006/relationships/image" Target="media/image9.png"/><Relationship Id="rId5" Type="http://schemas.openxmlformats.org/officeDocument/2006/relationships/styles" Target="styles.xml"/><Relationship Id="rId6" Type="http://schemas.openxmlformats.org/officeDocument/2006/relationships/image" Target="media/image6.png"/><Relationship Id="rId7" Type="http://schemas.openxmlformats.org/officeDocument/2006/relationships/image" Target="media/image3.png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