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DE4FD11" w:rsidR="00C072E4" w:rsidRDefault="00802CC0" w:rsidP="006E66B9">
      <w:pPr>
        <w:spacing w:after="0" w:line="240" w:lineRule="auto"/>
        <w:rPr>
          <w:lang w:val="en-US"/>
        </w:rPr>
      </w:pPr>
      <w:r>
        <w:rPr>
          <w:lang w:val="en-US"/>
        </w:rPr>
        <w:t>V</w:t>
      </w:r>
      <w:r w:rsidR="002F12C4">
        <w:rPr>
          <w:lang w:val="en-US"/>
        </w:rPr>
        <w:t>4.</w:t>
      </w:r>
      <w:r w:rsidR="001D36C7">
        <w:rPr>
          <w:lang w:val="en-US"/>
        </w:rPr>
        <w:t>5</w:t>
      </w:r>
      <w:r w:rsidR="002F12C4">
        <w:rPr>
          <w:lang w:val="en-US"/>
        </w:rPr>
        <w:t xml:space="preserve">: </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5DC29D3"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3D728C">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1E2136FB" w:rsidR="00D941C4" w:rsidRDefault="003D728C" w:rsidP="00D941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#251 Store Emphasized </w:t>
            </w:r>
            <w:proofErr w:type="gramStart"/>
            <w:r>
              <w:rPr>
                <w:rFonts w:ascii="Arial" w:eastAsia="Times New Roman" w:hAnsi="Arial" w:cs="Arial"/>
                <w:color w:val="000000"/>
                <w:sz w:val="18"/>
                <w:szCs w:val="18"/>
                <w:lang w:val="en-US" w:eastAsia="de-DE"/>
              </w:rPr>
              <w:t>mode</w:t>
            </w:r>
            <w:proofErr w:type="gramEnd"/>
          </w:p>
          <w:p w14:paraId="7B470D87" w14:textId="08E46B60" w:rsidR="003D728C" w:rsidRPr="00D941C4" w:rsidRDefault="003D728C" w:rsidP="00D941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#252 </w:t>
            </w:r>
            <w:proofErr w:type="spellStart"/>
            <w:r>
              <w:rPr>
                <w:rFonts w:ascii="Arial" w:eastAsia="Times New Roman" w:hAnsi="Arial" w:cs="Arial"/>
                <w:color w:val="000000"/>
                <w:sz w:val="18"/>
                <w:szCs w:val="18"/>
                <w:lang w:val="en-US" w:eastAsia="de-DE"/>
              </w:rPr>
              <w:t>Impuls</w:t>
            </w:r>
            <w:proofErr w:type="spellEnd"/>
            <w:r>
              <w:rPr>
                <w:rFonts w:ascii="Arial" w:eastAsia="Times New Roman" w:hAnsi="Arial" w:cs="Arial"/>
                <w:color w:val="000000"/>
                <w:sz w:val="18"/>
                <w:szCs w:val="18"/>
                <w:lang w:val="en-US" w:eastAsia="de-DE"/>
              </w:rPr>
              <w:t xml:space="preserve"> speed in emphasized pipes separate </w:t>
            </w:r>
            <w:proofErr w:type="gramStart"/>
            <w:r>
              <w:rPr>
                <w:rFonts w:ascii="Arial" w:eastAsia="Times New Roman" w:hAnsi="Arial" w:cs="Arial"/>
                <w:color w:val="000000"/>
                <w:sz w:val="18"/>
                <w:szCs w:val="18"/>
                <w:lang w:val="en-US" w:eastAsia="de-DE"/>
              </w:rPr>
              <w:t>parameter</w:t>
            </w:r>
            <w:proofErr w:type="gramEnd"/>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5E5888" w14:textId="77777777" w:rsidR="00904F8E" w:rsidRDefault="003314C7"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
          <w:p w14:paraId="00109C45" w14:textId="2277F9A4" w:rsidR="00904F8E" w:rsidRDefault="00904F8E"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#249 Visualize input </w:t>
            </w:r>
            <w:proofErr w:type="gramStart"/>
            <w:r>
              <w:rPr>
                <w:rFonts w:ascii="Arial" w:eastAsia="Times New Roman" w:hAnsi="Arial" w:cs="Arial"/>
                <w:color w:val="000000"/>
                <w:sz w:val="18"/>
                <w:szCs w:val="18"/>
                <w:lang w:val="en-US" w:eastAsia="de-DE"/>
              </w:rPr>
              <w:t>cables</w:t>
            </w:r>
            <w:proofErr w:type="gramEnd"/>
          </w:p>
          <w:p w14:paraId="6FB0D869" w14:textId="779AA4B9" w:rsidR="004A3DF6" w:rsidRDefault="004A3DF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#250 Update visual studio</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3314C7" w:rsidRDefault="00187880" w:rsidP="00502ACA">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 xml:space="preserve">#154 </w:t>
            </w:r>
            <w:proofErr w:type="spellStart"/>
            <w:r w:rsidRPr="003314C7">
              <w:rPr>
                <w:rFonts w:ascii="Arial" w:eastAsia="Times New Roman" w:hAnsi="Arial" w:cs="Arial"/>
                <w:color w:val="000000"/>
                <w:sz w:val="18"/>
                <w:szCs w:val="18"/>
                <w:lang w:eastAsia="de-DE"/>
              </w:rPr>
              <w:t>Desc</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Win</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Undo</w:t>
            </w:r>
            <w:proofErr w:type="spellEnd"/>
            <w:r w:rsidRPr="003314C7">
              <w:rPr>
                <w:rFonts w:ascii="Arial" w:eastAsia="Times New Roman" w:hAnsi="Arial" w:cs="Arial"/>
                <w:color w:val="000000"/>
                <w:sz w:val="18"/>
                <w:szCs w:val="18"/>
                <w:lang w:eastAsia="de-DE"/>
              </w:rPr>
              <w:t>/</w:t>
            </w:r>
            <w:proofErr w:type="spellStart"/>
            <w:r w:rsidRPr="003314C7">
              <w:rPr>
                <w:rFonts w:ascii="Arial" w:eastAsia="Times New Roman" w:hAnsi="Arial" w:cs="Arial"/>
                <w:color w:val="000000"/>
                <w:sz w:val="18"/>
                <w:szCs w:val="18"/>
                <w:lang w:eastAsia="de-DE"/>
              </w:rPr>
              <w:t>Redo</w:t>
            </w:r>
            <w:proofErr w:type="spellEnd"/>
            <w:r w:rsidRPr="003314C7">
              <w:rPr>
                <w:rFonts w:ascii="Arial" w:eastAsia="Times New Roman" w:hAnsi="Arial" w:cs="Arial"/>
                <w:color w:val="000000"/>
                <w:sz w:val="18"/>
                <w:szCs w:val="18"/>
                <w:lang w:eastAsia="de-DE"/>
              </w:rPr>
              <w:t xml:space="preserve">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2B443BE1"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damping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1632C61" w14:textId="0827C42A"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#237 No complex </w:t>
      </w:r>
      <w:proofErr w:type="gramStart"/>
      <w:r w:rsidRPr="003A1895">
        <w:rPr>
          <w:rFonts w:ascii="Verdana" w:eastAsia="Times New Roman" w:hAnsi="Verdana"/>
          <w:sz w:val="18"/>
          <w:szCs w:val="18"/>
          <w:lang w:val="en-US"/>
        </w:rPr>
        <w:t>signal</w:t>
      </w:r>
      <w:proofErr w:type="gramEnd"/>
      <w:r w:rsidRPr="003A1895">
        <w:rPr>
          <w:rFonts w:ascii="Verdana" w:eastAsia="Times New Roman" w:hAnsi="Verdana"/>
          <w:sz w:val="18"/>
          <w:szCs w:val="18"/>
          <w:lang w:val="en-US"/>
        </w:rPr>
        <w:t xml:space="preserve">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2129</Words>
  <Characters>13415</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519</cp:revision>
  <dcterms:created xsi:type="dcterms:W3CDTF">2020-04-22T12:00:00Z</dcterms:created>
  <dcterms:modified xsi:type="dcterms:W3CDTF">2023-03-05T16:23:00Z</dcterms:modified>
</cp:coreProperties>
</file>