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E9497AB" w:rsidR="009051C9" w:rsidRDefault="00DF6DD4" w:rsidP="009051C9">
      <w:pPr>
        <w:pStyle w:val="Titel"/>
        <w:jc w:val="center"/>
        <w:rPr>
          <w:sz w:val="36"/>
          <w:szCs w:val="36"/>
          <w:lang w:val="de-DE"/>
        </w:rPr>
      </w:pPr>
      <w:r>
        <w:rPr>
          <w:sz w:val="36"/>
          <w:szCs w:val="36"/>
          <w:lang w:val="de-DE"/>
        </w:rPr>
        <w:t xml:space="preserve">Version </w:t>
      </w:r>
      <w:r w:rsidR="00E31295">
        <w:rPr>
          <w:sz w:val="36"/>
          <w:szCs w:val="36"/>
          <w:lang w:val="de-DE"/>
        </w:rPr>
        <w:t>xx</w:t>
      </w:r>
      <w:r w:rsidR="009365C3">
        <w:rPr>
          <w:sz w:val="36"/>
          <w:szCs w:val="36"/>
          <w:lang w:val="de-DE"/>
        </w:rPr>
        <w:t>.</w:t>
      </w:r>
      <w:r w:rsidR="0061612E">
        <w:rPr>
          <w:sz w:val="36"/>
          <w:szCs w:val="36"/>
          <w:lang w:val="de-DE"/>
        </w:rPr>
        <w:t>10</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686F19D0" w:rsidR="0061612E" w:rsidRPr="00F459DB" w:rsidRDefault="0061612E" w:rsidP="0061612E">
      <w:pPr>
        <w:pStyle w:val="Listenabsatz"/>
        <w:numPr>
          <w:ilvl w:val="0"/>
          <w:numId w:val="17"/>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17989C59" w14:textId="2DEE5178" w:rsidR="006C4558"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w:t>
      </w:r>
      <w:r w:rsidR="0061612E">
        <w:rPr>
          <w:sz w:val="24"/>
          <w:szCs w:val="24"/>
          <w:lang w:val="de-DE"/>
        </w:rPr>
        <w:t>k</w:t>
      </w:r>
      <w:r>
        <w:rPr>
          <w:sz w:val="24"/>
          <w:szCs w:val="24"/>
          <w:lang w:val="de-DE"/>
        </w:rPr>
        <w:t>rometer versetzt platziert und ist leicht zu erkennen.</w:t>
      </w:r>
    </w:p>
    <w:p w14:paraId="6EB1BA5C" w14:textId="77777777" w:rsidR="00E31295" w:rsidRDefault="00E31295" w:rsidP="00E31295">
      <w:pPr>
        <w:pStyle w:val="Listenabsatz"/>
        <w:numPr>
          <w:ilvl w:val="0"/>
          <w:numId w:val="17"/>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37D47A7E" w14:textId="0FFADB96" w:rsidR="00E31295" w:rsidRDefault="00E31295" w:rsidP="00C82ABD">
      <w:pPr>
        <w:pStyle w:val="Listenabsatz"/>
        <w:numPr>
          <w:ilvl w:val="0"/>
          <w:numId w:val="17"/>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w:t>
      </w:r>
      <w:r>
        <w:rPr>
          <w:sz w:val="24"/>
          <w:szCs w:val="24"/>
          <w:lang w:val="de-DE"/>
        </w:rPr>
        <w:t>, die zu Abstürzen oder Blockieren des Programms führen konnten, wurden beseitigt.</w:t>
      </w:r>
    </w:p>
    <w:p w14:paraId="2AB826B6" w14:textId="54897182" w:rsidR="0061612E" w:rsidRDefault="0061612E" w:rsidP="00C82ABD">
      <w:pPr>
        <w:pStyle w:val="Listenabsatz"/>
        <w:numPr>
          <w:ilvl w:val="0"/>
          <w:numId w:val="17"/>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Undo/Redo-Speicher abgelegt werden. Wenn der Benutzer ein versehentlich verschobenes Objekt mit Undo wieder an seinen ursprünglichen Ort zurückbewegen will, möchte er in der Regel nicht mehrere Dutzend mal den Undo-Button betätigen müssen. Unmittelbar aufeinander folgende Move-Operationen werden deshalb von der Undo/Redo-Logik automatisch zusammengefasst und wirken für den </w:t>
      </w:r>
      <w:r w:rsidR="00DA1A02">
        <w:rPr>
          <w:lang w:val="de-DE"/>
        </w:rPr>
        <w:t>Benutzer wie eine einzige Operation. Für spezielle Zwecke kann diese Automatik mit abgestellt werden (Options – CombineUndoRedo – Off).</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„Action“ -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 xml:space="preserve">„Action“ -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lastRenderedPageBreak/>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lastRenderedPageBreak/>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lastRenderedPageBreak/>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lastRenderedPageBreak/>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t>
      </w:r>
      <w:r w:rsidR="007201C5">
        <w:rPr>
          <w:lang w:val="de-DE"/>
        </w:rPr>
        <w:lastRenderedPageBreak/>
        <w:t xml:space="preserve">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lastRenderedPageBreak/>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lastRenderedPageBreak/>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5E1435">
      <w:pPr>
        <w:pStyle w:val="Listenabsatz"/>
        <w:numPr>
          <w:ilvl w:val="1"/>
          <w:numId w:val="23"/>
        </w:numPr>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5E1435">
      <w:pPr>
        <w:pStyle w:val="Listenabsatz"/>
        <w:numPr>
          <w:ilvl w:val="1"/>
          <w:numId w:val="23"/>
        </w:numPr>
        <w:rPr>
          <w:lang w:val="de-DE"/>
        </w:rPr>
      </w:pPr>
      <w:r>
        <w:rPr>
          <w:lang w:val="de-DE"/>
        </w:rPr>
        <w:t>Cursor auf zu löschendes Signal positionieren. Das gewählte Signal wird optisch hervorgehoben. Im Kontextmenü kann nun „Delete Signal“ ausgewählt werden.</w:t>
      </w:r>
    </w:p>
    <w:p w14:paraId="73D056BF" w14:textId="4ABCD9D9"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3A6FA3DE" w14:textId="77777777"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26AB6BF1" w:rsidR="005E1435" w:rsidRPr="001866A0" w:rsidRDefault="005E1435" w:rsidP="001866A0">
      <w:pPr>
        <w:pStyle w:val="Listenabsatz"/>
        <w:numPr>
          <w:ilvl w:val="0"/>
          <w:numId w:val="23"/>
        </w:numPr>
        <w:rPr>
          <w:lang w:val="de-DE"/>
        </w:rPr>
      </w:pPr>
      <w:r>
        <w:rPr>
          <w:lang w:val="de-DE"/>
        </w:rPr>
        <w:t>Die im Fenster dargestellten Signale und Tracks werden beim abspeichern des Modells mitgespeichert und beim öffnen eines Modells wieder hergestellt.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DFD40" w14:textId="77777777" w:rsidR="00114652" w:rsidRDefault="00114652" w:rsidP="006C505C">
      <w:pPr>
        <w:spacing w:before="0" w:after="0" w:line="240" w:lineRule="auto"/>
      </w:pPr>
      <w:r>
        <w:separator/>
      </w:r>
    </w:p>
  </w:endnote>
  <w:endnote w:type="continuationSeparator" w:id="0">
    <w:p w14:paraId="346C5FF9" w14:textId="77777777" w:rsidR="00114652" w:rsidRDefault="00114652"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1866A0" w:rsidRPr="006C505C" w:rsidRDefault="001866A0">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B0971" w14:textId="77777777" w:rsidR="00114652" w:rsidRDefault="00114652" w:rsidP="006C505C">
      <w:pPr>
        <w:spacing w:before="0" w:after="0" w:line="240" w:lineRule="auto"/>
      </w:pPr>
      <w:r>
        <w:separator/>
      </w:r>
    </w:p>
  </w:footnote>
  <w:footnote w:type="continuationSeparator" w:id="0">
    <w:p w14:paraId="66F3498F" w14:textId="77777777" w:rsidR="00114652" w:rsidRDefault="00114652"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9"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1"/>
  </w:num>
  <w:num w:numId="4">
    <w:abstractNumId w:val="15"/>
  </w:num>
  <w:num w:numId="5">
    <w:abstractNumId w:val="20"/>
  </w:num>
  <w:num w:numId="6">
    <w:abstractNumId w:val="10"/>
  </w:num>
  <w:num w:numId="7">
    <w:abstractNumId w:val="4"/>
  </w:num>
  <w:num w:numId="8">
    <w:abstractNumId w:val="6"/>
  </w:num>
  <w:num w:numId="9">
    <w:abstractNumId w:val="9"/>
  </w:num>
  <w:num w:numId="10">
    <w:abstractNumId w:val="12"/>
  </w:num>
  <w:num w:numId="11">
    <w:abstractNumId w:val="13"/>
  </w:num>
  <w:num w:numId="12">
    <w:abstractNumId w:val="19"/>
  </w:num>
  <w:num w:numId="13">
    <w:abstractNumId w:val="8"/>
  </w:num>
  <w:num w:numId="14">
    <w:abstractNumId w:val="18"/>
  </w:num>
  <w:num w:numId="15">
    <w:abstractNumId w:val="21"/>
  </w:num>
  <w:num w:numId="16">
    <w:abstractNumId w:val="16"/>
  </w:num>
  <w:num w:numId="17">
    <w:abstractNumId w:val="0"/>
  </w:num>
  <w:num w:numId="18">
    <w:abstractNumId w:val="17"/>
  </w:num>
  <w:num w:numId="19">
    <w:abstractNumId w:val="14"/>
  </w:num>
  <w:num w:numId="20">
    <w:abstractNumId w:val="3"/>
  </w:num>
  <w:num w:numId="21">
    <w:abstractNumId w:val="5"/>
  </w:num>
  <w:num w:numId="22">
    <w:abstractNumId w:val="7"/>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14652"/>
    <w:rsid w:val="0011490E"/>
    <w:rsid w:val="00133B3B"/>
    <w:rsid w:val="00143C0A"/>
    <w:rsid w:val="00153B3A"/>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430E3"/>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7366</Words>
  <Characters>46411</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124</cp:revision>
  <cp:lastPrinted>2019-12-12T22:50:00Z</cp:lastPrinted>
  <dcterms:created xsi:type="dcterms:W3CDTF">2019-12-24T11:57:00Z</dcterms:created>
  <dcterms:modified xsi:type="dcterms:W3CDTF">2020-10-18T11:20:00Z</dcterms:modified>
</cp:coreProperties>
</file>