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4EEEDAB" w:rsidR="009051C9" w:rsidRDefault="00DF6DD4" w:rsidP="009051C9">
      <w:pPr>
        <w:pStyle w:val="Titel"/>
        <w:jc w:val="center"/>
        <w:rPr>
          <w:sz w:val="36"/>
          <w:szCs w:val="36"/>
          <w:lang w:val="de-DE"/>
        </w:rPr>
      </w:pPr>
      <w:r>
        <w:rPr>
          <w:sz w:val="36"/>
          <w:szCs w:val="36"/>
          <w:lang w:val="de-DE"/>
        </w:rPr>
        <w:t xml:space="preserve">Version </w:t>
      </w:r>
      <w:r w:rsidR="00E904CD">
        <w:rPr>
          <w:sz w:val="36"/>
          <w:szCs w:val="36"/>
          <w:lang w:val="de-DE"/>
        </w:rPr>
        <w:t>xx</w:t>
      </w:r>
      <w:r w:rsidR="009365C3">
        <w:rPr>
          <w:sz w:val="36"/>
          <w:szCs w:val="36"/>
          <w:lang w:val="de-DE"/>
        </w:rPr>
        <w:t>.</w:t>
      </w:r>
      <w:r w:rsidR="00F459DB">
        <w:rPr>
          <w:sz w:val="36"/>
          <w:szCs w:val="36"/>
          <w:lang w:val="de-DE"/>
        </w:rPr>
        <w:t>yy</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7677DC17" w14:textId="4FC52795"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 #</w:t>
      </w:r>
      <w:r w:rsidR="00E904CD">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sidR="00E904CD">
        <w:rPr>
          <w:sz w:val="24"/>
          <w:szCs w:val="24"/>
          <w:lang w:val="de-DE"/>
        </w:rPr>
        <w:t>Dendriten, nur zum teilweise innerhalb des sichtbaren Bereichs liegen, wurden in bestimmten Situationen nicht dargestellt.</w:t>
      </w:r>
    </w:p>
    <w:p w14:paraId="0A97BDA3" w14:textId="709CC4A8" w:rsidR="00DC7C56" w:rsidRPr="00F459DB" w:rsidRDefault="00F459DB" w:rsidP="00F459DB">
      <w:pPr>
        <w:pStyle w:val="Listenabsatz"/>
        <w:numPr>
          <w:ilvl w:val="0"/>
          <w:numId w:val="44"/>
        </w:numPr>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r w:rsidR="000D1279" w:rsidRPr="00F459DB">
        <w:rPr>
          <w:sz w:val="24"/>
          <w:szCs w:val="24"/>
          <w:lang w:val="de-DE"/>
        </w:rPr>
        <w:br/>
      </w:r>
      <w:r w:rsidR="00F7622E" w:rsidRPr="00F459DB">
        <w:rPr>
          <w:sz w:val="24"/>
          <w:szCs w:val="24"/>
          <w:lang w:val="de-DE"/>
        </w:rPr>
        <w:br/>
      </w:r>
      <w:r w:rsidR="00E86294" w:rsidRPr="00F459DB">
        <w:rPr>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2096"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0288"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proofErr w:type="spellStart"/>
      <w:r>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1"/>
      <w:r>
        <w:t>s</w:t>
      </w:r>
      <w:bookmarkEnd w:id="12"/>
      <w:proofErr w:type="spellEnd"/>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6432"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DE35B5">
      <w:pPr>
        <w:pStyle w:val="Listenabsatz"/>
        <w:numPr>
          <w:ilvl w:val="0"/>
          <w:numId w:val="2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45900660" w:rsidR="00BC00C3" w:rsidRDefault="00BC00C3" w:rsidP="00BC00C3">
      <w:pPr>
        <w:ind w:left="360"/>
        <w:rPr>
          <w:lang w:val="de-DE"/>
        </w:rPr>
      </w:pPr>
      <w:r>
        <w:rPr>
          <w:lang w:val="de-DE"/>
        </w:rPr>
        <w:lastRenderedPageBreak/>
        <w:t xml:space="preserve">Menü „View“ </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2C3D996F" w14:textId="293A1F61" w:rsidR="00E277D9" w:rsidRDefault="00E277D9" w:rsidP="00BC00C3">
      <w:pPr>
        <w:ind w:left="360"/>
        <w:rPr>
          <w:lang w:val="de-DE"/>
        </w:rPr>
      </w:pPr>
      <w:r>
        <w:rPr>
          <w:lang w:val="de-DE"/>
        </w:rPr>
        <w:t xml:space="preserve">Im Menü „Options“ können folgende Eigenschaften des Programms </w:t>
      </w:r>
      <w:r w:rsidR="00E83EBD">
        <w:rPr>
          <w:lang w:val="de-DE"/>
        </w:rPr>
        <w:t>verändert werden</w:t>
      </w:r>
      <w:r>
        <w:rPr>
          <w:lang w:val="de-DE"/>
        </w:rPr>
        <w:t>:</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06575FFD" w:rsidR="00E83EBD" w:rsidRP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7E0A7167" w14:textId="77777777" w:rsidR="00E83EBD" w:rsidRDefault="00E83EBD" w:rsidP="00E277D9">
      <w:pPr>
        <w:pStyle w:val="Listenabsatz"/>
        <w:numPr>
          <w:ilvl w:val="0"/>
          <w:numId w:val="2"/>
        </w:numPr>
        <w:rPr>
          <w:lang w:val="de-DE"/>
        </w:rPr>
      </w:pPr>
    </w:p>
    <w:p w14:paraId="7E875AC6" w14:textId="012F66A6" w:rsidR="00E86294" w:rsidRPr="0086616D" w:rsidRDefault="0086616D" w:rsidP="00E86294">
      <w:pPr>
        <w:pStyle w:val="berschrift3"/>
      </w:pPr>
      <w:bookmarkStart w:id="19" w:name="_Ref35468598"/>
      <w:bookmarkStart w:id="20" w:name="_Ref37610589"/>
      <w:r w:rsidRPr="0086616D">
        <w:t xml:space="preserve">„Action“ - </w:t>
      </w:r>
      <w:r w:rsidR="00E86294" w:rsidRPr="0086616D">
        <w:t>„Analyze“</w:t>
      </w:r>
      <w:bookmarkEnd w:id="19"/>
      <w:r w:rsidR="00975FD2" w:rsidRPr="0086616D">
        <w:t xml:space="preserve"> – „Find loops“</w:t>
      </w:r>
      <w:bookmarkEnd w:id="20"/>
    </w:p>
    <w:p w14:paraId="63D18085" w14:textId="54B967ED"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A02A0D">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67BD8169"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A02A0D">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51F88E55" w:rsidR="00104369" w:rsidRPr="00104369" w:rsidRDefault="00104369" w:rsidP="00E535C8">
      <w:pPr>
        <w:pStyle w:val="Listenabsatz"/>
        <w:numPr>
          <w:ilvl w:val="0"/>
          <w:numId w:val="29"/>
        </w:numPr>
        <w:rPr>
          <w:lang w:val="de-DE"/>
        </w:rPr>
      </w:pPr>
      <w:r w:rsidRPr="00104369">
        <w:rPr>
          <w:lang w:val="de-DE"/>
        </w:rPr>
        <w:lastRenderedPageBreak/>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A02A0D">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0E8C72C" w:rsidR="004A251B" w:rsidRPr="00104369" w:rsidRDefault="00104369" w:rsidP="00E535C8">
      <w:pPr>
        <w:pStyle w:val="Listenabsatz"/>
        <w:numPr>
          <w:ilvl w:val="0"/>
          <w:numId w:val="29"/>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sidR="0005601A">
        <w:rPr>
          <w:lang w:val="de-DE"/>
        </w:rPr>
        <w:t xml:space="preserve">selektiert (siehe </w:t>
      </w:r>
      <w:r w:rsidR="0005601A">
        <w:rPr>
          <w:lang w:val="de-DE"/>
        </w:rPr>
        <w:fldChar w:fldCharType="begin"/>
      </w:r>
      <w:r w:rsidR="0005601A">
        <w:rPr>
          <w:lang w:val="de-DE"/>
        </w:rPr>
        <w:instrText xml:space="preserve"> REF _Ref37800388 \r \h </w:instrText>
      </w:r>
      <w:r w:rsidR="0005601A">
        <w:rPr>
          <w:lang w:val="de-DE"/>
        </w:rPr>
      </w:r>
      <w:r w:rsidR="0005601A">
        <w:rPr>
          <w:lang w:val="de-DE"/>
        </w:rPr>
        <w:fldChar w:fldCharType="separate"/>
      </w:r>
      <w:r w:rsidR="00A02A0D">
        <w:rPr>
          <w:lang w:val="de-DE"/>
        </w:rPr>
        <w:t>4.7</w:t>
      </w:r>
      <w:r w:rsidR="0005601A">
        <w:rPr>
          <w:lang w:val="de-DE"/>
        </w:rPr>
        <w:fldChar w:fldCharType="end"/>
      </w:r>
      <w:r w:rsidR="0005601A">
        <w:rPr>
          <w:lang w:val="de-DE"/>
        </w:rPr>
        <w:t>) und dadurch hervorgehoben</w:t>
      </w:r>
      <w:r w:rsidRPr="00104369">
        <w:rPr>
          <w:lang w:val="de-DE"/>
        </w:rPr>
        <w:t>.</w:t>
      </w:r>
    </w:p>
    <w:p w14:paraId="62A85B38" w14:textId="17C17C53" w:rsidR="00104369" w:rsidRDefault="00104369" w:rsidP="00104369">
      <w:pPr>
        <w:pStyle w:val="Listenabsatz"/>
        <w:numPr>
          <w:ilvl w:val="0"/>
          <w:numId w:val="29"/>
        </w:numPr>
        <w:rPr>
          <w:lang w:val="de-DE"/>
        </w:rPr>
      </w:pPr>
      <w:r w:rsidRPr="00104369">
        <w:rPr>
          <w:lang w:val="de-DE"/>
        </w:rPr>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 xml:space="preserve">„Action“ - </w:t>
      </w:r>
      <w:r w:rsidR="00975FD2" w:rsidRPr="0086616D">
        <w:t>„Analyze“</w:t>
      </w:r>
      <w:bookmarkEnd w:id="21"/>
      <w:r w:rsidR="00975FD2" w:rsidRPr="0086616D">
        <w:t xml:space="preserve"> – „Find anomalies“</w:t>
      </w:r>
      <w:bookmarkEnd w:id="22"/>
    </w:p>
    <w:p w14:paraId="397D18C2" w14:textId="0FD78BB7"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xml:space="preserve">,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sidR="0086616D">
        <w:rPr>
          <w:rFonts w:ascii="Segoe UI" w:hAnsi="Segoe UI" w:cs="Segoe UI"/>
          <w:color w:val="24292E"/>
          <w:sz w:val="21"/>
          <w:szCs w:val="21"/>
          <w:shd w:val="clear" w:color="auto" w:fill="FFFFFF"/>
          <w:lang w:val="de-DE"/>
        </w:rPr>
        <w:t>loops</w:t>
      </w:r>
      <w:proofErr w:type="spellEnd"/>
      <w:r w:rsidR="0086616D">
        <w:rPr>
          <w:rFonts w:ascii="Segoe UI" w:hAnsi="Segoe UI" w:cs="Segoe UI"/>
          <w:color w:val="24292E"/>
          <w:sz w:val="21"/>
          <w:szCs w:val="21"/>
          <w:shd w:val="clear" w:color="auto" w:fill="FFFFFF"/>
          <w:lang w:val="de-DE"/>
        </w:rPr>
        <w:t>“ optisch hervor</w:t>
      </w:r>
      <w:r w:rsidR="0005601A">
        <w:rPr>
          <w:rFonts w:ascii="Segoe UI" w:hAnsi="Segoe UI" w:cs="Segoe UI"/>
          <w:color w:val="24292E"/>
          <w:sz w:val="21"/>
          <w:szCs w:val="21"/>
          <w:shd w:val="clear" w:color="auto" w:fill="FFFFFF"/>
          <w:lang w:val="de-DE"/>
        </w:rPr>
        <w:t xml:space="preserve">, indem sie selektiert werden. In der Regel wird man diese Teilstücke löschen, was recht einfach in einem Schritt geht, da sie bereit selektiert sind (Kontextmenü „Remove </w:t>
      </w:r>
      <w:proofErr w:type="spellStart"/>
      <w:r w:rsidR="0005601A">
        <w:rPr>
          <w:rFonts w:ascii="Segoe UI" w:hAnsi="Segoe UI" w:cs="Segoe UI"/>
          <w:color w:val="24292E"/>
          <w:sz w:val="21"/>
          <w:szCs w:val="21"/>
          <w:shd w:val="clear" w:color="auto" w:fill="FFFFFF"/>
          <w:lang w:val="de-DE"/>
        </w:rPr>
        <w:t>selected</w:t>
      </w:r>
      <w:proofErr w:type="spellEnd"/>
      <w:r w:rsidR="0005601A">
        <w:rPr>
          <w:rFonts w:ascii="Segoe UI" w:hAnsi="Segoe UI" w:cs="Segoe UI"/>
          <w:color w:val="24292E"/>
          <w:sz w:val="21"/>
          <w:szCs w:val="21"/>
          <w:shd w:val="clear" w:color="auto" w:fill="FFFFFF"/>
          <w:lang w:val="de-DE"/>
        </w:rPr>
        <w:t xml:space="preserve"> </w:t>
      </w:r>
      <w:proofErr w:type="spellStart"/>
      <w:r w:rsidR="0005601A">
        <w:rPr>
          <w:rFonts w:ascii="Segoe UI" w:hAnsi="Segoe UI" w:cs="Segoe UI"/>
          <w:color w:val="24292E"/>
          <w:sz w:val="21"/>
          <w:szCs w:val="21"/>
          <w:shd w:val="clear" w:color="auto" w:fill="FFFFFF"/>
          <w:lang w:val="de-DE"/>
        </w:rPr>
        <w:t>objects</w:t>
      </w:r>
      <w:proofErr w:type="spellEnd"/>
      <w:r w:rsidR="0005601A">
        <w:rPr>
          <w:rFonts w:ascii="Segoe UI" w:hAnsi="Segoe UI" w:cs="Segoe UI"/>
          <w:color w:val="24292E"/>
          <w:sz w:val="21"/>
          <w:szCs w:val="21"/>
          <w:shd w:val="clear" w:color="auto" w:fill="FFFFFF"/>
          <w:lang w:val="de-DE"/>
        </w:rPr>
        <w:t xml:space="preserve">“). </w:t>
      </w:r>
      <w:r w:rsidR="0086616D">
        <w:rPr>
          <w:rFonts w:ascii="Segoe UI" w:hAnsi="Segoe UI" w:cs="Segoe UI"/>
          <w:color w:val="24292E"/>
          <w:sz w:val="21"/>
          <w:szCs w:val="21"/>
          <w:shd w:val="clear" w:color="auto" w:fill="FFFFFF"/>
          <w:lang w:val="de-DE"/>
        </w:rPr>
        <w:t>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 xml:space="preserve">„Action“ -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lastRenderedPageBreak/>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bookmarkStart w:id="31" w:name="_Ref40906544"/>
      <w:r>
        <w:rPr>
          <w:lang w:val="de-DE"/>
        </w:rPr>
        <w:t>Funktionen des Editors</w:t>
      </w:r>
      <w:bookmarkEnd w:id="28"/>
      <w:bookmarkEnd w:id="30"/>
      <w:bookmarkEnd w:id="31"/>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2" w:name="_Ref28089765"/>
      <w:bookmarkStart w:id="33" w:name="_Toc35466083"/>
      <w:r>
        <w:rPr>
          <w:lang w:val="de-DE"/>
        </w:rPr>
        <w:lastRenderedPageBreak/>
        <w:t>Objekte verschieben mit der l</w:t>
      </w:r>
      <w:r w:rsidR="008226EF">
        <w:rPr>
          <w:lang w:val="de-DE"/>
        </w:rPr>
        <w:t>inke</w:t>
      </w:r>
      <w:r>
        <w:rPr>
          <w:lang w:val="de-DE"/>
        </w:rPr>
        <w:t>n</w:t>
      </w:r>
      <w:r w:rsidR="008226EF">
        <w:rPr>
          <w:lang w:val="de-DE"/>
        </w:rPr>
        <w:t xml:space="preserve"> Maustaste</w:t>
      </w:r>
      <w:bookmarkEnd w:id="32"/>
      <w:bookmarkEnd w:id="33"/>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4"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t>Linke Maustaste (Doppelklick)</w:t>
      </w:r>
      <w:bookmarkEnd w:id="34"/>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5" w:name="_Ref27079495"/>
      <w:bookmarkStart w:id="36" w:name="_Toc35466085"/>
      <w:r>
        <w:rPr>
          <w:lang w:val="de-DE"/>
        </w:rPr>
        <w:t>Rechte Maustaste</w:t>
      </w:r>
      <w:bookmarkEnd w:id="35"/>
      <w:bookmarkEnd w:id="3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16C3D227" w:rsidR="008226EF" w:rsidRDefault="00F54D3E" w:rsidP="008226EF">
      <w:pPr>
        <w:rPr>
          <w:lang w:val="de-DE"/>
        </w:rPr>
      </w:pPr>
      <w:r w:rsidRPr="00CB7691">
        <w:rPr>
          <w:noProof/>
          <w:lang w:val="de-DE"/>
        </w:rPr>
        <w:drawing>
          <wp:anchor distT="0" distB="0" distL="114300" distR="114300" simplePos="0" relativeHeight="251658240" behindDoc="0" locked="0" layoutInCell="1" allowOverlap="1" wp14:anchorId="4EDFB316" wp14:editId="116A2C12">
            <wp:simplePos x="0" y="0"/>
            <wp:positionH relativeFrom="column">
              <wp:posOffset>2804795</wp:posOffset>
            </wp:positionH>
            <wp:positionV relativeFrom="paragraph">
              <wp:posOffset>38100</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8226EF">
        <w:rPr>
          <w:lang w:val="de-DE"/>
        </w:rPr>
        <w:t xml:space="preserve">So kann man z.B. </w:t>
      </w:r>
      <w:r w:rsidR="00EC7ADC">
        <w:rPr>
          <w:lang w:val="de-DE"/>
        </w:rPr>
        <w:t>mit dem Kontextmen</w:t>
      </w:r>
      <w:r w:rsidR="00CF7F23">
        <w:rPr>
          <w:lang w:val="de-DE"/>
        </w:rPr>
        <w:t>ü</w:t>
      </w:r>
    </w:p>
    <w:p w14:paraId="68B43B8D" w14:textId="75847DA9"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50CAA02F"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0750532E"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 xml:space="preserve">ein Input-Neuron in ein normales Neuron umwandeln und umgekehrt. Die </w:t>
      </w:r>
      <w:r>
        <w:rPr>
          <w:lang w:val="de-DE"/>
        </w:rPr>
        <w:lastRenderedPageBreak/>
        <w:t>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7" w:name="_Toc35466086"/>
      <w:r>
        <w:rPr>
          <w:lang w:val="de-DE"/>
        </w:rPr>
        <w:t>Mausrad</w:t>
      </w:r>
      <w:bookmarkEnd w:id="37"/>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8" w:name="_Ref28615245"/>
      <w:bookmarkStart w:id="39" w:name="_Toc35466087"/>
      <w:bookmarkStart w:id="40" w:name="_Ref27085203"/>
      <w:r>
        <w:rPr>
          <w:lang w:val="de-DE"/>
        </w:rPr>
        <w:t xml:space="preserve">Optisches </w:t>
      </w:r>
      <w:r w:rsidRPr="003820CD">
        <w:rPr>
          <w:lang w:val="de-DE"/>
        </w:rPr>
        <w:t>und akustisches Feedback</w:t>
      </w:r>
      <w:bookmarkEnd w:id="38"/>
      <w:bookmarkEnd w:id="39"/>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BC96AD"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0FDE77B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43FF7B2D" w:rsidR="00253311" w:rsidRDefault="002A1725" w:rsidP="002A1725">
      <w:pPr>
        <w:pStyle w:val="berschrift2"/>
        <w:pageBreakBefore/>
        <w:ind w:left="578" w:hanging="578"/>
        <w:rPr>
          <w:lang w:val="de-DE"/>
        </w:rPr>
      </w:pPr>
      <w:bookmarkStart w:id="41" w:name="_Ref37800388"/>
      <w:r w:rsidRPr="00253311">
        <w:rPr>
          <w:noProof/>
          <w:lang w:val="de-DE"/>
        </w:rPr>
        <w:lastRenderedPageBreak/>
        <w:drawing>
          <wp:anchor distT="0" distB="0" distL="114300" distR="114300" simplePos="0" relativeHeight="251662336" behindDoc="0" locked="0" layoutInCell="1" allowOverlap="1" wp14:anchorId="7FC96606" wp14:editId="055D4F73">
            <wp:simplePos x="0" y="0"/>
            <wp:positionH relativeFrom="column">
              <wp:posOffset>2316480</wp:posOffset>
            </wp:positionH>
            <wp:positionV relativeFrom="paragraph">
              <wp:posOffset>195671</wp:posOffset>
            </wp:positionV>
            <wp:extent cx="3764915" cy="3242945"/>
            <wp:effectExtent l="0" t="0" r="6985" b="0"/>
            <wp:wrapThrough wrapText="bothSides">
              <wp:wrapPolygon edited="0">
                <wp:start x="0" y="0"/>
                <wp:lineTo x="0" y="21444"/>
                <wp:lineTo x="21531" y="21444"/>
                <wp:lineTo x="215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4915" cy="324294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41"/>
    </w:p>
    <w:p w14:paraId="7679AC69" w14:textId="3691A745"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2B29402A"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2DA41916" w:rsidR="005E11CC" w:rsidRPr="00253311" w:rsidRDefault="005E11CC" w:rsidP="00253311">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0E02EC6A" w:rsidR="003A40BE" w:rsidRDefault="003A40BE" w:rsidP="003A40BE">
      <w:pPr>
        <w:pStyle w:val="berschrift2"/>
        <w:rPr>
          <w:lang w:val="de-DE"/>
        </w:rPr>
      </w:pPr>
      <w:bookmarkStart w:id="42" w:name="_Ref40459560"/>
      <w:proofErr w:type="spellStart"/>
      <w:r>
        <w:rPr>
          <w:lang w:val="de-DE"/>
        </w:rPr>
        <w:t>Stop</w:t>
      </w:r>
      <w:proofErr w:type="spellEnd"/>
      <w:r>
        <w:rPr>
          <w:lang w:val="de-DE"/>
        </w:rPr>
        <w:t xml:space="preserve"> on Trigger</w:t>
      </w:r>
      <w:bookmarkEnd w:id="42"/>
    </w:p>
    <w:p w14:paraId="213464DE" w14:textId="52CE5E46"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17E9B065">
            <wp:simplePos x="0" y="0"/>
            <wp:positionH relativeFrom="column">
              <wp:posOffset>-1905</wp:posOffset>
            </wp:positionH>
            <wp:positionV relativeFrom="paragraph">
              <wp:posOffset>557893</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lastRenderedPageBreak/>
        <w:t>Selektion von Objekten (Select/</w:t>
      </w:r>
      <w:proofErr w:type="spellStart"/>
      <w:r>
        <w:rPr>
          <w:lang w:val="de-DE"/>
        </w:rPr>
        <w:t>Deselect</w:t>
      </w:r>
      <w:proofErr w:type="spellEnd"/>
      <w:r>
        <w:rPr>
          <w:lang w:val="de-DE"/>
        </w:rPr>
        <w: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3" w:name="_Ref38196673"/>
      <w:r>
        <w:rPr>
          <w:lang w:val="de-DE"/>
        </w:rPr>
        <w:t>Operationen auf Selektionen</w:t>
      </w:r>
      <w:bookmarkEnd w:id="43"/>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FA575C">
      <w:pPr>
        <w:pStyle w:val="Listenabsatz"/>
        <w:numPr>
          <w:ilvl w:val="0"/>
          <w:numId w:val="36"/>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7CC1434B" w:rsidR="00FA575C" w:rsidRPr="00FA575C" w:rsidRDefault="00CB7284" w:rsidP="00FA575C">
      <w:pPr>
        <w:pStyle w:val="Listenabsatz"/>
        <w:numPr>
          <w:ilvl w:val="0"/>
          <w:numId w:val="36"/>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4" w:name="_Ref37973222"/>
      <w:r>
        <w:rPr>
          <w:lang w:val="de-DE"/>
        </w:rPr>
        <w:lastRenderedPageBreak/>
        <w:t>Selektionen erzeugen, erweitern und entfernen</w:t>
      </w:r>
      <w:bookmarkEnd w:id="44"/>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5" w:name="_Ref37886638"/>
      <w:bookmarkStart w:id="46" w:name="_Ref34752521"/>
      <w:bookmarkStart w:id="47" w:name="_Toc35466088"/>
      <w:r>
        <w:rPr>
          <w:lang w:val="de-DE"/>
        </w:rPr>
        <w:t>Markierung von Obje</w:t>
      </w:r>
      <w:r w:rsidR="00FA575C">
        <w:rPr>
          <w:lang w:val="de-DE"/>
        </w:rPr>
        <w:t>k</w:t>
      </w:r>
      <w:r>
        <w:rPr>
          <w:lang w:val="de-DE"/>
        </w:rPr>
        <w:t>ten</w:t>
      </w:r>
      <w:bookmarkEnd w:id="45"/>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lastRenderedPageBreak/>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 xml:space="preserve">Rechte Maustaste und „Mark </w:t>
      </w:r>
      <w:proofErr w:type="spellStart"/>
      <w:r w:rsidRPr="00550B89">
        <w:rPr>
          <w:lang w:val="de-DE"/>
        </w:rPr>
        <w:t>selection</w:t>
      </w:r>
      <w:proofErr w:type="spellEnd"/>
      <w:r w:rsidRPr="00550B89">
        <w:rPr>
          <w:lang w:val="de-DE"/>
        </w:rPr>
        <w:t>“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proofErr w:type="spellStart"/>
      <w:r>
        <w:rPr>
          <w:lang w:val="de-DE"/>
        </w:rPr>
        <w:t>Unm</w:t>
      </w:r>
      <w:r w:rsidRPr="00550B89">
        <w:rPr>
          <w:lang w:val="de-DE"/>
        </w:rPr>
        <w:t>ark</w:t>
      </w:r>
      <w:proofErr w:type="spellEnd"/>
      <w:r w:rsidRPr="00550B89">
        <w:rPr>
          <w:lang w:val="de-DE"/>
        </w:rPr>
        <w:t xml:space="preserve"> </w:t>
      </w:r>
      <w:proofErr w:type="spellStart"/>
      <w:r w:rsidRPr="00550B89">
        <w:rPr>
          <w:lang w:val="de-DE"/>
        </w:rPr>
        <w:t>selection</w:t>
      </w:r>
      <w:proofErr w:type="spellEnd"/>
      <w:r w:rsidRPr="00550B89">
        <w:rPr>
          <w:lang w:val="de-DE"/>
        </w:rPr>
        <w:t>“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40"/>
      <w:bookmarkEnd w:id="46"/>
      <w:bookmarkEnd w:id="47"/>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6B03C4">
      <w:pPr>
        <w:pStyle w:val="Listenabsatz"/>
        <w:numPr>
          <w:ilvl w:val="0"/>
          <w:numId w:val="4"/>
        </w:numPr>
        <w:ind w:left="714" w:hanging="357"/>
        <w:contextualSpacing w:val="0"/>
        <w:rPr>
          <w:lang w:val="de-DE"/>
        </w:rPr>
      </w:pPr>
      <w:bookmarkStart w:id="48"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8"/>
    </w:p>
    <w:p w14:paraId="778B636E" w14:textId="7166BBCB"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lastRenderedPageBreak/>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2950D6D9" w:rsidR="00A44B65" w:rsidRDefault="00E904CD" w:rsidP="00E904CD">
      <w:pPr>
        <w:rPr>
          <w:b/>
          <w:bCs/>
          <w:sz w:val="24"/>
          <w:szCs w:val="24"/>
          <w:lang w:val="de-DE"/>
        </w:rPr>
      </w:pPr>
      <w:r w:rsidRPr="002F288F">
        <w:rPr>
          <w:b/>
          <w:bCs/>
          <w:sz w:val="24"/>
          <w:szCs w:val="24"/>
          <w:lang w:val="de-DE"/>
        </w:rPr>
        <w:t>Änderungen in der Version</w:t>
      </w:r>
      <w:r>
        <w:rPr>
          <w:b/>
          <w:bCs/>
          <w:sz w:val="24"/>
          <w:szCs w:val="24"/>
          <w:lang w:val="de-DE"/>
        </w:rPr>
        <w:t xml:space="preserve"> 2020-06-21</w:t>
      </w:r>
      <w:r w:rsidRPr="002F288F">
        <w:rPr>
          <w:b/>
          <w:bCs/>
          <w:sz w:val="24"/>
          <w:szCs w:val="24"/>
          <w:lang w:val="de-DE"/>
        </w:rPr>
        <w:t>:</w:t>
      </w:r>
    </w:p>
    <w:p w14:paraId="1981E8FE" w14:textId="77777777" w:rsidR="00E904CD" w:rsidRPr="00C32E3C" w:rsidRDefault="00E904CD" w:rsidP="00E904CD">
      <w:pPr>
        <w:pStyle w:val="Listenabsatz"/>
        <w:numPr>
          <w:ilvl w:val="0"/>
          <w:numId w:val="45"/>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E904CD">
      <w:pPr>
        <w:pStyle w:val="Listenabsatz"/>
        <w:numPr>
          <w:ilvl w:val="0"/>
          <w:numId w:val="45"/>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E904CD">
      <w:pPr>
        <w:pStyle w:val="Listenabsatz"/>
        <w:numPr>
          <w:ilvl w:val="0"/>
          <w:numId w:val="45"/>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E904CD">
      <w:pPr>
        <w:pStyle w:val="Listenabsatz"/>
        <w:numPr>
          <w:ilvl w:val="0"/>
          <w:numId w:val="45"/>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E904CD">
      <w:pPr>
        <w:pStyle w:val="Listenabsatz"/>
        <w:numPr>
          <w:ilvl w:val="0"/>
          <w:numId w:val="45"/>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E904CD">
      <w:pPr>
        <w:pStyle w:val="Listenabsatz"/>
        <w:numPr>
          <w:ilvl w:val="0"/>
          <w:numId w:val="45"/>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E904CD">
      <w:pPr>
        <w:pStyle w:val="Listenabsatz"/>
        <w:numPr>
          <w:ilvl w:val="0"/>
          <w:numId w:val="45"/>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E904CD">
      <w:pPr>
        <w:pStyle w:val="Listenabsatz"/>
        <w:numPr>
          <w:ilvl w:val="0"/>
          <w:numId w:val="45"/>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4A9B5D52" w14:textId="77777777" w:rsidR="00C32E3C" w:rsidRPr="00A4218D" w:rsidRDefault="00C32E3C" w:rsidP="00E904CD">
      <w:pPr>
        <w:pStyle w:val="Listenabsatz"/>
        <w:numPr>
          <w:ilvl w:val="0"/>
          <w:numId w:val="45"/>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 trigger sounds / Remove selected trigger sounds</w:t>
      </w:r>
    </w:p>
    <w:p w14:paraId="4557E523" w14:textId="77777777" w:rsidR="00C32E3C" w:rsidRPr="00A4218D" w:rsidRDefault="00C32E3C" w:rsidP="00E904CD">
      <w:pPr>
        <w:pStyle w:val="Listenabsatz"/>
        <w:numPr>
          <w:ilvl w:val="0"/>
          <w:numId w:val="45"/>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E904CD">
      <w:pPr>
        <w:pStyle w:val="Listenabsatz"/>
        <w:numPr>
          <w:ilvl w:val="0"/>
          <w:numId w:val="45"/>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765B6B">
      <w:pPr>
        <w:pStyle w:val="Listenabsatz"/>
        <w:numPr>
          <w:ilvl w:val="0"/>
          <w:numId w:val="43"/>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765B6B">
      <w:pPr>
        <w:pStyle w:val="Listenabsatz"/>
        <w:numPr>
          <w:ilvl w:val="0"/>
          <w:numId w:val="43"/>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9365C3">
      <w:pPr>
        <w:pStyle w:val="Listenabsatz"/>
        <w:numPr>
          <w:ilvl w:val="0"/>
          <w:numId w:val="42"/>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w:t>
      </w:r>
      <w:r w:rsidRPr="007A4DBA">
        <w:rPr>
          <w:sz w:val="24"/>
          <w:szCs w:val="24"/>
          <w:lang w:val="de-DE"/>
        </w:rPr>
        <w:lastRenderedPageBreak/>
        <w:t>Operationen für einzelne Objekte funktionieren wie üblich, falls sich der Cursor über dem Objekt befindet.</w:t>
      </w:r>
    </w:p>
    <w:p w14:paraId="4488AF89" w14:textId="21C50652" w:rsidR="008759CC"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7A4DBA">
        <w:rPr>
          <w:b/>
          <w:bCs/>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w:t>
      </w:r>
      <w:r w:rsidRPr="008D37F5">
        <w:rPr>
          <w:sz w:val="24"/>
          <w:szCs w:val="24"/>
          <w:lang w:val="de-DE"/>
        </w:rPr>
        <w:lastRenderedPageBreak/>
        <w:t>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72069" w14:textId="77777777" w:rsidR="00B431C2" w:rsidRDefault="00B431C2" w:rsidP="006C505C">
      <w:pPr>
        <w:spacing w:before="0" w:after="0" w:line="240" w:lineRule="auto"/>
      </w:pPr>
      <w:r>
        <w:separator/>
      </w:r>
    </w:p>
  </w:endnote>
  <w:endnote w:type="continuationSeparator" w:id="0">
    <w:p w14:paraId="60E4AEFA" w14:textId="77777777" w:rsidR="00B431C2" w:rsidRDefault="00B431C2"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DE339" w14:textId="77777777" w:rsidR="00B431C2" w:rsidRDefault="00B431C2" w:rsidP="006C505C">
      <w:pPr>
        <w:spacing w:before="0" w:after="0" w:line="240" w:lineRule="auto"/>
      </w:pPr>
      <w:r>
        <w:separator/>
      </w:r>
    </w:p>
  </w:footnote>
  <w:footnote w:type="continuationSeparator" w:id="0">
    <w:p w14:paraId="3C7F1D49" w14:textId="77777777" w:rsidR="00B431C2" w:rsidRDefault="00B431C2"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7"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4"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3"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4"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5"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4"/>
  </w:num>
  <w:num w:numId="4">
    <w:abstractNumId w:val="9"/>
  </w:num>
  <w:num w:numId="5">
    <w:abstractNumId w:val="13"/>
  </w:num>
  <w:num w:numId="6">
    <w:abstractNumId w:val="11"/>
  </w:num>
  <w:num w:numId="7">
    <w:abstractNumId w:val="25"/>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5"/>
  </w:num>
  <w:num w:numId="23">
    <w:abstractNumId w:val="14"/>
  </w:num>
  <w:num w:numId="24">
    <w:abstractNumId w:val="22"/>
  </w:num>
  <w:num w:numId="25">
    <w:abstractNumId w:val="2"/>
  </w:num>
  <w:num w:numId="26">
    <w:abstractNumId w:val="8"/>
  </w:num>
  <w:num w:numId="27">
    <w:abstractNumId w:val="3"/>
  </w:num>
  <w:num w:numId="28">
    <w:abstractNumId w:val="18"/>
  </w:num>
  <w:num w:numId="29">
    <w:abstractNumId w:val="5"/>
  </w:num>
  <w:num w:numId="30">
    <w:abstractNumId w:val="16"/>
  </w:num>
  <w:num w:numId="31">
    <w:abstractNumId w:val="7"/>
  </w:num>
  <w:num w:numId="32">
    <w:abstractNumId w:val="10"/>
  </w:num>
  <w:num w:numId="33">
    <w:abstractNumId w:val="12"/>
  </w:num>
  <w:num w:numId="34">
    <w:abstractNumId w:val="21"/>
  </w:num>
  <w:num w:numId="35">
    <w:abstractNumId w:val="2"/>
  </w:num>
  <w:num w:numId="36">
    <w:abstractNumId w:val="6"/>
  </w:num>
  <w:num w:numId="37">
    <w:abstractNumId w:val="20"/>
  </w:num>
  <w:num w:numId="38">
    <w:abstractNumId w:val="2"/>
  </w:num>
  <w:num w:numId="39">
    <w:abstractNumId w:val="2"/>
  </w:num>
  <w:num w:numId="40">
    <w:abstractNumId w:val="2"/>
  </w:num>
  <w:num w:numId="41">
    <w:abstractNumId w:val="2"/>
  </w:num>
  <w:num w:numId="42">
    <w:abstractNumId w:val="24"/>
  </w:num>
  <w:num w:numId="43">
    <w:abstractNumId w:val="17"/>
  </w:num>
  <w:num w:numId="44">
    <w:abstractNumId w:val="0"/>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D45"/>
    <w:rsid w:val="00033870"/>
    <w:rsid w:val="00034A83"/>
    <w:rsid w:val="00036DCE"/>
    <w:rsid w:val="0005601A"/>
    <w:rsid w:val="0006246C"/>
    <w:rsid w:val="00062CDF"/>
    <w:rsid w:val="00062E66"/>
    <w:rsid w:val="000851D6"/>
    <w:rsid w:val="000B2675"/>
    <w:rsid w:val="000B4035"/>
    <w:rsid w:val="000B49EE"/>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2E20"/>
    <w:rsid w:val="001F39DA"/>
    <w:rsid w:val="00212D87"/>
    <w:rsid w:val="00216703"/>
    <w:rsid w:val="0022362A"/>
    <w:rsid w:val="0022387A"/>
    <w:rsid w:val="00226C59"/>
    <w:rsid w:val="002303EC"/>
    <w:rsid w:val="002437EB"/>
    <w:rsid w:val="00253311"/>
    <w:rsid w:val="00264667"/>
    <w:rsid w:val="002655E6"/>
    <w:rsid w:val="0027180A"/>
    <w:rsid w:val="002818C9"/>
    <w:rsid w:val="0028421E"/>
    <w:rsid w:val="00284707"/>
    <w:rsid w:val="002A1725"/>
    <w:rsid w:val="002A36A8"/>
    <w:rsid w:val="002A4B85"/>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C62E5"/>
    <w:rsid w:val="003C74C2"/>
    <w:rsid w:val="003E4919"/>
    <w:rsid w:val="003F5E5A"/>
    <w:rsid w:val="0040278D"/>
    <w:rsid w:val="00414E8D"/>
    <w:rsid w:val="004211BF"/>
    <w:rsid w:val="0042461C"/>
    <w:rsid w:val="0043094E"/>
    <w:rsid w:val="004357E4"/>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11CC"/>
    <w:rsid w:val="005E202F"/>
    <w:rsid w:val="005E5021"/>
    <w:rsid w:val="005F0F1B"/>
    <w:rsid w:val="0060398B"/>
    <w:rsid w:val="00605CF3"/>
    <w:rsid w:val="00610A5C"/>
    <w:rsid w:val="006141E9"/>
    <w:rsid w:val="006171BC"/>
    <w:rsid w:val="0062120D"/>
    <w:rsid w:val="00633FA3"/>
    <w:rsid w:val="006733D9"/>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2BB3"/>
    <w:rsid w:val="007C7129"/>
    <w:rsid w:val="007E6C0B"/>
    <w:rsid w:val="00802A27"/>
    <w:rsid w:val="008064FC"/>
    <w:rsid w:val="00821322"/>
    <w:rsid w:val="008226EF"/>
    <w:rsid w:val="00853AE9"/>
    <w:rsid w:val="008571B9"/>
    <w:rsid w:val="00864EE0"/>
    <w:rsid w:val="0086616D"/>
    <w:rsid w:val="008759CC"/>
    <w:rsid w:val="00896755"/>
    <w:rsid w:val="008A0E05"/>
    <w:rsid w:val="008A120D"/>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6BFF"/>
    <w:rsid w:val="00A835A8"/>
    <w:rsid w:val="00A94AD0"/>
    <w:rsid w:val="00AA0682"/>
    <w:rsid w:val="00AA0B41"/>
    <w:rsid w:val="00AA319D"/>
    <w:rsid w:val="00AC37F6"/>
    <w:rsid w:val="00AC7914"/>
    <w:rsid w:val="00AD6326"/>
    <w:rsid w:val="00AE1A2E"/>
    <w:rsid w:val="00B040ED"/>
    <w:rsid w:val="00B14A1A"/>
    <w:rsid w:val="00B14B3C"/>
    <w:rsid w:val="00B2098C"/>
    <w:rsid w:val="00B24E63"/>
    <w:rsid w:val="00B431C2"/>
    <w:rsid w:val="00B452B1"/>
    <w:rsid w:val="00B6339E"/>
    <w:rsid w:val="00B726C5"/>
    <w:rsid w:val="00B92AA9"/>
    <w:rsid w:val="00B96D02"/>
    <w:rsid w:val="00BB072D"/>
    <w:rsid w:val="00BC00C3"/>
    <w:rsid w:val="00BD2D35"/>
    <w:rsid w:val="00BE0451"/>
    <w:rsid w:val="00C038F0"/>
    <w:rsid w:val="00C32E3C"/>
    <w:rsid w:val="00C87491"/>
    <w:rsid w:val="00C9570F"/>
    <w:rsid w:val="00CA1A4D"/>
    <w:rsid w:val="00CB7284"/>
    <w:rsid w:val="00CB7691"/>
    <w:rsid w:val="00CC55DD"/>
    <w:rsid w:val="00CC6F8A"/>
    <w:rsid w:val="00CE0933"/>
    <w:rsid w:val="00CF2999"/>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F92"/>
    <w:rsid w:val="00E366B4"/>
    <w:rsid w:val="00E530CF"/>
    <w:rsid w:val="00E535C8"/>
    <w:rsid w:val="00E5492E"/>
    <w:rsid w:val="00E60357"/>
    <w:rsid w:val="00E73A4F"/>
    <w:rsid w:val="00E83EBD"/>
    <w:rsid w:val="00E8539E"/>
    <w:rsid w:val="00E86294"/>
    <w:rsid w:val="00E904CD"/>
    <w:rsid w:val="00EB1CA9"/>
    <w:rsid w:val="00EB3915"/>
    <w:rsid w:val="00EC6EB7"/>
    <w:rsid w:val="00EC7ADC"/>
    <w:rsid w:val="00ED485F"/>
    <w:rsid w:val="00EE2014"/>
    <w:rsid w:val="00EF2B4E"/>
    <w:rsid w:val="00F301BB"/>
    <w:rsid w:val="00F459DB"/>
    <w:rsid w:val="00F50441"/>
    <w:rsid w:val="00F535A7"/>
    <w:rsid w:val="00F54D3E"/>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6292</Words>
  <Characters>39646</Characters>
  <Application>Microsoft Office Word</Application>
  <DocSecurity>0</DocSecurity>
  <Lines>330</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102</cp:revision>
  <cp:lastPrinted>2019-12-12T22:50:00Z</cp:lastPrinted>
  <dcterms:created xsi:type="dcterms:W3CDTF">2019-12-24T11:57:00Z</dcterms:created>
  <dcterms:modified xsi:type="dcterms:W3CDTF">2020-08-06T10:10:00Z</dcterms:modified>
</cp:coreProperties>
</file>