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3ECA1B7"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w:t>
      </w:r>
      <w:r w:rsidR="00216703">
        <w:rPr>
          <w:sz w:val="36"/>
          <w:szCs w:val="36"/>
          <w:lang w:val="de-DE"/>
        </w:rPr>
        <w:t>7</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72F07E5A" w:rsidR="00EC6EB7" w:rsidRDefault="00A44B65" w:rsidP="00EC6EB7">
      <w:pPr>
        <w:pStyle w:val="Listenabsatz"/>
        <w:numPr>
          <w:ilvl w:val="0"/>
          <w:numId w:val="28"/>
        </w:numPr>
        <w:contextualSpacing w:val="0"/>
        <w:rPr>
          <w:b/>
          <w:bCs/>
          <w:sz w:val="24"/>
          <w:szCs w:val="24"/>
          <w:lang w:val="de-DE"/>
        </w:rPr>
      </w:pPr>
      <w:r>
        <w:rPr>
          <w:b/>
          <w:bCs/>
          <w:sz w:val="24"/>
          <w:szCs w:val="24"/>
          <w:lang w:val="de-DE"/>
        </w:rPr>
        <w:t>Ein</w:t>
      </w:r>
      <w:r w:rsidR="00EC6EB7">
        <w:rPr>
          <w:b/>
          <w:bCs/>
          <w:sz w:val="24"/>
          <w:szCs w:val="24"/>
          <w:lang w:val="de-DE"/>
        </w:rPr>
        <w:t xml:space="preserve"> visuelles Signal beim Auslösen eines Neurons (kurzes Aufblitzen) wurde implementiert. Falls mit dem Neuron ein akustisches Signal verbunden ist, dann erfolgen akustisches und visuelles Signal gleichzeitig. Siehe </w:t>
      </w:r>
      <w:proofErr w:type="spellStart"/>
      <w:r w:rsidR="00EC6EB7">
        <w:rPr>
          <w:b/>
          <w:bCs/>
          <w:sz w:val="24"/>
          <w:szCs w:val="24"/>
          <w:lang w:val="de-DE"/>
        </w:rPr>
        <w:t>Github</w:t>
      </w:r>
      <w:proofErr w:type="spellEnd"/>
      <w:r w:rsidR="00EC6EB7">
        <w:rPr>
          <w:b/>
          <w:bCs/>
          <w:sz w:val="24"/>
          <w:szCs w:val="24"/>
          <w:lang w:val="de-DE"/>
        </w:rPr>
        <w:t xml:space="preserve"> </w:t>
      </w:r>
      <w:proofErr w:type="spellStart"/>
      <w:r w:rsidR="00EC6EB7">
        <w:rPr>
          <w:b/>
          <w:bCs/>
          <w:sz w:val="24"/>
          <w:szCs w:val="24"/>
          <w:lang w:val="de-DE"/>
        </w:rPr>
        <w:t>Issue</w:t>
      </w:r>
      <w:proofErr w:type="spellEnd"/>
      <w:r w:rsidR="00EC6EB7">
        <w:rPr>
          <w:b/>
          <w:bCs/>
          <w:sz w:val="24"/>
          <w:szCs w:val="24"/>
          <w:lang w:val="de-DE"/>
        </w:rPr>
        <w:t xml:space="preserve"> #27. Die bisherige Ausgabe „TRIGGER“ wurde entfernt. Stattdessen wird immer das aktuelle Potential in Prozent angezeigt, auch wenn dieses über 100% liegt.</w:t>
      </w:r>
    </w:p>
    <w:p w14:paraId="6FF2B462" w14:textId="77777777" w:rsidR="006141E9" w:rsidRDefault="000D1279" w:rsidP="007B2F6B">
      <w:pPr>
        <w:pStyle w:val="Listenabsatz"/>
        <w:numPr>
          <w:ilvl w:val="0"/>
          <w:numId w:val="28"/>
        </w:numPr>
        <w:ind w:left="714" w:hanging="357"/>
        <w:contextualSpacing w:val="0"/>
        <w:rPr>
          <w:b/>
          <w:bCs/>
          <w:sz w:val="24"/>
          <w:szCs w:val="24"/>
          <w:lang w:val="de-DE"/>
        </w:rPr>
      </w:pPr>
      <w:r>
        <w:rPr>
          <w:b/>
          <w:bCs/>
          <w:sz w:val="24"/>
          <w:szCs w:val="24"/>
          <w:lang w:val="de-DE"/>
        </w:rPr>
        <w:t xml:space="preserve">Neue Funktion Alle ausgewählten Objekte verschieben, siehe GitHub </w:t>
      </w:r>
      <w:proofErr w:type="spellStart"/>
      <w:r>
        <w:rPr>
          <w:b/>
          <w:bCs/>
          <w:sz w:val="24"/>
          <w:szCs w:val="24"/>
          <w:lang w:val="de-DE"/>
        </w:rPr>
        <w:t>Issue</w:t>
      </w:r>
      <w:proofErr w:type="spellEnd"/>
      <w:r>
        <w:rPr>
          <w:b/>
          <w:bCs/>
          <w:sz w:val="24"/>
          <w:szCs w:val="24"/>
          <w:lang w:val="de-DE"/>
        </w:rPr>
        <w:t xml:space="preserve"> #30. Die Move-Operation (linke Maustaste gedrückt halten und ziehen) </w:t>
      </w:r>
      <w:r w:rsidR="00AA319D">
        <w:rPr>
          <w:b/>
          <w:bCs/>
          <w:sz w:val="24"/>
          <w:szCs w:val="24"/>
          <w:lang w:val="de-DE"/>
        </w:rPr>
        <w:t xml:space="preserve">auf den Hintergrund </w:t>
      </w:r>
      <w:r>
        <w:rPr>
          <w:b/>
          <w:bCs/>
          <w:sz w:val="24"/>
          <w:szCs w:val="24"/>
          <w:lang w:val="de-DE"/>
        </w:rPr>
        <w:t>wirkt automatisch nur auf die Auswahl, falls eine solche definiert ist.</w:t>
      </w:r>
      <w:r w:rsidR="00AA319D">
        <w:rPr>
          <w:b/>
          <w:bCs/>
          <w:sz w:val="24"/>
          <w:szCs w:val="24"/>
          <w:lang w:val="de-DE"/>
        </w:rPr>
        <w:t xml:space="preserve"> Normale Move-Operationen für einzelne Objekte funktionieren wie üblich, falls sich der Cursor über dem Objekt befindet.</w:t>
      </w:r>
    </w:p>
    <w:p w14:paraId="0A97BDA3" w14:textId="3CBB9731" w:rsidR="00DC7C56" w:rsidRPr="00F7622E" w:rsidRDefault="006141E9" w:rsidP="007B2F6B">
      <w:pPr>
        <w:pStyle w:val="Listenabsatz"/>
        <w:numPr>
          <w:ilvl w:val="0"/>
          <w:numId w:val="28"/>
        </w:numPr>
        <w:ind w:left="714" w:hanging="357"/>
        <w:contextualSpacing w:val="0"/>
        <w:rPr>
          <w:b/>
          <w:bCs/>
          <w:sz w:val="24"/>
          <w:szCs w:val="24"/>
          <w:lang w:val="de-DE"/>
        </w:rPr>
      </w:pPr>
      <w:r>
        <w:rPr>
          <w:b/>
          <w:bCs/>
          <w:sz w:val="24"/>
          <w:szCs w:val="24"/>
          <w:lang w:val="de-DE"/>
        </w:rPr>
        <w:t xml:space="preserve">Dieses Dokument: Die Beschreibung von Selektion </w:t>
      </w:r>
      <w:r>
        <w:rPr>
          <w:b/>
          <w:bCs/>
          <w:sz w:val="24"/>
          <w:szCs w:val="24"/>
          <w:lang w:val="de-DE"/>
        </w:rPr>
        <w:fldChar w:fldCharType="begin"/>
      </w:r>
      <w:r>
        <w:rPr>
          <w:b/>
          <w:bCs/>
          <w:sz w:val="24"/>
          <w:szCs w:val="24"/>
          <w:lang w:val="de-DE"/>
        </w:rPr>
        <w:instrText xml:space="preserve"> REF _Ref37800388 \r \h </w:instrText>
      </w:r>
      <w:r>
        <w:rPr>
          <w:b/>
          <w:bCs/>
          <w:sz w:val="24"/>
          <w:szCs w:val="24"/>
          <w:lang w:val="de-DE"/>
        </w:rPr>
      </w:r>
      <w:r>
        <w:rPr>
          <w:b/>
          <w:bCs/>
          <w:sz w:val="24"/>
          <w:szCs w:val="24"/>
          <w:lang w:val="de-DE"/>
        </w:rPr>
        <w:fldChar w:fldCharType="separate"/>
      </w:r>
      <w:r>
        <w:rPr>
          <w:b/>
          <w:bCs/>
          <w:sz w:val="24"/>
          <w:szCs w:val="24"/>
          <w:lang w:val="de-DE"/>
        </w:rPr>
        <w:t>4.7</w:t>
      </w:r>
      <w:r>
        <w:rPr>
          <w:b/>
          <w:bCs/>
          <w:sz w:val="24"/>
          <w:szCs w:val="24"/>
          <w:lang w:val="de-DE"/>
        </w:rPr>
        <w:fldChar w:fldCharType="end"/>
      </w:r>
      <w:r>
        <w:rPr>
          <w:b/>
          <w:bCs/>
          <w:sz w:val="24"/>
          <w:szCs w:val="24"/>
          <w:lang w:val="de-DE"/>
        </w:rPr>
        <w:t xml:space="preserve"> und Markierung </w:t>
      </w:r>
      <w:r>
        <w:rPr>
          <w:b/>
          <w:bCs/>
          <w:sz w:val="24"/>
          <w:szCs w:val="24"/>
          <w:lang w:val="de-DE"/>
        </w:rPr>
        <w:fldChar w:fldCharType="begin"/>
      </w:r>
      <w:r>
        <w:rPr>
          <w:b/>
          <w:bCs/>
          <w:sz w:val="24"/>
          <w:szCs w:val="24"/>
          <w:lang w:val="de-DE"/>
        </w:rPr>
        <w:instrText xml:space="preserve"> REF _Ref37886638 \r \h </w:instrText>
      </w:r>
      <w:r>
        <w:rPr>
          <w:b/>
          <w:bCs/>
          <w:sz w:val="24"/>
          <w:szCs w:val="24"/>
          <w:lang w:val="de-DE"/>
        </w:rPr>
      </w:r>
      <w:r>
        <w:rPr>
          <w:b/>
          <w:bCs/>
          <w:sz w:val="24"/>
          <w:szCs w:val="24"/>
          <w:lang w:val="de-DE"/>
        </w:rPr>
        <w:fldChar w:fldCharType="separate"/>
      </w:r>
      <w:r>
        <w:rPr>
          <w:b/>
          <w:bCs/>
          <w:sz w:val="24"/>
          <w:szCs w:val="24"/>
          <w:lang w:val="de-DE"/>
        </w:rPr>
        <w:t>4.8</w:t>
      </w:r>
      <w:r>
        <w:rPr>
          <w:b/>
          <w:bCs/>
          <w:sz w:val="24"/>
          <w:szCs w:val="24"/>
          <w:lang w:val="de-DE"/>
        </w:rPr>
        <w:fldChar w:fldCharType="end"/>
      </w:r>
      <w:r>
        <w:rPr>
          <w:b/>
          <w:bCs/>
          <w:sz w:val="24"/>
          <w:szCs w:val="24"/>
          <w:lang w:val="de-DE"/>
        </w:rPr>
        <w:t xml:space="preserve"> wurde erweitert und präzisiert. Vorher war der Begriff „Selektion“ nicht konsistent benutzt worden, was zu Missverständnissen führen könnte</w:t>
      </w:r>
      <w:r w:rsidR="000D1279">
        <w:rPr>
          <w:b/>
          <w:bCs/>
          <w:sz w:val="24"/>
          <w:szCs w:val="24"/>
          <w:lang w:val="de-DE"/>
        </w:rPr>
        <w:br/>
      </w:r>
      <w:r w:rsidR="00F7622E">
        <w:rPr>
          <w:b/>
          <w:bCs/>
          <w:sz w:val="24"/>
          <w:szCs w:val="24"/>
          <w:lang w:val="de-DE"/>
        </w:rPr>
        <w:br/>
      </w:r>
      <w:r w:rsidR="00E86294" w:rsidRPr="00F7622E">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lastRenderedPageBreak/>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lastRenderedPageBreak/>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r>
        <w:rPr>
          <w:lang w:val="de-DE"/>
        </w:rPr>
        <w:t>Operationen auf Selektionen</w:t>
      </w:r>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78587064" w:rsidR="00FA575C" w:rsidRPr="00FA575C" w:rsidRDefault="00FA575C" w:rsidP="00FA575C">
      <w:pPr>
        <w:pStyle w:val="Listenabsatz"/>
        <w:numPr>
          <w:ilvl w:val="0"/>
          <w:numId w:val="36"/>
        </w:numPr>
        <w:rPr>
          <w:lang w:val="de-DE"/>
        </w:rPr>
      </w:pPr>
      <w:r w:rsidRPr="00FA575C">
        <w:rPr>
          <w:lang w:val="de-DE"/>
        </w:rPr>
        <w:t>Löschen</w:t>
      </w:r>
      <w:r>
        <w:rPr>
          <w:lang w:val="de-DE"/>
        </w:rPr>
        <w:t xml:space="preserve"> (noch nicht implementiert)</w:t>
      </w:r>
    </w:p>
    <w:p w14:paraId="5C3A733F" w14:textId="3BE6298F" w:rsidR="00FA575C" w:rsidRPr="00FA575C" w:rsidRDefault="00FA575C" w:rsidP="00FA575C">
      <w:pPr>
        <w:pStyle w:val="Listenabsatz"/>
        <w:numPr>
          <w:ilvl w:val="0"/>
          <w:numId w:val="36"/>
        </w:numPr>
        <w:rPr>
          <w:lang w:val="de-DE"/>
        </w:rPr>
      </w:pPr>
      <w:r w:rsidRPr="00FA575C">
        <w:rPr>
          <w:lang w:val="de-DE"/>
        </w:rPr>
        <w:t>Duplizieren</w:t>
      </w:r>
      <w:r>
        <w:rPr>
          <w:lang w:val="de-DE"/>
        </w:rPr>
        <w:t xml:space="preserve"> (noch nicht implementiert)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1" w:name="_Ref37973222"/>
      <w:r>
        <w:rPr>
          <w:lang w:val="de-DE"/>
        </w:rPr>
        <w:t>Selektionen erzeugen, erweitern und entfernen</w:t>
      </w:r>
      <w:bookmarkEnd w:id="41"/>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lastRenderedPageBreak/>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2" w:name="_Ref37886638"/>
      <w:bookmarkStart w:id="43" w:name="_Ref34752521"/>
      <w:bookmarkStart w:id="44" w:name="_Toc35466088"/>
      <w:r>
        <w:rPr>
          <w:lang w:val="de-DE"/>
        </w:rPr>
        <w:t>Markierung von Obje</w:t>
      </w:r>
      <w:r w:rsidR="00FA575C">
        <w:rPr>
          <w:lang w:val="de-DE"/>
        </w:rPr>
        <w:t>k</w:t>
      </w:r>
      <w:r>
        <w:rPr>
          <w:lang w:val="de-DE"/>
        </w:rPr>
        <w:t>ten</w:t>
      </w:r>
      <w:bookmarkEnd w:id="42"/>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3"/>
      <w:bookmarkEnd w:id="44"/>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 xml:space="preserve">liert, sondern die Verbindungen zwischen Neuronen werden so behandelt, als würden die </w:t>
      </w:r>
      <w:r>
        <w:rPr>
          <w:lang w:val="de-DE"/>
        </w:rPr>
        <w:lastRenderedPageBreak/>
        <w:t>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5"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5"/>
    </w:p>
    <w:p w14:paraId="778B636E" w14:textId="35813D4F"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4488AF89" w14:textId="1A28E961" w:rsidR="008759CC" w:rsidRPr="002F288F" w:rsidRDefault="008759CC" w:rsidP="008759CC">
      <w:pPr>
        <w:rPr>
          <w:b/>
          <w:bCs/>
          <w:sz w:val="24"/>
          <w:szCs w:val="24"/>
          <w:lang w:val="de-DE"/>
        </w:rPr>
      </w:pPr>
      <w:r w:rsidRPr="002F288F">
        <w:rPr>
          <w:b/>
          <w:bCs/>
          <w:sz w:val="24"/>
          <w:szCs w:val="24"/>
          <w:lang w:val="de-DE"/>
        </w:rPr>
        <w:t>Änderungen in der Version</w:t>
      </w:r>
      <w:r w:rsidR="00547ACA">
        <w:rPr>
          <w:b/>
          <w:bCs/>
          <w:sz w:val="24"/>
          <w:szCs w:val="24"/>
          <w:lang w:val="de-DE"/>
        </w:rPr>
        <w:t xml:space="preserve"> 2020-04-16</w:t>
      </w:r>
      <w:r w:rsidRPr="002F288F">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w:t>
      </w:r>
      <w:r w:rsidRPr="008D37F5">
        <w:rPr>
          <w:sz w:val="24"/>
          <w:szCs w:val="24"/>
          <w:lang w:val="de-DE"/>
        </w:rPr>
        <w:lastRenderedPageBreak/>
        <w:t>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76D5" w14:textId="77777777" w:rsidR="008D2CE6" w:rsidRDefault="008D2CE6" w:rsidP="006C505C">
      <w:pPr>
        <w:spacing w:before="0" w:after="0" w:line="240" w:lineRule="auto"/>
      </w:pPr>
      <w:r>
        <w:separator/>
      </w:r>
    </w:p>
  </w:endnote>
  <w:endnote w:type="continuationSeparator" w:id="0">
    <w:p w14:paraId="3C98F1DC" w14:textId="77777777" w:rsidR="008D2CE6" w:rsidRDefault="008D2CE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19DCA" w14:textId="77777777" w:rsidR="008D2CE6" w:rsidRDefault="008D2CE6" w:rsidP="006C505C">
      <w:pPr>
        <w:spacing w:before="0" w:after="0" w:line="240" w:lineRule="auto"/>
      </w:pPr>
      <w:r>
        <w:separator/>
      </w:r>
    </w:p>
  </w:footnote>
  <w:footnote w:type="continuationSeparator" w:id="0">
    <w:p w14:paraId="03438822" w14:textId="77777777" w:rsidR="008D2CE6" w:rsidRDefault="008D2CE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13"/>
  </w:num>
  <w:num w:numId="24">
    <w:abstractNumId w:val="19"/>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8"/>
  </w:num>
  <w:num w:numId="35">
    <w:abstractNumId w:val="1"/>
  </w:num>
  <w:num w:numId="36">
    <w:abstractNumId w:val="5"/>
  </w:num>
  <w:num w:numId="37">
    <w:abstractNumId w:val="17"/>
  </w:num>
  <w:num w:numId="38">
    <w:abstractNumId w:val="1"/>
  </w:num>
  <w:num w:numId="39">
    <w:abstractNumId w:val="1"/>
  </w:num>
  <w:num w:numId="40">
    <w:abstractNumId w:val="1"/>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6246C"/>
    <w:rsid w:val="00062CDF"/>
    <w:rsid w:val="00062E66"/>
    <w:rsid w:val="000851D6"/>
    <w:rsid w:val="000B2675"/>
    <w:rsid w:val="000B49EE"/>
    <w:rsid w:val="000C7CF4"/>
    <w:rsid w:val="000D1279"/>
    <w:rsid w:val="000E0E2A"/>
    <w:rsid w:val="000E50EE"/>
    <w:rsid w:val="000E548A"/>
    <w:rsid w:val="00104369"/>
    <w:rsid w:val="001061B3"/>
    <w:rsid w:val="00133B3B"/>
    <w:rsid w:val="00143C0A"/>
    <w:rsid w:val="00153B3A"/>
    <w:rsid w:val="001672AD"/>
    <w:rsid w:val="0019103C"/>
    <w:rsid w:val="00197E22"/>
    <w:rsid w:val="001C2369"/>
    <w:rsid w:val="001C3FCD"/>
    <w:rsid w:val="001D7CD9"/>
    <w:rsid w:val="001E03E3"/>
    <w:rsid w:val="001E79AC"/>
    <w:rsid w:val="001F39DA"/>
    <w:rsid w:val="00216703"/>
    <w:rsid w:val="0022362A"/>
    <w:rsid w:val="0022387A"/>
    <w:rsid w:val="002303EC"/>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47ACA"/>
    <w:rsid w:val="00550B89"/>
    <w:rsid w:val="00561A32"/>
    <w:rsid w:val="00575A45"/>
    <w:rsid w:val="00575B82"/>
    <w:rsid w:val="0059644C"/>
    <w:rsid w:val="005A3A47"/>
    <w:rsid w:val="005B1936"/>
    <w:rsid w:val="005B665F"/>
    <w:rsid w:val="005C3F0C"/>
    <w:rsid w:val="005E202F"/>
    <w:rsid w:val="005E5021"/>
    <w:rsid w:val="00605CF3"/>
    <w:rsid w:val="00610A5C"/>
    <w:rsid w:val="006141E9"/>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B2F6B"/>
    <w:rsid w:val="007B32C4"/>
    <w:rsid w:val="007B68AA"/>
    <w:rsid w:val="007C2BB3"/>
    <w:rsid w:val="007E6C0B"/>
    <w:rsid w:val="00802A27"/>
    <w:rsid w:val="008064FC"/>
    <w:rsid w:val="008226EF"/>
    <w:rsid w:val="00853AE9"/>
    <w:rsid w:val="00864EE0"/>
    <w:rsid w:val="0086616D"/>
    <w:rsid w:val="008759CC"/>
    <w:rsid w:val="00896755"/>
    <w:rsid w:val="008B1DB2"/>
    <w:rsid w:val="008C0CAD"/>
    <w:rsid w:val="008C336A"/>
    <w:rsid w:val="008C429B"/>
    <w:rsid w:val="008C5092"/>
    <w:rsid w:val="008D2CE6"/>
    <w:rsid w:val="008D37F5"/>
    <w:rsid w:val="008F43C8"/>
    <w:rsid w:val="009051C9"/>
    <w:rsid w:val="009263E1"/>
    <w:rsid w:val="00931743"/>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92AA9"/>
    <w:rsid w:val="00B96D02"/>
    <w:rsid w:val="00BB072D"/>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B9EF-3E53-4E0A-BBE5-0FCE5922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5592</Words>
  <Characters>35235</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64</cp:revision>
  <cp:lastPrinted>2019-12-12T22:50:00Z</cp:lastPrinted>
  <dcterms:created xsi:type="dcterms:W3CDTF">2019-12-24T11:57:00Z</dcterms:created>
  <dcterms:modified xsi:type="dcterms:W3CDTF">2020-04-17T21:16:00Z</dcterms:modified>
</cp:coreProperties>
</file>