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2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430"/>
        <w:gridCol w:w="6150"/>
        <w:gridCol w:w="3495"/>
        <w:tblGridChange w:id="0">
          <w:tblGrid>
            <w:gridCol w:w="705"/>
            <w:gridCol w:w="2430"/>
            <w:gridCol w:w="6150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466.01196289062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authentication, JWT token generation and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bcryptjs, jsonwebtoken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Product CRUD operations and search functionality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 REST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 user accounts and product inventory data securely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Atlas, Mongoose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Handles secure data transfer between frontend and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 API, Axios, HTTPS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2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030"/>
        <w:gridCol w:w="4575"/>
        <w:gridCol w:w="4260"/>
        <w:tblGridChange w:id="0">
          <w:tblGrid>
            <w:gridCol w:w="945"/>
            <w:gridCol w:w="3030"/>
            <w:gridCol w:w="457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frameworks used in the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MVC architecture supporting future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 API Architecture, JWT Middleware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and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Authentication, bcrypt Password Hashing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Fast loading UI and efficient database queries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Vite, MongoDB Indexing</w:t>
            </w:r>
          </w:p>
        </w:tc>
      </w:tr>
      <w:tr>
        <w:trPr>
          <w:cantSplit w:val="0"/>
          <w:trHeight w:val="1006.011962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Supports multiple devices and screen sizes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Tailwind CSS, Responsive Layout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