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46D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  <w:r w:rsidRPr="009A5435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169545</wp:posOffset>
            </wp:positionV>
            <wp:extent cx="2457450" cy="1228725"/>
            <wp:effectExtent l="0" t="0" r="0" b="0"/>
            <wp:wrapTight wrapText="bothSides">
              <wp:wrapPolygon edited="0">
                <wp:start x="4856" y="3349"/>
                <wp:lineTo x="3349" y="5023"/>
                <wp:lineTo x="1674" y="7702"/>
                <wp:lineTo x="1674" y="9377"/>
                <wp:lineTo x="2344" y="17079"/>
                <wp:lineTo x="8540" y="18419"/>
                <wp:lineTo x="17581" y="19088"/>
                <wp:lineTo x="18753" y="19088"/>
                <wp:lineTo x="19758" y="14735"/>
                <wp:lineTo x="18251" y="9377"/>
                <wp:lineTo x="19591" y="4688"/>
                <wp:lineTo x="19591" y="3349"/>
                <wp:lineTo x="4856" y="3349"/>
              </wp:wrapPolygon>
            </wp:wrapTight>
            <wp:docPr id="3" name="Picture 3" descr="Description: ICTA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CTA-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Pr="009A5435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Default="0034046D" w:rsidP="0034046D">
      <w:pPr>
        <w:rPr>
          <w:rFonts w:asciiTheme="minorHAnsi" w:hAnsiTheme="minorHAnsi" w:cstheme="minorHAnsi"/>
          <w:sz w:val="28"/>
          <w:szCs w:val="28"/>
        </w:rPr>
      </w:pPr>
    </w:p>
    <w:p w:rsidR="0034046D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</w:p>
    <w:p w:rsidR="0034046D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</w:p>
    <w:p w:rsidR="0034046D" w:rsidRPr="00A053E1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  <w:r w:rsidRPr="00A053E1">
        <w:rPr>
          <w:rFonts w:asciiTheme="minorHAnsi" w:hAnsiTheme="minorHAnsi" w:cstheme="minorHAnsi"/>
          <w:b/>
          <w:sz w:val="28"/>
          <w:szCs w:val="28"/>
        </w:rPr>
        <w:t>QUARTERLY REPORT</w:t>
      </w:r>
    </w:p>
    <w:p w:rsidR="0034046D" w:rsidRPr="00A053E1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PERIOD: JULY</w:t>
      </w:r>
      <w:r w:rsidRPr="00A053E1">
        <w:rPr>
          <w:rFonts w:asciiTheme="minorHAnsi" w:hAnsiTheme="minorHAnsi" w:cstheme="minorHAnsi"/>
          <w:b/>
          <w:sz w:val="28"/>
          <w:szCs w:val="28"/>
        </w:rPr>
        <w:t xml:space="preserve"> – </w:t>
      </w:r>
      <w:r>
        <w:rPr>
          <w:rFonts w:asciiTheme="minorHAnsi" w:hAnsiTheme="minorHAnsi" w:cstheme="minorHAnsi"/>
          <w:b/>
          <w:sz w:val="28"/>
          <w:szCs w:val="28"/>
        </w:rPr>
        <w:t>SEPTEMBER</w:t>
      </w:r>
      <w:r w:rsidRPr="00A053E1">
        <w:rPr>
          <w:rFonts w:asciiTheme="minorHAnsi" w:hAnsiTheme="minorHAnsi" w:cstheme="minorHAnsi"/>
          <w:b/>
          <w:sz w:val="28"/>
          <w:szCs w:val="28"/>
        </w:rPr>
        <w:t xml:space="preserve"> 2017</w:t>
      </w:r>
    </w:p>
    <w:p w:rsidR="0034046D" w:rsidRPr="00A053E1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ORGANIZATION: </w:t>
      </w:r>
      <w:r w:rsidRPr="00A053E1">
        <w:rPr>
          <w:rFonts w:asciiTheme="minorHAnsi" w:hAnsiTheme="minorHAnsi" w:cstheme="minorHAnsi"/>
          <w:b/>
          <w:sz w:val="28"/>
          <w:szCs w:val="28"/>
        </w:rPr>
        <w:t>ICTA</w:t>
      </w:r>
    </w:p>
    <w:p w:rsidR="0034046D" w:rsidRPr="00A053E1" w:rsidRDefault="0034046D" w:rsidP="0034046D">
      <w:pPr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DEPARTMENT: </w:t>
      </w:r>
      <w:r w:rsidRPr="00A053E1">
        <w:rPr>
          <w:rFonts w:asciiTheme="minorHAnsi" w:hAnsiTheme="minorHAnsi" w:cstheme="minorHAnsi"/>
          <w:b/>
          <w:sz w:val="28"/>
          <w:szCs w:val="28"/>
        </w:rPr>
        <w:t>STANDARDS AND PROCESSES</w:t>
      </w:r>
    </w:p>
    <w:p w:rsidR="00E54A26" w:rsidRDefault="00E54A26" w:rsidP="00E54A26">
      <w:pPr>
        <w:rPr>
          <w:rFonts w:cs="Calibri"/>
          <w:sz w:val="28"/>
          <w:szCs w:val="28"/>
        </w:rPr>
      </w:pPr>
    </w:p>
    <w:p w:rsidR="00E54A26" w:rsidRPr="00AB5519" w:rsidRDefault="00E54A26" w:rsidP="00E54A26">
      <w:pPr>
        <w:rPr>
          <w:rFonts w:cs="Calibri"/>
          <w:sz w:val="24"/>
          <w:szCs w:val="24"/>
        </w:rPr>
      </w:pPr>
      <w:r>
        <w:rPr>
          <w:rFonts w:cs="Calibri"/>
          <w:sz w:val="28"/>
          <w:szCs w:val="28"/>
        </w:rPr>
        <w:br w:type="page"/>
      </w:r>
      <w:r w:rsidRPr="00AB5519">
        <w:rPr>
          <w:rFonts w:cs="Calibri"/>
          <w:sz w:val="24"/>
          <w:szCs w:val="24"/>
        </w:rPr>
        <w:lastRenderedPageBreak/>
        <w:t>This quarterly report covers the months of</w:t>
      </w:r>
      <w:r>
        <w:rPr>
          <w:rFonts w:cs="Calibri"/>
          <w:sz w:val="24"/>
          <w:szCs w:val="24"/>
        </w:rPr>
        <w:t xml:space="preserve"> July, August and September 2017</w:t>
      </w:r>
      <w:r w:rsidRPr="00AB5519">
        <w:rPr>
          <w:rFonts w:cs="Calibri"/>
          <w:sz w:val="24"/>
          <w:szCs w:val="24"/>
        </w:rPr>
        <w:t>.  Over this</w:t>
      </w:r>
    </w:p>
    <w:p w:rsidR="00E54A26" w:rsidRPr="00AB5519" w:rsidRDefault="00E54A26" w:rsidP="00E54A26">
      <w:pPr>
        <w:rPr>
          <w:rFonts w:cs="Calibri"/>
          <w:sz w:val="24"/>
          <w:szCs w:val="24"/>
        </w:rPr>
      </w:pPr>
      <w:r w:rsidRPr="00AB5519">
        <w:rPr>
          <w:rFonts w:cs="Calibri"/>
          <w:sz w:val="24"/>
          <w:szCs w:val="24"/>
        </w:rPr>
        <w:t xml:space="preserve">period, the </w:t>
      </w:r>
      <w:r>
        <w:rPr>
          <w:rFonts w:cs="Calibri"/>
          <w:sz w:val="24"/>
          <w:szCs w:val="24"/>
        </w:rPr>
        <w:t>standards and processes</w:t>
      </w:r>
      <w:r w:rsidRPr="00AB5519">
        <w:rPr>
          <w:rFonts w:cs="Calibri"/>
          <w:sz w:val="24"/>
          <w:szCs w:val="24"/>
        </w:rPr>
        <w:t xml:space="preserve"> team focused mostly on regional activities, in particular the work on</w:t>
      </w:r>
      <w:r>
        <w:rPr>
          <w:rFonts w:cs="Calibri"/>
          <w:sz w:val="24"/>
          <w:szCs w:val="24"/>
        </w:rPr>
        <w:t xml:space="preserve"> automation and literacy survey</w:t>
      </w:r>
      <w:r w:rsidRPr="00AB5519">
        <w:rPr>
          <w:rFonts w:cs="Calibri"/>
          <w:sz w:val="24"/>
          <w:szCs w:val="24"/>
        </w:rPr>
        <w:t>.</w:t>
      </w:r>
    </w:p>
    <w:p w:rsidR="00E54A26" w:rsidRDefault="00E54A26" w:rsidP="00E54A26">
      <w:pPr>
        <w:rPr>
          <w:rFonts w:cs="Calibri"/>
          <w:sz w:val="28"/>
          <w:szCs w:val="28"/>
        </w:rPr>
      </w:pPr>
    </w:p>
    <w:p w:rsidR="00E54A26" w:rsidRDefault="00E54A26" w:rsidP="00E54A26">
      <w:pPr>
        <w:rPr>
          <w:rFonts w:cs="Calibri"/>
          <w:sz w:val="28"/>
          <w:szCs w:val="28"/>
        </w:rPr>
      </w:pPr>
    </w:p>
    <w:p w:rsidR="00E54A26" w:rsidRDefault="00E54A26" w:rsidP="00E54A26">
      <w:pPr>
        <w:rPr>
          <w:rFonts w:cs="Calibri"/>
          <w:sz w:val="28"/>
          <w:szCs w:val="28"/>
        </w:rPr>
      </w:pPr>
    </w:p>
    <w:p w:rsidR="00E54A26" w:rsidRDefault="00E54A26" w:rsidP="00E54A26">
      <w:pPr>
        <w:rPr>
          <w:rFonts w:cs="Calibri"/>
          <w:sz w:val="28"/>
          <w:szCs w:val="28"/>
        </w:rPr>
      </w:pPr>
    </w:p>
    <w:p w:rsidR="00E54A26" w:rsidRDefault="00E54A26" w:rsidP="00E54A26">
      <w:pPr>
        <w:rPr>
          <w:rFonts w:cs="Calibri"/>
          <w:sz w:val="28"/>
          <w:szCs w:val="28"/>
        </w:rPr>
        <w:sectPr w:rsidR="00E54A26" w:rsidSect="00CD2C12">
          <w:headerReference w:type="default" r:id="rId8"/>
          <w:footerReference w:type="default" r:id="rId9"/>
          <w:pgSz w:w="12240" w:h="15840"/>
          <w:pgMar w:top="1440" w:right="1296" w:bottom="1440" w:left="1296" w:header="720" w:footer="720" w:gutter="0"/>
          <w:cols w:space="720"/>
          <w:docGrid w:linePitch="360"/>
        </w:sectPr>
      </w:pPr>
    </w:p>
    <w:p w:rsidR="00E54A26" w:rsidRPr="0034046D" w:rsidRDefault="00E54A26" w:rsidP="00E54A26">
      <w:pPr>
        <w:rPr>
          <w:rFonts w:cs="Calibri"/>
          <w:b/>
          <w:sz w:val="32"/>
          <w:szCs w:val="32"/>
        </w:rPr>
      </w:pPr>
      <w:r w:rsidRPr="0034046D">
        <w:rPr>
          <w:rFonts w:cs="Calibri"/>
          <w:b/>
          <w:sz w:val="32"/>
          <w:szCs w:val="32"/>
        </w:rPr>
        <w:lastRenderedPageBreak/>
        <w:t>PERFORMANCE CONTRACTING QUARTERLY REPORTING FORM</w:t>
      </w:r>
    </w:p>
    <w:p w:rsidR="00E54A26" w:rsidRPr="00B56907" w:rsidRDefault="00E54A26" w:rsidP="00E54A26">
      <w:pPr>
        <w:jc w:val="center"/>
        <w:rPr>
          <w:rFonts w:cs="Calibri"/>
          <w:sz w:val="32"/>
          <w:szCs w:val="32"/>
        </w:rPr>
      </w:pPr>
    </w:p>
    <w:tbl>
      <w:tblPr>
        <w:tblW w:w="14490" w:type="dxa"/>
        <w:tblInd w:w="-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"/>
        <w:gridCol w:w="3184"/>
        <w:gridCol w:w="912"/>
        <w:gridCol w:w="1530"/>
        <w:gridCol w:w="1928"/>
        <w:gridCol w:w="1459"/>
        <w:gridCol w:w="1138"/>
        <w:gridCol w:w="1532"/>
        <w:gridCol w:w="1065"/>
        <w:gridCol w:w="1196"/>
      </w:tblGrid>
      <w:tr w:rsidR="00E54A26" w:rsidRPr="00B56907" w:rsidTr="00690A4F">
        <w:tc>
          <w:tcPr>
            <w:tcW w:w="14490" w:type="dxa"/>
            <w:gridSpan w:val="10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 xml:space="preserve">QUARTERLY PERFORMANCE CONTRACT REPORT                                                                                                                                                                    </w:t>
            </w:r>
            <w:r w:rsidRPr="00B56907">
              <w:rPr>
                <w:rFonts w:cs="Calibri"/>
                <w:b/>
              </w:rPr>
              <w:t xml:space="preserve">  YEAR   2016/17</w:t>
            </w:r>
          </w:p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3730" w:type="dxa"/>
            <w:gridSpan w:val="2"/>
            <w:vMerge w:val="restart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 xml:space="preserve">B – AUTOMATION </w:t>
            </w:r>
          </w:p>
        </w:tc>
        <w:tc>
          <w:tcPr>
            <w:tcW w:w="912" w:type="dxa"/>
            <w:vMerge w:val="restart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UNITS</w:t>
            </w:r>
          </w:p>
        </w:tc>
        <w:tc>
          <w:tcPr>
            <w:tcW w:w="1530" w:type="dxa"/>
            <w:vMerge w:val="restart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 xml:space="preserve">TARGET FOR CONTRACT </w:t>
            </w:r>
          </w:p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 xml:space="preserve">PERIOD </w:t>
            </w:r>
          </w:p>
        </w:tc>
        <w:tc>
          <w:tcPr>
            <w:tcW w:w="4525" w:type="dxa"/>
            <w:gridSpan w:val="3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QUARTER  -----------</w:t>
            </w:r>
          </w:p>
        </w:tc>
        <w:tc>
          <w:tcPr>
            <w:tcW w:w="3793" w:type="dxa"/>
            <w:gridSpan w:val="3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CUMULATIVE TO-DATE</w:t>
            </w:r>
          </w:p>
        </w:tc>
      </w:tr>
      <w:tr w:rsidR="00E54A26" w:rsidRPr="00B56907" w:rsidTr="00690A4F">
        <w:tc>
          <w:tcPr>
            <w:tcW w:w="3730" w:type="dxa"/>
            <w:gridSpan w:val="2"/>
            <w:vMerge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912" w:type="dxa"/>
            <w:vMerge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0" w:type="dxa"/>
            <w:vMerge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ACHIVEMENTS</w:t>
            </w: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TARGET FOR QUARTER</w:t>
            </w: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VARIANCE</w:t>
            </w: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ACHIVEMENTS</w:t>
            </w: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TARGET</w:t>
            </w: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VARIANCE</w:t>
            </w: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rPr>
                <w:rFonts w:cs="Calibri"/>
              </w:rPr>
            </w:pP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left="6" w:right="-108"/>
              <w:rPr>
                <w:rFonts w:cs="Calibri"/>
              </w:rPr>
            </w:pPr>
            <w:r w:rsidRPr="00B56907">
              <w:rPr>
                <w:rFonts w:cs="Calibri"/>
              </w:rPr>
              <w:t>Activities implemented in the following thematic areas.</w:t>
            </w: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A</w:t>
            </w: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B</w:t>
            </w: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C</w:t>
            </w: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D</w:t>
            </w: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E</w:t>
            </w: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F</w:t>
            </w: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  <w:r w:rsidRPr="00B56907">
              <w:rPr>
                <w:rFonts w:cs="Calibri"/>
              </w:rPr>
              <w:t>G</w:t>
            </w: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A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Institutional strategy and vision</w:t>
            </w:r>
          </w:p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rPr>
          <w:trHeight w:val="836"/>
        </w:trPr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B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Connectivity and Technology Infrastructure</w:t>
            </w:r>
          </w:p>
          <w:p w:rsidR="00E54A26" w:rsidRPr="00B56907" w:rsidRDefault="00E54A26" w:rsidP="00690A4F">
            <w:pPr>
              <w:rPr>
                <w:rFonts w:eastAsia="Times New Roman" w:cs="Calibri"/>
                <w:sz w:val="20"/>
                <w:szCs w:val="20"/>
                <w:shd w:val="clear" w:color="auto" w:fill="F4F4F4"/>
              </w:rPr>
            </w:pP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z w:val="20"/>
                <w:szCs w:val="20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C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Consumer and Business Adoption</w:t>
            </w:r>
          </w:p>
          <w:p w:rsidR="00E54A26" w:rsidRPr="00B56907" w:rsidRDefault="00E54A26" w:rsidP="00690A4F">
            <w:pPr>
              <w:rPr>
                <w:rFonts w:eastAsia="Times New Roman" w:cs="Calibri"/>
                <w:sz w:val="20"/>
                <w:szCs w:val="20"/>
                <w:shd w:val="clear" w:color="auto" w:fill="F4F4F4"/>
              </w:rPr>
            </w:pP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z w:val="20"/>
                <w:szCs w:val="20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D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ICT Capacity Building</w:t>
            </w:r>
          </w:p>
          <w:p w:rsidR="00E54A26" w:rsidRPr="00B56907" w:rsidRDefault="00E54A26" w:rsidP="00690A4F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E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Social and Cultural Environment</w:t>
            </w: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F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  <w:r w:rsidRPr="00B56907">
              <w:rPr>
                <w:rFonts w:cs="Calibri"/>
                <w:sz w:val="20"/>
                <w:szCs w:val="20"/>
              </w:rPr>
              <w:t>Legal Environment</w:t>
            </w:r>
          </w:p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  <w:sz w:val="20"/>
                <w:szCs w:val="20"/>
              </w:rPr>
            </w:pP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  <w:tr w:rsidR="00E54A26" w:rsidRPr="00B56907" w:rsidTr="00690A4F">
        <w:tc>
          <w:tcPr>
            <w:tcW w:w="546" w:type="dxa"/>
          </w:tcPr>
          <w:p w:rsidR="00E54A26" w:rsidRPr="00B56907" w:rsidRDefault="00E54A26" w:rsidP="00690A4F">
            <w:pPr>
              <w:pStyle w:val="msonospacing0"/>
              <w:tabs>
                <w:tab w:val="left" w:pos="0"/>
              </w:tabs>
              <w:ind w:right="-108"/>
              <w:rPr>
                <w:rFonts w:cs="Calibri"/>
                <w:b/>
                <w:sz w:val="20"/>
                <w:szCs w:val="20"/>
              </w:rPr>
            </w:pPr>
            <w:r w:rsidRPr="00B56907">
              <w:rPr>
                <w:rFonts w:cs="Calibri"/>
                <w:b/>
                <w:sz w:val="20"/>
                <w:szCs w:val="20"/>
              </w:rPr>
              <w:t>G</w:t>
            </w:r>
          </w:p>
        </w:tc>
        <w:tc>
          <w:tcPr>
            <w:tcW w:w="3184" w:type="dxa"/>
          </w:tcPr>
          <w:p w:rsidR="00E54A26" w:rsidRPr="00B56907" w:rsidRDefault="00E54A26" w:rsidP="00690A4F">
            <w:pPr>
              <w:pStyle w:val="ListParagraph"/>
              <w:ind w:left="0"/>
              <w:rPr>
                <w:rFonts w:cs="Calibri"/>
              </w:rPr>
            </w:pPr>
            <w:r w:rsidRPr="00B56907">
              <w:rPr>
                <w:rFonts w:cs="Calibri"/>
              </w:rPr>
              <w:t>ICT  Standards</w:t>
            </w:r>
          </w:p>
        </w:tc>
        <w:tc>
          <w:tcPr>
            <w:tcW w:w="912" w:type="dxa"/>
          </w:tcPr>
          <w:p w:rsidR="00E54A26" w:rsidRPr="00B56907" w:rsidRDefault="00E54A26" w:rsidP="00690A4F">
            <w:pPr>
              <w:rPr>
                <w:rFonts w:eastAsia="Times New Roman" w:cs="Calibri"/>
                <w:shd w:val="clear" w:color="auto" w:fill="F4F4F4"/>
              </w:rPr>
            </w:pPr>
          </w:p>
        </w:tc>
        <w:tc>
          <w:tcPr>
            <w:tcW w:w="1530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92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459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38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532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065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  <w:tc>
          <w:tcPr>
            <w:tcW w:w="1196" w:type="dxa"/>
          </w:tcPr>
          <w:p w:rsidR="00E54A26" w:rsidRPr="00B56907" w:rsidRDefault="00E54A26" w:rsidP="00690A4F">
            <w:pPr>
              <w:rPr>
                <w:rFonts w:cs="Calibri"/>
              </w:rPr>
            </w:pPr>
          </w:p>
        </w:tc>
      </w:tr>
    </w:tbl>
    <w:p w:rsidR="00E54A26" w:rsidRPr="00B56907" w:rsidRDefault="00E54A26" w:rsidP="00E54A26">
      <w:pPr>
        <w:rPr>
          <w:rFonts w:cs="Calibri"/>
        </w:rPr>
      </w:pPr>
    </w:p>
    <w:p w:rsidR="00E54A26" w:rsidRPr="00B56907" w:rsidRDefault="00E54A26" w:rsidP="00E54A26">
      <w:pPr>
        <w:rPr>
          <w:rFonts w:cs="Calibri"/>
        </w:rPr>
      </w:pPr>
    </w:p>
    <w:p w:rsidR="00E54A26" w:rsidRPr="00B56907" w:rsidRDefault="00E54A26" w:rsidP="00E54A26">
      <w:pPr>
        <w:rPr>
          <w:rFonts w:cs="Calibri"/>
        </w:rPr>
      </w:pPr>
      <w:r w:rsidRPr="00B56907">
        <w:rPr>
          <w:rFonts w:cs="Calibri"/>
          <w:b/>
          <w:sz w:val="24"/>
          <w:szCs w:val="24"/>
        </w:rPr>
        <w:t xml:space="preserve">Note: </w:t>
      </w:r>
      <w:r w:rsidRPr="00B56907">
        <w:rPr>
          <w:rFonts w:cs="Calibri"/>
        </w:rPr>
        <w:t xml:space="preserve"> Indicate only the activities and targets in the 2016/17 performance contract. </w:t>
      </w:r>
    </w:p>
    <w:p w:rsidR="00E54A26" w:rsidRPr="00B56907" w:rsidRDefault="00E54A26" w:rsidP="00E54A26">
      <w:pPr>
        <w:rPr>
          <w:rFonts w:cs="Calibri"/>
        </w:rPr>
      </w:pPr>
    </w:p>
    <w:p w:rsidR="00E54A26" w:rsidRPr="00B56907" w:rsidRDefault="00E54A26" w:rsidP="00E54A26">
      <w:pPr>
        <w:rPr>
          <w:rFonts w:cs="Calibri"/>
        </w:rPr>
      </w:pPr>
    </w:p>
    <w:p w:rsidR="00E54A26" w:rsidRPr="00B56907" w:rsidRDefault="00E54A26" w:rsidP="00E54A26">
      <w:pPr>
        <w:rPr>
          <w:rFonts w:cs="Calibri"/>
        </w:rPr>
        <w:sectPr w:rsidR="00E54A26" w:rsidRPr="00B56907" w:rsidSect="00CD2C12">
          <w:pgSz w:w="15840" w:h="12240" w:orient="landscape"/>
          <w:pgMar w:top="1296" w:right="1440" w:bottom="1296" w:left="1440" w:header="720" w:footer="720" w:gutter="0"/>
          <w:cols w:space="720"/>
          <w:docGrid w:linePitch="360"/>
        </w:sectPr>
      </w:pPr>
      <w:r w:rsidRPr="00B56907">
        <w:rPr>
          <w:rFonts w:cs="Calibri"/>
        </w:rPr>
        <w:t xml:space="preserve">APPROVED BY --------------------------------------   </w:t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</w:r>
      <w:r w:rsidRPr="00B56907">
        <w:rPr>
          <w:rFonts w:cs="Calibri"/>
        </w:rPr>
        <w:tab/>
        <w:t>DATE -----------------------------</w:t>
      </w:r>
    </w:p>
    <w:p w:rsidR="00E54A26" w:rsidRPr="00B56907" w:rsidRDefault="00E54A26" w:rsidP="00E54A26">
      <w:pPr>
        <w:rPr>
          <w:rFonts w:cs="Calibri"/>
          <w:b/>
          <w:sz w:val="28"/>
          <w:szCs w:val="28"/>
        </w:rPr>
      </w:pPr>
      <w:r w:rsidRPr="00B56907">
        <w:rPr>
          <w:rFonts w:cs="Calibri"/>
          <w:b/>
          <w:sz w:val="28"/>
          <w:szCs w:val="28"/>
        </w:rPr>
        <w:lastRenderedPageBreak/>
        <w:t>Explanatory Notes</w:t>
      </w:r>
    </w:p>
    <w:p w:rsidR="00E54A26" w:rsidRDefault="00E54A26" w:rsidP="00E54A26">
      <w:pPr>
        <w:rPr>
          <w:rFonts w:cs="Calibri"/>
        </w:rPr>
      </w:pPr>
      <w:r w:rsidRPr="00B56907">
        <w:rPr>
          <w:rFonts w:cs="Calibri"/>
        </w:rPr>
        <w:t>Automation - refers to the extent to which an agency keeps in pace with developments in Information and Communication Technology (ICT). The thrust of this indicator is on ICT development as a package, not collection of activities. The milestones to address this indicator include the following:</w:t>
      </w:r>
    </w:p>
    <w:p w:rsidR="0034046D" w:rsidRPr="00B56907" w:rsidRDefault="0034046D" w:rsidP="00E54A26">
      <w:pPr>
        <w:rPr>
          <w:rFonts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6"/>
        <w:gridCol w:w="5401"/>
        <w:gridCol w:w="2001"/>
      </w:tblGrid>
      <w:tr w:rsidR="00E54A26" w:rsidRPr="00B56907" w:rsidTr="00690A4F">
        <w:trPr>
          <w:trHeight w:val="295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Sub-indicators </w:t>
            </w: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Level of Automation </w:t>
            </w:r>
          </w:p>
        </w:tc>
      </w:tr>
      <w:tr w:rsidR="00E54A26" w:rsidRPr="00B56907" w:rsidTr="00690A4F">
        <w:trPr>
          <w:trHeight w:val="3141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>(</w:t>
            </w:r>
            <w:proofErr w:type="spellStart"/>
            <w:r w:rsidRPr="00B56907">
              <w:rPr>
                <w:rFonts w:ascii="Calibri" w:hAnsi="Calibri" w:cs="Calibri"/>
                <w:sz w:val="26"/>
                <w:szCs w:val="26"/>
              </w:rPr>
              <w:t>i</w:t>
            </w:r>
            <w:proofErr w:type="spellEnd"/>
            <w:r w:rsidRPr="00B56907">
              <w:rPr>
                <w:rFonts w:ascii="Calibri" w:hAnsi="Calibri" w:cs="Calibri"/>
                <w:sz w:val="26"/>
                <w:szCs w:val="26"/>
              </w:rPr>
              <w:t xml:space="preserve">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strategy and vision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ICT strategy developed and disseminated (will detail the roadmap the institution intends to take in utilizing ICTs to deliver on its core mandate)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Adoption and operationalization of ICT organisation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Qualified ICT staff deployed as per organizational approved structure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and qualifications of ICT staff deployed.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Percentage of institutional budget devoted to ICTs (industry standard is 10%).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Staff to computer ratio (ranges from 1:1 for technical staff to 1:10 for support staff)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20% </w:t>
            </w: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  <w:vMerge w:val="restar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 xml:space="preserve">(ii)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Connectivity and technology infrastructure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Internet bandwidth available within the institution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ICT infrastructure 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LAN installed 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WAN installed 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Data </w:t>
            </w:r>
            <w:r w:rsidR="0034046D" w:rsidRPr="00B56907">
              <w:rPr>
                <w:rFonts w:ascii="Calibri" w:hAnsi="Calibri" w:cs="Calibri"/>
                <w:sz w:val="23"/>
                <w:szCs w:val="23"/>
              </w:rPr>
              <w:t>Centres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Cloud services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Office automation (turn-around time for business processes)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of enterprise wide systems in operation 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Enterprise Resource </w:t>
            </w:r>
            <w:r w:rsidR="0034046D" w:rsidRPr="00B56907">
              <w:rPr>
                <w:rFonts w:ascii="Calibri" w:hAnsi="Calibri" w:cs="Calibri"/>
                <w:sz w:val="23"/>
                <w:szCs w:val="23"/>
              </w:rPr>
              <w:t>Planning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 Systems (ERPs)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Electronic Document Management System (EDMS)</w:t>
            </w:r>
          </w:p>
          <w:p w:rsidR="00E54A26" w:rsidRPr="00B56907" w:rsidRDefault="00E54A26" w:rsidP="00E54A26">
            <w:pPr>
              <w:pStyle w:val="Default"/>
              <w:numPr>
                <w:ilvl w:val="1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Messaging and collaboration system 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Centralized user authentication within the LAN/WAN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of data warehouses/marts in place.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25% </w:t>
            </w: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  <w:vMerge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802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% of institutional data which has been digitized and is accessible against total number of manual records kept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ICT security measures in force, e.g., use of biometric security systems, anti-virus updates, data back-up, etc.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Adoption and usage of Voice Over Internet Protocol (VOIP)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3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% of staff who have broadband access in the workplace. </w:t>
            </w: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 xml:space="preserve">(iii)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Consumer and business adoption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website adhering to the web design standards in terms of: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 Accessibility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 Usability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 Interoperability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1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 Graphical look and feel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Automation of core public services </w:t>
            </w:r>
            <w:r w:rsidR="0034046D" w:rsidRPr="00B56907">
              <w:rPr>
                <w:rFonts w:ascii="Calibri" w:hAnsi="Calibri" w:cs="Calibri"/>
                <w:sz w:val="23"/>
                <w:szCs w:val="23"/>
              </w:rPr>
              <w:t>(e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-services) for citizens, business, employees and Government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On-line annual customer service rating of services (e-services) to ascertain feedback from recipients of service.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Service delivery channels utilized i.e. methods used by MDAs to provide services, e.g. SMS, Unstructured Supplementary Service Data (USSD), portal services, Interactive Voice Response System (IVRS).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of internal business processes which are fully automated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One- stop shop service </w:t>
            </w:r>
            <w:r w:rsidR="0034046D" w:rsidRPr="00B56907">
              <w:rPr>
                <w:rFonts w:ascii="Calibri" w:hAnsi="Calibri" w:cs="Calibri"/>
                <w:sz w:val="23"/>
                <w:szCs w:val="23"/>
              </w:rPr>
              <w:t>centres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Revenue/Cost savings through delivery of e-services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4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Services hosted in common Government infrastructure.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30%</w:t>
            </w: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  <w:r w:rsidRPr="00B56907">
              <w:rPr>
                <w:rFonts w:ascii="Calibri" w:hAnsi="Calibri" w:cs="Calibri"/>
                <w:color w:val="auto"/>
              </w:rPr>
              <w:lastRenderedPageBreak/>
              <w:t>ICT Capacity Building</w:t>
            </w:r>
          </w:p>
        </w:tc>
        <w:tc>
          <w:tcPr>
            <w:tcW w:w="2802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An institutional measure of ICT literacy adopted (ICTA will provide independent ICT assessments for comparison).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% of staff who are ICT-literate or have undertaken ICT training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ICT training programs implemented as per ICT strategy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of ICT staff trained within the period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color w:val="auto"/>
              </w:rPr>
            </w:pPr>
          </w:p>
        </w:tc>
        <w:tc>
          <w:tcPr>
            <w:tcW w:w="1038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5%</w:t>
            </w: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 xml:space="preserve">(iv)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Social and cultural environment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ind w:left="720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% of staff with disabilities who have access to ICTs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No. of service delivery options for clients with disabilities.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1038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5%%</w:t>
            </w:r>
          </w:p>
        </w:tc>
      </w:tr>
      <w:tr w:rsidR="00E54A26" w:rsidRPr="00B56907" w:rsidTr="00690A4F">
        <w:trPr>
          <w:trHeight w:val="2472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 xml:space="preserve">(v)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Legal environment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802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Policy guidelines in place for e-services, internet and e-mail use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ICT policy developed and implemented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e-waste policy developed and implemented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Institutional arrangements for protection and privacy of citizen data in force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% of staff who have signed an institutional ICT security compliance agreement </w:t>
            </w:r>
          </w:p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1038" w:type="pct"/>
          </w:tcPr>
          <w:p w:rsidR="00E54A26" w:rsidRPr="00B56907" w:rsidRDefault="00E54A26" w:rsidP="00E54A26">
            <w:pPr>
              <w:pStyle w:val="Default"/>
              <w:numPr>
                <w:ilvl w:val="0"/>
                <w:numId w:val="5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10%</w:t>
            </w:r>
          </w:p>
        </w:tc>
      </w:tr>
      <w:tr w:rsidR="00E54A26" w:rsidRPr="00B56907" w:rsidTr="00690A4F">
        <w:trPr>
          <w:trHeight w:val="983"/>
        </w:trPr>
        <w:tc>
          <w:tcPr>
            <w:tcW w:w="1160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6"/>
                <w:szCs w:val="26"/>
              </w:rPr>
              <w:t xml:space="preserve">(vi) </w:t>
            </w:r>
            <w:r w:rsidRPr="00B56907">
              <w:rPr>
                <w:rFonts w:ascii="Calibri" w:hAnsi="Calibri" w:cs="Calibri"/>
                <w:sz w:val="23"/>
                <w:szCs w:val="23"/>
              </w:rPr>
              <w:t xml:space="preserve">ICT Standards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2802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:rsidR="00E54A26" w:rsidRPr="00B56907" w:rsidRDefault="00E54A26" w:rsidP="00E54A26">
            <w:pPr>
              <w:pStyle w:val="Default"/>
              <w:numPr>
                <w:ilvl w:val="0"/>
                <w:numId w:val="2"/>
              </w:numPr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 xml:space="preserve">Adoption and Compliance to ICT and e-Government standards (the standards are available at </w:t>
            </w:r>
            <w:hyperlink r:id="rId10" w:history="1">
              <w:r w:rsidRPr="00B56907">
                <w:rPr>
                  <w:rStyle w:val="Hyperlink"/>
                  <w:rFonts w:ascii="Calibri" w:hAnsi="Calibri" w:cs="Calibri"/>
                  <w:sz w:val="23"/>
                  <w:szCs w:val="23"/>
                </w:rPr>
                <w:t>http://standards.icta.go.ke/</w:t>
              </w:r>
            </w:hyperlink>
            <w:r w:rsidRPr="00B56907">
              <w:rPr>
                <w:rFonts w:ascii="Calibri" w:hAnsi="Calibri" w:cs="Calibri"/>
                <w:sz w:val="23"/>
                <w:szCs w:val="23"/>
              </w:rPr>
              <w:t>)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sz w:val="23"/>
                <w:szCs w:val="23"/>
              </w:rPr>
              <w:t>5%</w:t>
            </w:r>
          </w:p>
        </w:tc>
      </w:tr>
      <w:tr w:rsidR="00E54A26" w:rsidRPr="00B56907" w:rsidTr="00690A4F">
        <w:trPr>
          <w:trHeight w:val="584"/>
        </w:trPr>
        <w:tc>
          <w:tcPr>
            <w:tcW w:w="3962" w:type="pct"/>
            <w:gridSpan w:val="2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Total Cumulative Score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1038" w:type="pct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  <w:r w:rsidRPr="00B56907"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100% </w:t>
            </w:r>
          </w:p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</w:tr>
      <w:tr w:rsidR="00E54A26" w:rsidRPr="00B56907" w:rsidTr="00690A4F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trHeight w:val="1636"/>
        </w:trPr>
        <w:tc>
          <w:tcPr>
            <w:tcW w:w="5000" w:type="pct"/>
            <w:gridSpan w:val="3"/>
          </w:tcPr>
          <w:p w:rsidR="00E54A26" w:rsidRPr="00B56907" w:rsidRDefault="00E54A26" w:rsidP="00690A4F">
            <w:pPr>
              <w:pStyle w:val="Default"/>
              <w:rPr>
                <w:rFonts w:ascii="Calibri" w:hAnsi="Calibri" w:cs="Calibri"/>
                <w:sz w:val="23"/>
                <w:szCs w:val="23"/>
              </w:rPr>
            </w:pPr>
          </w:p>
        </w:tc>
      </w:tr>
    </w:tbl>
    <w:p w:rsidR="000B58AB" w:rsidRDefault="000B58AB">
      <w:bookmarkStart w:id="0" w:name="_GoBack"/>
      <w:bookmarkEnd w:id="0"/>
    </w:p>
    <w:sectPr w:rsidR="000B58AB" w:rsidSect="00E478BD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A0F" w:rsidRDefault="00F84A0F">
      <w:r>
        <w:separator/>
      </w:r>
    </w:p>
  </w:endnote>
  <w:endnote w:type="continuationSeparator" w:id="0">
    <w:p w:rsidR="00F84A0F" w:rsidRDefault="00F8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2FF" w:rsidRDefault="0034046D" w:rsidP="00A022FF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4A6E">
      <w:rPr>
        <w:noProof/>
      </w:rPr>
      <w:t>5</w:t>
    </w:r>
    <w:r>
      <w:rPr>
        <w:noProof/>
      </w:rPr>
      <w:fldChar w:fldCharType="end"/>
    </w:r>
    <w:r>
      <w:t xml:space="preserve"> | </w:t>
    </w:r>
    <w:r w:rsidRPr="00A022FF">
      <w:rPr>
        <w:color w:val="808080"/>
        <w:spacing w:val="60"/>
      </w:rPr>
      <w:t>Page</w:t>
    </w:r>
  </w:p>
  <w:p w:rsidR="00A022FF" w:rsidRDefault="00F84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A0F" w:rsidRDefault="00F84A0F">
      <w:r>
        <w:separator/>
      </w:r>
    </w:p>
  </w:footnote>
  <w:footnote w:type="continuationSeparator" w:id="0">
    <w:p w:rsidR="00F84A0F" w:rsidRDefault="00F84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907" w:rsidRDefault="0034046D" w:rsidP="00B56907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Caleb Rori Chacha</w:t>
    </w:r>
    <w:r w:rsidRPr="00374E9D">
      <w:rPr>
        <w:rFonts w:ascii="Times New Roman" w:hAnsi="Times New Roman"/>
      </w:rPr>
      <w:tab/>
    </w:r>
    <w:r w:rsidRPr="00374E9D">
      <w:rPr>
        <w:rFonts w:ascii="Times New Roman" w:hAnsi="Times New Roman"/>
      </w:rPr>
      <w:tab/>
    </w:r>
    <w:r>
      <w:rPr>
        <w:rFonts w:ascii="Times New Roman" w:hAnsi="Times New Roman"/>
      </w:rPr>
      <w:t>PDTP Quarterly Report 2017</w:t>
    </w:r>
  </w:p>
  <w:p w:rsidR="00B56907" w:rsidRDefault="00F84A0F" w:rsidP="00B56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80708"/>
    <w:multiLevelType w:val="hybridMultilevel"/>
    <w:tmpl w:val="E3086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231B"/>
    <w:multiLevelType w:val="hybridMultilevel"/>
    <w:tmpl w:val="F7981D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21A8"/>
    <w:multiLevelType w:val="hybridMultilevel"/>
    <w:tmpl w:val="AAA29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E2FC6"/>
    <w:multiLevelType w:val="hybridMultilevel"/>
    <w:tmpl w:val="E04A1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4FD3"/>
    <w:multiLevelType w:val="hybridMultilevel"/>
    <w:tmpl w:val="54EC3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26"/>
    <w:rsid w:val="000B58AB"/>
    <w:rsid w:val="0034046D"/>
    <w:rsid w:val="00984A6E"/>
    <w:rsid w:val="00DA7834"/>
    <w:rsid w:val="00E54A26"/>
    <w:rsid w:val="00F8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58EA"/>
  <w15:chartTrackingRefBased/>
  <w15:docId w15:val="{DBB2603D-D5F1-48F9-B3FB-854A8FD0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26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spacing0">
    <w:name w:val="msonospacing"/>
    <w:rsid w:val="00E54A2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54A26"/>
    <w:pPr>
      <w:ind w:left="720"/>
      <w:contextualSpacing/>
    </w:pPr>
    <w:rPr>
      <w:rFonts w:eastAsia="Times New Roman"/>
    </w:rPr>
  </w:style>
  <w:style w:type="character" w:styleId="Hyperlink">
    <w:name w:val="Hyperlink"/>
    <w:uiPriority w:val="99"/>
    <w:unhideWhenUsed/>
    <w:rsid w:val="00E54A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A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54A26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54A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54A26"/>
    <w:rPr>
      <w:rFonts w:ascii="Calibri" w:eastAsia="Calibri" w:hAnsi="Calibri" w:cs="Times New Roman"/>
      <w:lang w:val="x-none" w:eastAsia="x-none"/>
    </w:rPr>
  </w:style>
  <w:style w:type="paragraph" w:customStyle="1" w:styleId="Default">
    <w:name w:val="Default"/>
    <w:rsid w:val="00E54A26"/>
    <w:pPr>
      <w:autoSpaceDE w:val="0"/>
      <w:autoSpaceDN w:val="0"/>
      <w:adjustRightInd w:val="0"/>
      <w:spacing w:after="0" w:line="240" w:lineRule="auto"/>
    </w:pPr>
    <w:rPr>
      <w:rFonts w:ascii="Comic Sans MS" w:eastAsia="Times New Roman" w:hAnsi="Comic Sans MS" w:cs="Comic Sans MS"/>
      <w:color w:val="000000"/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standards.icta.go.k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Rori</dc:creator>
  <cp:keywords/>
  <dc:description/>
  <cp:lastModifiedBy>Caleb Rori</cp:lastModifiedBy>
  <cp:revision>3</cp:revision>
  <dcterms:created xsi:type="dcterms:W3CDTF">2017-11-23T21:07:00Z</dcterms:created>
  <dcterms:modified xsi:type="dcterms:W3CDTF">2017-11-23T22:36:00Z</dcterms:modified>
</cp:coreProperties>
</file>