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20E" w:rsidRDefault="003D320E" w:rsidP="00343251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sz w:val="21"/>
          <w:szCs w:val="21"/>
        </w:rPr>
      </w:pPr>
      <w:r w:rsidRPr="003D320E">
        <w:rPr>
          <w:rFonts w:ascii="Cambria,Bold" w:hAnsi="Cambria,Bold" w:cs="Cambria,Bold"/>
          <w:b/>
          <w:bCs/>
          <w:noProof/>
          <w:sz w:val="21"/>
          <w:szCs w:val="21"/>
        </w:rPr>
        <w:drawing>
          <wp:inline distT="0" distB="0" distL="0" distR="0">
            <wp:extent cx="2006600" cy="1668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20E" w:rsidRPr="00345826" w:rsidRDefault="003D320E" w:rsidP="003432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45826">
        <w:rPr>
          <w:rFonts w:ascii="Times New Roman" w:hAnsi="Times New Roman" w:cs="Times New Roman"/>
          <w:b/>
          <w:bCs/>
          <w:sz w:val="48"/>
          <w:szCs w:val="48"/>
        </w:rPr>
        <w:t>REPUBLIC OF KENYA</w:t>
      </w:r>
    </w:p>
    <w:p w:rsidR="003D320E" w:rsidRPr="00345826" w:rsidRDefault="003D320E" w:rsidP="00343251">
      <w:pPr>
        <w:jc w:val="center"/>
        <w:rPr>
          <w:rFonts w:ascii="Times New Roman" w:hAnsi="Times New Roman" w:cs="Times New Roman"/>
          <w:sz w:val="48"/>
          <w:szCs w:val="48"/>
        </w:rPr>
      </w:pPr>
      <w:r w:rsidRPr="00345826">
        <w:rPr>
          <w:rFonts w:ascii="Times New Roman" w:hAnsi="Times New Roman" w:cs="Times New Roman"/>
          <w:b/>
          <w:bCs/>
          <w:sz w:val="48"/>
          <w:szCs w:val="48"/>
        </w:rPr>
        <w:t>MINISTRY OF EDUCATION, SCIENCE AND TECHNOLOGY</w:t>
      </w:r>
    </w:p>
    <w:p w:rsidR="00CD75F1" w:rsidRDefault="003D320E" w:rsidP="00343251">
      <w:pPr>
        <w:jc w:val="center"/>
        <w:rPr>
          <w:rFonts w:ascii="Times New Roman" w:hAnsi="Times New Roman" w:cs="Times New Roman"/>
          <w:sz w:val="48"/>
          <w:szCs w:val="48"/>
        </w:rPr>
      </w:pPr>
      <w:r w:rsidRPr="00345826">
        <w:rPr>
          <w:rFonts w:ascii="Times New Roman" w:hAnsi="Times New Roman" w:cs="Times New Roman"/>
          <w:sz w:val="48"/>
          <w:szCs w:val="48"/>
        </w:rPr>
        <w:t>PRESIDENTIAL DIGITAL TALENT PROGRAMME</w:t>
      </w:r>
    </w:p>
    <w:p w:rsidR="00823280" w:rsidRDefault="00823280" w:rsidP="0034325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PHINEAS KIMATHI MWITARI</w:t>
      </w:r>
    </w:p>
    <w:p w:rsidR="00823280" w:rsidRDefault="00823280" w:rsidP="0034325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NETWORK AND SECURITY</w:t>
      </w:r>
    </w:p>
    <w:p w:rsidR="00823280" w:rsidRPr="00345826" w:rsidRDefault="00823280" w:rsidP="0034325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D320E" w:rsidRPr="00345826" w:rsidRDefault="00777B52" w:rsidP="0034325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PROGRESS</w:t>
      </w:r>
      <w:r w:rsidR="003D320E" w:rsidRPr="00345826">
        <w:rPr>
          <w:rFonts w:ascii="Times New Roman" w:hAnsi="Times New Roman" w:cs="Times New Roman"/>
          <w:sz w:val="48"/>
          <w:szCs w:val="48"/>
        </w:rPr>
        <w:t xml:space="preserve"> REPORT</w:t>
      </w:r>
    </w:p>
    <w:p w:rsidR="003D320E" w:rsidRDefault="00777B52" w:rsidP="0034325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4</w:t>
      </w:r>
      <w:r w:rsidRPr="00777B52">
        <w:rPr>
          <w:rFonts w:ascii="Times New Roman" w:hAnsi="Times New Roman" w:cs="Times New Roman"/>
          <w:sz w:val="48"/>
          <w:szCs w:val="48"/>
          <w:vertAlign w:val="superscript"/>
        </w:rPr>
        <w:t>TH</w:t>
      </w:r>
      <w:r>
        <w:rPr>
          <w:rFonts w:ascii="Times New Roman" w:hAnsi="Times New Roman" w:cs="Times New Roman"/>
          <w:sz w:val="48"/>
          <w:szCs w:val="48"/>
        </w:rPr>
        <w:t xml:space="preserve"> MAY</w:t>
      </w:r>
      <w:r w:rsidR="003D320E" w:rsidRPr="00345826">
        <w:rPr>
          <w:rFonts w:ascii="Times New Roman" w:hAnsi="Times New Roman" w:cs="Times New Roman"/>
          <w:sz w:val="48"/>
          <w:szCs w:val="48"/>
        </w:rPr>
        <w:t xml:space="preserve"> 2017</w:t>
      </w:r>
    </w:p>
    <w:p w:rsidR="00345826" w:rsidRPr="00345826" w:rsidRDefault="00345826" w:rsidP="003D320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7527B" w:rsidRDefault="0067527B" w:rsidP="0067527B">
      <w:pPr>
        <w:pStyle w:val="ListParagraph"/>
        <w:jc w:val="both"/>
      </w:pPr>
    </w:p>
    <w:p w:rsidR="003D320E" w:rsidRDefault="003D320E"/>
    <w:p w:rsidR="003D320E" w:rsidRDefault="003D320E"/>
    <w:p w:rsidR="00240F4A" w:rsidRDefault="00240F4A"/>
    <w:p w:rsidR="00240F4A" w:rsidRDefault="00240F4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2240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0819" w:rsidRDefault="002D0819">
          <w:pPr>
            <w:pStyle w:val="TOCHeading"/>
          </w:pPr>
          <w:r>
            <w:t>Contents</w:t>
          </w:r>
        </w:p>
        <w:p w:rsidR="00777B52" w:rsidRDefault="002D0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62673" w:history="1">
            <w:r w:rsidR="00777B52" w:rsidRPr="00125E71">
              <w:rPr>
                <w:rStyle w:val="Hyperlink"/>
                <w:noProof/>
              </w:rPr>
              <w:t>1.0 Introduction</w:t>
            </w:r>
            <w:r w:rsidR="00777B52">
              <w:rPr>
                <w:noProof/>
                <w:webHidden/>
              </w:rPr>
              <w:tab/>
            </w:r>
            <w:r w:rsidR="00777B52">
              <w:rPr>
                <w:noProof/>
                <w:webHidden/>
              </w:rPr>
              <w:fldChar w:fldCharType="begin"/>
            </w:r>
            <w:r w:rsidR="00777B52">
              <w:rPr>
                <w:noProof/>
                <w:webHidden/>
              </w:rPr>
              <w:instrText xml:space="preserve"> PAGEREF _Toc481662673 \h </w:instrText>
            </w:r>
            <w:r w:rsidR="00777B52">
              <w:rPr>
                <w:noProof/>
                <w:webHidden/>
              </w:rPr>
            </w:r>
            <w:r w:rsidR="00777B52">
              <w:rPr>
                <w:noProof/>
                <w:webHidden/>
              </w:rPr>
              <w:fldChar w:fldCharType="separate"/>
            </w:r>
            <w:r w:rsidR="00777B52">
              <w:rPr>
                <w:noProof/>
                <w:webHidden/>
              </w:rPr>
              <w:t>3</w:t>
            </w:r>
            <w:r w:rsidR="00777B52">
              <w:rPr>
                <w:noProof/>
                <w:webHidden/>
              </w:rPr>
              <w:fldChar w:fldCharType="end"/>
            </w:r>
          </w:hyperlink>
        </w:p>
        <w:p w:rsidR="00777B52" w:rsidRDefault="008232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62674" w:history="1">
            <w:r w:rsidR="00777B52" w:rsidRPr="00125E71">
              <w:rPr>
                <w:rStyle w:val="Hyperlink"/>
                <w:noProof/>
              </w:rPr>
              <w:t>1.2 Departmentalization</w:t>
            </w:r>
            <w:r w:rsidR="00777B52">
              <w:rPr>
                <w:noProof/>
                <w:webHidden/>
              </w:rPr>
              <w:tab/>
            </w:r>
            <w:r w:rsidR="00777B52">
              <w:rPr>
                <w:noProof/>
                <w:webHidden/>
              </w:rPr>
              <w:fldChar w:fldCharType="begin"/>
            </w:r>
            <w:r w:rsidR="00777B52">
              <w:rPr>
                <w:noProof/>
                <w:webHidden/>
              </w:rPr>
              <w:instrText xml:space="preserve"> PAGEREF _Toc481662674 \h </w:instrText>
            </w:r>
            <w:r w:rsidR="00777B52">
              <w:rPr>
                <w:noProof/>
                <w:webHidden/>
              </w:rPr>
            </w:r>
            <w:r w:rsidR="00777B52">
              <w:rPr>
                <w:noProof/>
                <w:webHidden/>
              </w:rPr>
              <w:fldChar w:fldCharType="separate"/>
            </w:r>
            <w:r w:rsidR="00777B52">
              <w:rPr>
                <w:noProof/>
                <w:webHidden/>
              </w:rPr>
              <w:t>3</w:t>
            </w:r>
            <w:r w:rsidR="00777B52">
              <w:rPr>
                <w:noProof/>
                <w:webHidden/>
              </w:rPr>
              <w:fldChar w:fldCharType="end"/>
            </w:r>
          </w:hyperlink>
        </w:p>
        <w:p w:rsidR="00777B52" w:rsidRDefault="008232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62675" w:history="1">
            <w:r w:rsidR="00777B52" w:rsidRPr="00125E71">
              <w:rPr>
                <w:rStyle w:val="Hyperlink"/>
                <w:noProof/>
              </w:rPr>
              <w:t>1.3 Tasks assigned</w:t>
            </w:r>
            <w:r w:rsidR="00777B52">
              <w:rPr>
                <w:noProof/>
                <w:webHidden/>
              </w:rPr>
              <w:tab/>
            </w:r>
            <w:r w:rsidR="00777B52">
              <w:rPr>
                <w:noProof/>
                <w:webHidden/>
              </w:rPr>
              <w:fldChar w:fldCharType="begin"/>
            </w:r>
            <w:r w:rsidR="00777B52">
              <w:rPr>
                <w:noProof/>
                <w:webHidden/>
              </w:rPr>
              <w:instrText xml:space="preserve"> PAGEREF _Toc481662675 \h </w:instrText>
            </w:r>
            <w:r w:rsidR="00777B52">
              <w:rPr>
                <w:noProof/>
                <w:webHidden/>
              </w:rPr>
            </w:r>
            <w:r w:rsidR="00777B52">
              <w:rPr>
                <w:noProof/>
                <w:webHidden/>
              </w:rPr>
              <w:fldChar w:fldCharType="separate"/>
            </w:r>
            <w:r w:rsidR="00777B52">
              <w:rPr>
                <w:noProof/>
                <w:webHidden/>
              </w:rPr>
              <w:t>3</w:t>
            </w:r>
            <w:r w:rsidR="00777B52">
              <w:rPr>
                <w:noProof/>
                <w:webHidden/>
              </w:rPr>
              <w:fldChar w:fldCharType="end"/>
            </w:r>
          </w:hyperlink>
        </w:p>
        <w:p w:rsidR="00777B52" w:rsidRDefault="008232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62676" w:history="1">
            <w:r w:rsidR="00777B52" w:rsidRPr="00125E71">
              <w:rPr>
                <w:rStyle w:val="Hyperlink"/>
                <w:noProof/>
              </w:rPr>
              <w:t>1.3.1 Network deployment, monitoring and Support, and Systems Administration.</w:t>
            </w:r>
            <w:r w:rsidR="00777B52">
              <w:rPr>
                <w:noProof/>
                <w:webHidden/>
              </w:rPr>
              <w:tab/>
            </w:r>
            <w:r w:rsidR="00777B52">
              <w:rPr>
                <w:noProof/>
                <w:webHidden/>
              </w:rPr>
              <w:fldChar w:fldCharType="begin"/>
            </w:r>
            <w:r w:rsidR="00777B52">
              <w:rPr>
                <w:noProof/>
                <w:webHidden/>
              </w:rPr>
              <w:instrText xml:space="preserve"> PAGEREF _Toc481662676 \h </w:instrText>
            </w:r>
            <w:r w:rsidR="00777B52">
              <w:rPr>
                <w:noProof/>
                <w:webHidden/>
              </w:rPr>
            </w:r>
            <w:r w:rsidR="00777B52">
              <w:rPr>
                <w:noProof/>
                <w:webHidden/>
              </w:rPr>
              <w:fldChar w:fldCharType="separate"/>
            </w:r>
            <w:r w:rsidR="00777B52">
              <w:rPr>
                <w:noProof/>
                <w:webHidden/>
              </w:rPr>
              <w:t>3</w:t>
            </w:r>
            <w:r w:rsidR="00777B52">
              <w:rPr>
                <w:noProof/>
                <w:webHidden/>
              </w:rPr>
              <w:fldChar w:fldCharType="end"/>
            </w:r>
          </w:hyperlink>
        </w:p>
        <w:p w:rsidR="00777B52" w:rsidRDefault="008232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62677" w:history="1">
            <w:r w:rsidR="00777B52" w:rsidRPr="00125E71">
              <w:rPr>
                <w:rStyle w:val="Hyperlink"/>
                <w:noProof/>
              </w:rPr>
              <w:t>1.4 Conclusion.</w:t>
            </w:r>
            <w:r w:rsidR="00777B52">
              <w:rPr>
                <w:noProof/>
                <w:webHidden/>
              </w:rPr>
              <w:tab/>
            </w:r>
            <w:r w:rsidR="00777B52">
              <w:rPr>
                <w:noProof/>
                <w:webHidden/>
              </w:rPr>
              <w:fldChar w:fldCharType="begin"/>
            </w:r>
            <w:r w:rsidR="00777B52">
              <w:rPr>
                <w:noProof/>
                <w:webHidden/>
              </w:rPr>
              <w:instrText xml:space="preserve"> PAGEREF _Toc481662677 \h </w:instrText>
            </w:r>
            <w:r w:rsidR="00777B52">
              <w:rPr>
                <w:noProof/>
                <w:webHidden/>
              </w:rPr>
            </w:r>
            <w:r w:rsidR="00777B52">
              <w:rPr>
                <w:noProof/>
                <w:webHidden/>
              </w:rPr>
              <w:fldChar w:fldCharType="separate"/>
            </w:r>
            <w:r w:rsidR="00777B52">
              <w:rPr>
                <w:noProof/>
                <w:webHidden/>
              </w:rPr>
              <w:t>3</w:t>
            </w:r>
            <w:r w:rsidR="00777B52">
              <w:rPr>
                <w:noProof/>
                <w:webHidden/>
              </w:rPr>
              <w:fldChar w:fldCharType="end"/>
            </w:r>
          </w:hyperlink>
        </w:p>
        <w:p w:rsidR="002D0819" w:rsidRDefault="002D0819">
          <w:r>
            <w:rPr>
              <w:b/>
              <w:bCs/>
              <w:noProof/>
            </w:rPr>
            <w:fldChar w:fldCharType="end"/>
          </w:r>
        </w:p>
      </w:sdtContent>
    </w:sdt>
    <w:p w:rsidR="002D0819" w:rsidRDefault="002D0819" w:rsidP="00B96D21">
      <w:pPr>
        <w:pStyle w:val="Heading1"/>
      </w:pPr>
    </w:p>
    <w:p w:rsidR="002D0819" w:rsidRDefault="002D0819" w:rsidP="00B96D21">
      <w:pPr>
        <w:pStyle w:val="Heading1"/>
      </w:pPr>
    </w:p>
    <w:p w:rsidR="002D0819" w:rsidRDefault="002D0819" w:rsidP="002D0819"/>
    <w:p w:rsidR="002D0819" w:rsidRDefault="002D0819" w:rsidP="002D0819"/>
    <w:p w:rsidR="002D0819" w:rsidRDefault="002D0819" w:rsidP="002D0819"/>
    <w:p w:rsidR="002D0819" w:rsidRDefault="002D0819" w:rsidP="002D0819"/>
    <w:p w:rsidR="002D0819" w:rsidRDefault="002D0819" w:rsidP="002D0819"/>
    <w:p w:rsidR="00823280" w:rsidRDefault="00823280" w:rsidP="002D0819">
      <w:bookmarkStart w:id="0" w:name="_GoBack"/>
      <w:bookmarkEnd w:id="0"/>
    </w:p>
    <w:p w:rsidR="002D0819" w:rsidRDefault="002D0819" w:rsidP="002D0819"/>
    <w:p w:rsidR="002D0819" w:rsidRDefault="002D0819" w:rsidP="002D0819"/>
    <w:p w:rsidR="002D0819" w:rsidRDefault="002D0819" w:rsidP="002D0819"/>
    <w:p w:rsidR="002D0819" w:rsidRDefault="002D0819" w:rsidP="002D0819"/>
    <w:p w:rsidR="002D0819" w:rsidRDefault="002D0819" w:rsidP="002D0819"/>
    <w:p w:rsidR="002D0819" w:rsidRDefault="002D0819" w:rsidP="002D0819"/>
    <w:p w:rsidR="002D0819" w:rsidRDefault="002D0819" w:rsidP="002D0819"/>
    <w:p w:rsidR="002D0819" w:rsidRDefault="002D0819" w:rsidP="002D0819"/>
    <w:p w:rsidR="002D0819" w:rsidRDefault="002D0819" w:rsidP="002D0819"/>
    <w:p w:rsidR="002D0819" w:rsidRDefault="002D0819" w:rsidP="002D0819"/>
    <w:p w:rsidR="002D0819" w:rsidRDefault="002D0819" w:rsidP="002D0819"/>
    <w:p w:rsidR="002D0819" w:rsidRPr="002D0819" w:rsidRDefault="002D0819" w:rsidP="002D0819"/>
    <w:p w:rsidR="00240F4A" w:rsidRDefault="00B96D21" w:rsidP="00B96D21">
      <w:pPr>
        <w:pStyle w:val="Heading1"/>
      </w:pPr>
      <w:bookmarkStart w:id="1" w:name="_Toc481662673"/>
      <w:r>
        <w:lastRenderedPageBreak/>
        <w:t xml:space="preserve">1.0 </w:t>
      </w:r>
      <w:r w:rsidR="00DE50EA">
        <w:t>Introduction</w:t>
      </w:r>
      <w:bookmarkEnd w:id="1"/>
    </w:p>
    <w:p w:rsidR="00DE50EA" w:rsidRDefault="00DE50EA" w:rsidP="00DE50EA">
      <w:pPr>
        <w:pStyle w:val="ListParagraph"/>
        <w:ind w:left="360"/>
      </w:pPr>
      <w:r>
        <w:t>The Ministry of Education, Science and Technology is a state department under the government of Kenya.</w:t>
      </w:r>
    </w:p>
    <w:p w:rsidR="00DE50EA" w:rsidRDefault="00DE50EA" w:rsidP="00DE50EA">
      <w:pPr>
        <w:pStyle w:val="ListParagraph"/>
        <w:ind w:left="360"/>
      </w:pPr>
      <w:r>
        <w:t>It is responsible for national policies and programs that help Kenyans access quality and affordable, school education, post-school, higher education and academic research.</w:t>
      </w:r>
    </w:p>
    <w:p w:rsidR="00DE50EA" w:rsidRDefault="00DE50EA" w:rsidP="00DE50EA">
      <w:pPr>
        <w:pStyle w:val="ListParagraph"/>
        <w:ind w:left="360"/>
      </w:pPr>
    </w:p>
    <w:p w:rsidR="00DE50EA" w:rsidRDefault="00DE50EA" w:rsidP="00DE50EA">
      <w:pPr>
        <w:pStyle w:val="ListParagraph"/>
      </w:pPr>
    </w:p>
    <w:p w:rsidR="00DE50EA" w:rsidRDefault="00DE50EA" w:rsidP="00DE50EA"/>
    <w:p w:rsidR="00DE50EA" w:rsidRDefault="008F75DF" w:rsidP="00B96D21">
      <w:pPr>
        <w:pStyle w:val="Heading1"/>
      </w:pPr>
      <w:bookmarkStart w:id="2" w:name="_Toc481662674"/>
      <w:r>
        <w:t>1.2</w:t>
      </w:r>
      <w:r w:rsidR="00B96D21">
        <w:t xml:space="preserve"> </w:t>
      </w:r>
      <w:r w:rsidR="00DE50EA">
        <w:t>Departmentalization</w:t>
      </w:r>
      <w:bookmarkEnd w:id="2"/>
    </w:p>
    <w:p w:rsidR="00A56287" w:rsidRDefault="00A56287" w:rsidP="00A56287">
      <w:pPr>
        <w:pStyle w:val="ListParagraph"/>
        <w:ind w:left="360"/>
      </w:pPr>
      <w:r>
        <w:t xml:space="preserve">The Ministry’s ICT roles range from Network deployment, monitoring and support, Systems administration, and </w:t>
      </w:r>
      <w:r w:rsidR="004A023A">
        <w:t xml:space="preserve">maintenance and support of </w:t>
      </w:r>
      <w:r>
        <w:t>applications, including the outsourced IFMIS and the internally developed ones.</w:t>
      </w:r>
    </w:p>
    <w:p w:rsidR="004A023A" w:rsidRDefault="004A023A" w:rsidP="00A56287">
      <w:pPr>
        <w:pStyle w:val="ListParagraph"/>
        <w:ind w:left="360"/>
      </w:pPr>
    </w:p>
    <w:p w:rsidR="00F464FE" w:rsidRDefault="00F464FE" w:rsidP="00F464FE">
      <w:pPr>
        <w:pStyle w:val="ListParagraph"/>
        <w:ind w:left="360"/>
      </w:pPr>
      <w:r>
        <w:t>We were then divided according to the area of specialization</w:t>
      </w:r>
      <w:r w:rsidR="00AA5551">
        <w:t>, and in pairs and a group of three, assigned a senior ICT officer as the immediate person to consult.</w:t>
      </w:r>
    </w:p>
    <w:p w:rsidR="00D923C7" w:rsidRDefault="00D923C7" w:rsidP="00F464FE">
      <w:pPr>
        <w:pStyle w:val="ListParagraph"/>
        <w:ind w:left="360"/>
      </w:pPr>
    </w:p>
    <w:p w:rsidR="00DE50EA" w:rsidRDefault="00D923C7" w:rsidP="0090107F">
      <w:pPr>
        <w:pStyle w:val="ListParagraph"/>
        <w:ind w:left="360"/>
      </w:pPr>
      <w:r>
        <w:t>Following the increas</w:t>
      </w:r>
      <w:r w:rsidR="00577E13">
        <w:t xml:space="preserve">e in the number of interns, some </w:t>
      </w:r>
      <w:proofErr w:type="spellStart"/>
      <w:r>
        <w:t>pdtps</w:t>
      </w:r>
      <w:proofErr w:type="spellEnd"/>
      <w:r>
        <w:t xml:space="preserve"> were deployed to other facets of the ministry, including to the offices at </w:t>
      </w:r>
      <w:proofErr w:type="spellStart"/>
      <w:r>
        <w:t>Teleposter</w:t>
      </w:r>
      <w:proofErr w:type="spellEnd"/>
      <w:r>
        <w:t xml:space="preserve">, Kenya Reinsurance plaza, and </w:t>
      </w:r>
      <w:proofErr w:type="spellStart"/>
      <w:r>
        <w:t>uchumi</w:t>
      </w:r>
      <w:proofErr w:type="spellEnd"/>
      <w:r>
        <w:t xml:space="preserve"> house.</w:t>
      </w:r>
    </w:p>
    <w:p w:rsidR="00DE50EA" w:rsidRDefault="00B96D21" w:rsidP="00B96D21">
      <w:pPr>
        <w:pStyle w:val="Heading1"/>
      </w:pPr>
      <w:bookmarkStart w:id="3" w:name="_Toc481662675"/>
      <w:r>
        <w:t>1.</w:t>
      </w:r>
      <w:r w:rsidR="008F75DF">
        <w:t>3</w:t>
      </w:r>
      <w:r>
        <w:t xml:space="preserve"> </w:t>
      </w:r>
      <w:r w:rsidR="00DE50EA">
        <w:t>Tasks assigned</w:t>
      </w:r>
      <w:bookmarkEnd w:id="3"/>
    </w:p>
    <w:p w:rsidR="00F80E77" w:rsidRDefault="00F80E77" w:rsidP="00F80E77">
      <w:pPr>
        <w:pStyle w:val="ListParagraph"/>
        <w:ind w:left="360"/>
      </w:pPr>
    </w:p>
    <w:p w:rsidR="0090107F" w:rsidRDefault="0090107F" w:rsidP="00AA5551">
      <w:pPr>
        <w:pStyle w:val="ListParagraph"/>
        <w:ind w:left="360"/>
      </w:pPr>
    </w:p>
    <w:p w:rsidR="00F80E77" w:rsidRDefault="00F80E77" w:rsidP="00AA5551">
      <w:pPr>
        <w:pStyle w:val="ListParagraph"/>
        <w:ind w:left="360"/>
      </w:pPr>
    </w:p>
    <w:p w:rsidR="00F80E77" w:rsidRDefault="008F75DF" w:rsidP="00B96D21">
      <w:pPr>
        <w:pStyle w:val="Heading2"/>
      </w:pPr>
      <w:bookmarkStart w:id="4" w:name="_Toc481662676"/>
      <w:r>
        <w:t>1.3</w:t>
      </w:r>
      <w:r w:rsidR="00777B52">
        <w:t>.1</w:t>
      </w:r>
      <w:r w:rsidR="00B96D21">
        <w:t xml:space="preserve"> </w:t>
      </w:r>
      <w:r w:rsidR="00F80E77">
        <w:t>Network deployment, monitoring and Support, and Systems Administration</w:t>
      </w:r>
      <w:r w:rsidR="00524E8F">
        <w:t>.</w:t>
      </w:r>
      <w:bookmarkEnd w:id="4"/>
    </w:p>
    <w:p w:rsidR="00B96D21" w:rsidRDefault="00B96D21" w:rsidP="00B96D21">
      <w:pPr>
        <w:pStyle w:val="ListParagraph"/>
      </w:pPr>
    </w:p>
    <w:p w:rsidR="00B96D21" w:rsidRDefault="00B96D21" w:rsidP="00B96D21">
      <w:pPr>
        <w:pStyle w:val="ListParagraph"/>
      </w:pPr>
      <w:r>
        <w:t>The ministry has close to 500 staff, all of which are managed using an Active Directory. They access shared resources through a local network.</w:t>
      </w:r>
    </w:p>
    <w:p w:rsidR="00B96D21" w:rsidRDefault="00B96D21" w:rsidP="00B96D21">
      <w:pPr>
        <w:pStyle w:val="ListParagraph"/>
      </w:pPr>
    </w:p>
    <w:p w:rsidR="00E77C3C" w:rsidRDefault="00B96D21" w:rsidP="00B96D21">
      <w:pPr>
        <w:pStyle w:val="ListParagraph"/>
      </w:pPr>
      <w:r>
        <w:t>So some of the daily roles revolve around support, especially on network issues.</w:t>
      </w:r>
    </w:p>
    <w:p w:rsidR="00777B52" w:rsidRDefault="00777B52" w:rsidP="00B96D21">
      <w:pPr>
        <w:pStyle w:val="ListParagraph"/>
      </w:pPr>
    </w:p>
    <w:p w:rsidR="00777B52" w:rsidRDefault="00777B52" w:rsidP="00B96D21">
      <w:pPr>
        <w:pStyle w:val="ListParagraph"/>
      </w:pPr>
      <w:r>
        <w:t xml:space="preserve">Apart from the daily network support roles, we are also part of the teams restructuring the Ministry’s network infrastructure. Liquid </w:t>
      </w:r>
      <w:proofErr w:type="spellStart"/>
      <w:r>
        <w:t>Telcom</w:t>
      </w:r>
      <w:proofErr w:type="spellEnd"/>
      <w:r>
        <w:t xml:space="preserve"> has been contracted to provide wireless LAN infrastructure. While ICT Authority has a role of restructuring the cabling in the ministry. In regard to this, a document is being worked on to source funds from World Bank for the same.</w:t>
      </w:r>
    </w:p>
    <w:p w:rsidR="00702776" w:rsidRDefault="00702776" w:rsidP="00B96D21">
      <w:pPr>
        <w:pStyle w:val="ListParagraph"/>
      </w:pPr>
    </w:p>
    <w:p w:rsidR="00702776" w:rsidRDefault="00702776" w:rsidP="00B96D21">
      <w:pPr>
        <w:pStyle w:val="ListParagraph"/>
      </w:pPr>
    </w:p>
    <w:p w:rsidR="00E77C3C" w:rsidRDefault="008F75DF" w:rsidP="00E77C3C">
      <w:pPr>
        <w:pStyle w:val="Heading1"/>
      </w:pPr>
      <w:bookmarkStart w:id="5" w:name="_Toc481662677"/>
      <w:r>
        <w:t>1.4</w:t>
      </w:r>
      <w:r w:rsidR="00E77C3C">
        <w:t xml:space="preserve"> Conclusion.</w:t>
      </w:r>
      <w:bookmarkEnd w:id="5"/>
    </w:p>
    <w:p w:rsidR="006A7534" w:rsidRDefault="006A7534" w:rsidP="006A753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It is educative as well as enlightening. We are getting to know how the ministry works. </w:t>
      </w:r>
    </w:p>
    <w:sectPr w:rsidR="006A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869FB"/>
    <w:multiLevelType w:val="hybridMultilevel"/>
    <w:tmpl w:val="2182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F6830"/>
    <w:multiLevelType w:val="multilevel"/>
    <w:tmpl w:val="AA9E16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7172458"/>
    <w:multiLevelType w:val="hybridMultilevel"/>
    <w:tmpl w:val="06984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0E"/>
    <w:rsid w:val="001468A6"/>
    <w:rsid w:val="001C241C"/>
    <w:rsid w:val="00240F4A"/>
    <w:rsid w:val="00271E70"/>
    <w:rsid w:val="002D0819"/>
    <w:rsid w:val="00343251"/>
    <w:rsid w:val="00345826"/>
    <w:rsid w:val="003A3FF6"/>
    <w:rsid w:val="003D320E"/>
    <w:rsid w:val="0045495D"/>
    <w:rsid w:val="004A023A"/>
    <w:rsid w:val="00523CDD"/>
    <w:rsid w:val="00524E8F"/>
    <w:rsid w:val="00577E13"/>
    <w:rsid w:val="0067527B"/>
    <w:rsid w:val="006A7534"/>
    <w:rsid w:val="00702776"/>
    <w:rsid w:val="00777B52"/>
    <w:rsid w:val="007E259D"/>
    <w:rsid w:val="00823280"/>
    <w:rsid w:val="008F75DF"/>
    <w:rsid w:val="0090107F"/>
    <w:rsid w:val="009C1B4E"/>
    <w:rsid w:val="00A56287"/>
    <w:rsid w:val="00AA5551"/>
    <w:rsid w:val="00B40292"/>
    <w:rsid w:val="00B96D21"/>
    <w:rsid w:val="00CD75F1"/>
    <w:rsid w:val="00D923C7"/>
    <w:rsid w:val="00DE50EA"/>
    <w:rsid w:val="00E413E4"/>
    <w:rsid w:val="00E77C3C"/>
    <w:rsid w:val="00F10151"/>
    <w:rsid w:val="00F464FE"/>
    <w:rsid w:val="00F8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C0FE8-FE4B-4FD9-9B2A-71A49A83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7B"/>
    <w:pPr>
      <w:ind w:left="720"/>
      <w:contextualSpacing/>
    </w:pPr>
  </w:style>
  <w:style w:type="table" w:styleId="TableGrid">
    <w:name w:val="Table Grid"/>
    <w:basedOn w:val="TableNormal"/>
    <w:uiPriority w:val="39"/>
    <w:rsid w:val="00675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96D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6D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D08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08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8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0819"/>
    <w:rPr>
      <w:color w:val="0563C1" w:themeColor="hyperlink"/>
      <w:u w:val="single"/>
    </w:rPr>
  </w:style>
  <w:style w:type="paragraph" w:customStyle="1" w:styleId="Default">
    <w:name w:val="Default"/>
    <w:rsid w:val="006A753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GridTable4-Accent2">
    <w:name w:val="Grid Table 4 Accent 2"/>
    <w:basedOn w:val="TableNormal"/>
    <w:uiPriority w:val="49"/>
    <w:rsid w:val="0034582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F6F6B-CCA7-4213-807A-8712BDB23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2017-05-08T03:03:00Z</dcterms:created>
  <dcterms:modified xsi:type="dcterms:W3CDTF">2017-05-08T03:03:00Z</dcterms:modified>
</cp:coreProperties>
</file>