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sz w:val="20"/>
          <w:szCs w:val="20"/>
        </w:rPr>
      </w:pPr>
      <w:r w:rsidDel="00000000" w:rsidR="00000000" w:rsidRPr="00000000">
        <w:rPr>
          <w:sz w:val="20"/>
          <w:szCs w:val="20"/>
          <w:rtl w:val="0"/>
        </w:rPr>
        <w:t xml:space="preserve">Global Investment Analysis Q1 2025</w:t>
      </w:r>
    </w:p>
    <w:p w:rsidR="00000000" w:rsidDel="00000000" w:rsidP="00000000" w:rsidRDefault="00000000" w:rsidRPr="00000000" w14:paraId="00000002">
      <w:pPr>
        <w:spacing w:after="240" w:before="240" w:line="240" w:lineRule="auto"/>
        <w:rPr>
          <w:sz w:val="20"/>
          <w:szCs w:val="20"/>
        </w:rPr>
      </w:pPr>
      <w:r w:rsidDel="00000000" w:rsidR="00000000" w:rsidRPr="00000000">
        <w:rPr>
          <w:sz w:val="20"/>
          <w:szCs w:val="20"/>
          <w:rtl w:val="0"/>
        </w:rPr>
        <w:t xml:space="preserve">GLOBAL INVESTMENT ANALYSIS Q1 2025</w:t>
      </w:r>
    </w:p>
    <w:p w:rsidR="00000000" w:rsidDel="00000000" w:rsidP="00000000" w:rsidRDefault="00000000" w:rsidRPr="00000000" w14:paraId="00000003">
      <w:pPr>
        <w:spacing w:after="240" w:before="240" w:line="240" w:lineRule="auto"/>
        <w:rPr>
          <w:sz w:val="20"/>
          <w:szCs w:val="20"/>
        </w:rPr>
      </w:pPr>
      <w:r w:rsidDel="00000000" w:rsidR="00000000" w:rsidRPr="00000000">
        <w:rPr>
          <w:sz w:val="20"/>
          <w:szCs w:val="20"/>
          <w:rtl w:val="0"/>
        </w:rPr>
        <w:t xml:space="preserve">Executive Summary:</w:t>
      </w:r>
    </w:p>
    <w:p w:rsidR="00000000" w:rsidDel="00000000" w:rsidP="00000000" w:rsidRDefault="00000000" w:rsidRPr="00000000" w14:paraId="00000004">
      <w:pPr>
        <w:spacing w:after="240" w:before="240" w:line="240" w:lineRule="auto"/>
        <w:rPr>
          <w:sz w:val="20"/>
          <w:szCs w:val="20"/>
        </w:rPr>
      </w:pPr>
      <w:r w:rsidDel="00000000" w:rsidR="00000000" w:rsidRPr="00000000">
        <w:rPr>
          <w:sz w:val="20"/>
          <w:szCs w:val="20"/>
          <w:rtl w:val="0"/>
        </w:rPr>
        <w:t xml:space="preserve">The first quarter of 2025 witnessed moderate global growth despite geopolitical tensions and fluctuating commodity prices. </w:t>
      </w:r>
    </w:p>
    <w:p w:rsidR="00000000" w:rsidDel="00000000" w:rsidP="00000000" w:rsidRDefault="00000000" w:rsidRPr="00000000" w14:paraId="00000005">
      <w:pPr>
        <w:spacing w:after="240" w:before="240" w:line="240" w:lineRule="auto"/>
        <w:rPr>
          <w:sz w:val="20"/>
          <w:szCs w:val="20"/>
        </w:rPr>
      </w:pPr>
      <w:r w:rsidDel="00000000" w:rsidR="00000000" w:rsidRPr="00000000">
        <w:rPr>
          <w:sz w:val="20"/>
          <w:szCs w:val="20"/>
          <w:rtl w:val="0"/>
        </w:rPr>
        <w:t xml:space="preserve">North American markets, particularly in the U.S. and Canada, led with a 2.8% quarter-over-quarter increase in overall market performance, </w:t>
      </w:r>
    </w:p>
    <w:p w:rsidR="00000000" w:rsidDel="00000000" w:rsidP="00000000" w:rsidRDefault="00000000" w:rsidRPr="00000000" w14:paraId="00000006">
      <w:pPr>
        <w:spacing w:after="240" w:before="240" w:line="240" w:lineRule="auto"/>
        <w:rPr>
          <w:sz w:val="20"/>
          <w:szCs w:val="20"/>
        </w:rPr>
      </w:pPr>
      <w:r w:rsidDel="00000000" w:rsidR="00000000" w:rsidRPr="00000000">
        <w:rPr>
          <w:sz w:val="20"/>
          <w:szCs w:val="20"/>
          <w:rtl w:val="0"/>
        </w:rPr>
        <w:t xml:space="preserve">driven by strong activity in the technology and healthcare sectors. Investors are showing renewed interest in green technology, </w:t>
      </w:r>
    </w:p>
    <w:p w:rsidR="00000000" w:rsidDel="00000000" w:rsidP="00000000" w:rsidRDefault="00000000" w:rsidRPr="00000000" w14:paraId="00000007">
      <w:pPr>
        <w:spacing w:after="240" w:before="240" w:line="240" w:lineRule="auto"/>
        <w:rPr>
          <w:sz w:val="20"/>
          <w:szCs w:val="20"/>
        </w:rPr>
      </w:pPr>
      <w:r w:rsidDel="00000000" w:rsidR="00000000" w:rsidRPr="00000000">
        <w:rPr>
          <w:sz w:val="20"/>
          <w:szCs w:val="20"/>
          <w:rtl w:val="0"/>
        </w:rPr>
        <w:t xml:space="preserve">alternative energy, and specialized biotech companies, pushing valuations to near-historic highs.</w:t>
      </w:r>
    </w:p>
    <w:p w:rsidR="00000000" w:rsidDel="00000000" w:rsidP="00000000" w:rsidRDefault="00000000" w:rsidRPr="00000000" w14:paraId="00000008">
      <w:pPr>
        <w:spacing w:after="240" w:before="240" w:line="240" w:lineRule="auto"/>
        <w:rPr>
          <w:sz w:val="20"/>
          <w:szCs w:val="20"/>
        </w:rPr>
      </w:pPr>
      <w:r w:rsidDel="00000000" w:rsidR="00000000" w:rsidRPr="00000000">
        <w:rPr>
          <w:sz w:val="20"/>
          <w:szCs w:val="20"/>
          <w:rtl w:val="0"/>
        </w:rPr>
        <w:t xml:space="preserve">Detailed Insights:</w:t>
      </w:r>
    </w:p>
    <w:p w:rsidR="00000000" w:rsidDel="00000000" w:rsidP="00000000" w:rsidRDefault="00000000" w:rsidRPr="00000000" w14:paraId="00000009">
      <w:pPr>
        <w:spacing w:after="240" w:before="240" w:line="240" w:lineRule="auto"/>
        <w:rPr>
          <w:sz w:val="20"/>
          <w:szCs w:val="20"/>
        </w:rPr>
      </w:pPr>
      <w:r w:rsidDel="00000000" w:rsidR="00000000" w:rsidRPr="00000000">
        <w:rPr>
          <w:sz w:val="20"/>
          <w:szCs w:val="20"/>
          <w:rtl w:val="0"/>
        </w:rPr>
        <w:t xml:space="preserve">1. Technology Sector Breakdown:</w:t>
      </w:r>
    </w:p>
    <w:p w:rsidR="00000000" w:rsidDel="00000000" w:rsidP="00000000" w:rsidRDefault="00000000" w:rsidRPr="00000000" w14:paraId="0000000A">
      <w:pPr>
        <w:spacing w:after="240" w:before="240" w:line="240" w:lineRule="auto"/>
        <w:rPr>
          <w:sz w:val="20"/>
          <w:szCs w:val="20"/>
        </w:rPr>
      </w:pPr>
      <w:r w:rsidDel="00000000" w:rsidR="00000000" w:rsidRPr="00000000">
        <w:rPr>
          <w:sz w:val="20"/>
          <w:szCs w:val="20"/>
          <w:rtl w:val="0"/>
        </w:rPr>
        <w:t xml:space="preserve">   - Major tech indices soared to record levels, with several large-cap tech firms reporting a 10–12% increase in quarterly earnings. </w:t>
      </w:r>
    </w:p>
    <w:p w:rsidR="00000000" w:rsidDel="00000000" w:rsidP="00000000" w:rsidRDefault="00000000" w:rsidRPr="00000000" w14:paraId="0000000B">
      <w:pPr>
        <w:spacing w:after="240" w:before="240" w:line="240" w:lineRule="auto"/>
        <w:rPr>
          <w:sz w:val="20"/>
          <w:szCs w:val="20"/>
        </w:rPr>
      </w:pPr>
      <w:r w:rsidDel="00000000" w:rsidR="00000000" w:rsidRPr="00000000">
        <w:rPr>
          <w:sz w:val="20"/>
          <w:szCs w:val="20"/>
          <w:rtl w:val="0"/>
        </w:rPr>
        <w:t xml:space="preserve">   - Artificial Intelligence (AI) solutions saw unprecedented investments, increasing deal volume by 35% compared to Q4 2024. </w:t>
      </w:r>
    </w:p>
    <w:p w:rsidR="00000000" w:rsidDel="00000000" w:rsidP="00000000" w:rsidRDefault="00000000" w:rsidRPr="00000000" w14:paraId="0000000C">
      <w:pPr>
        <w:spacing w:after="240" w:before="240" w:line="240" w:lineRule="auto"/>
        <w:rPr>
          <w:sz w:val="20"/>
          <w:szCs w:val="20"/>
        </w:rPr>
      </w:pPr>
      <w:r w:rsidDel="00000000" w:rsidR="00000000" w:rsidRPr="00000000">
        <w:rPr>
          <w:sz w:val="20"/>
          <w:szCs w:val="20"/>
          <w:rtl w:val="0"/>
        </w:rPr>
        <w:t xml:space="preserve">   - Cloud computing and SaaS providers reported steady subscription revenue growth at an average of 15% year-over-year.</w:t>
      </w:r>
    </w:p>
    <w:p w:rsidR="00000000" w:rsidDel="00000000" w:rsidP="00000000" w:rsidRDefault="00000000" w:rsidRPr="00000000" w14:paraId="0000000D">
      <w:pPr>
        <w:spacing w:after="240" w:before="240" w:line="240" w:lineRule="auto"/>
        <w:rPr>
          <w:sz w:val="20"/>
          <w:szCs w:val="20"/>
        </w:rPr>
      </w:pPr>
      <w:r w:rsidDel="00000000" w:rsidR="00000000" w:rsidRPr="00000000">
        <w:rPr>
          <w:sz w:val="20"/>
          <w:szCs w:val="20"/>
          <w:rtl w:val="0"/>
        </w:rPr>
        <w:t xml:space="preserve">2. Healthcare &amp; Biotech:</w:t>
      </w:r>
    </w:p>
    <w:p w:rsidR="00000000" w:rsidDel="00000000" w:rsidP="00000000" w:rsidRDefault="00000000" w:rsidRPr="00000000" w14:paraId="0000000E">
      <w:pPr>
        <w:spacing w:after="240" w:before="240" w:line="240" w:lineRule="auto"/>
        <w:rPr>
          <w:sz w:val="20"/>
          <w:szCs w:val="20"/>
        </w:rPr>
      </w:pPr>
      <w:r w:rsidDel="00000000" w:rsidR="00000000" w:rsidRPr="00000000">
        <w:rPr>
          <w:sz w:val="20"/>
          <w:szCs w:val="20"/>
          <w:rtl w:val="0"/>
        </w:rPr>
        <w:t xml:space="preserve">   - Healthcare stocks contributed 1.3% to the overall market growth, spurred by robust R&amp;D pipelines and new drug approvals. </w:t>
      </w:r>
    </w:p>
    <w:p w:rsidR="00000000" w:rsidDel="00000000" w:rsidP="00000000" w:rsidRDefault="00000000" w:rsidRPr="00000000" w14:paraId="0000000F">
      <w:pPr>
        <w:spacing w:after="240" w:before="240" w:line="240" w:lineRule="auto"/>
        <w:rPr>
          <w:sz w:val="20"/>
          <w:szCs w:val="20"/>
        </w:rPr>
      </w:pPr>
      <w:r w:rsidDel="00000000" w:rsidR="00000000" w:rsidRPr="00000000">
        <w:rPr>
          <w:sz w:val="20"/>
          <w:szCs w:val="20"/>
          <w:rtl w:val="0"/>
        </w:rPr>
        <w:t xml:space="preserve">   - Several leading biotech firms unveiled next-generation oncology treatments, attracting significant venture funding and partnership deals.</w:t>
      </w:r>
    </w:p>
    <w:p w:rsidR="00000000" w:rsidDel="00000000" w:rsidP="00000000" w:rsidRDefault="00000000" w:rsidRPr="00000000" w14:paraId="00000010">
      <w:pPr>
        <w:spacing w:after="240" w:before="240" w:line="240" w:lineRule="auto"/>
        <w:rPr>
          <w:sz w:val="20"/>
          <w:szCs w:val="20"/>
        </w:rPr>
      </w:pPr>
      <w:r w:rsidDel="00000000" w:rsidR="00000000" w:rsidRPr="00000000">
        <w:rPr>
          <w:sz w:val="20"/>
          <w:szCs w:val="20"/>
          <w:rtl w:val="0"/>
        </w:rPr>
        <w:t xml:space="preserve">3. Consumer Confidence &amp; Retail:</w:t>
      </w:r>
    </w:p>
    <w:p w:rsidR="00000000" w:rsidDel="00000000" w:rsidP="00000000" w:rsidRDefault="00000000" w:rsidRPr="00000000" w14:paraId="00000011">
      <w:pPr>
        <w:spacing w:after="240" w:before="240" w:line="240" w:lineRule="auto"/>
        <w:rPr>
          <w:sz w:val="20"/>
          <w:szCs w:val="20"/>
        </w:rPr>
      </w:pPr>
      <w:r w:rsidDel="00000000" w:rsidR="00000000" w:rsidRPr="00000000">
        <w:rPr>
          <w:sz w:val="20"/>
          <w:szCs w:val="20"/>
          <w:rtl w:val="0"/>
        </w:rPr>
        <w:t xml:space="preserve">   - Consumer spending stabilized after a volatile 2024. Retail sectors reported moderate gains, with e-commerce channels outperforming physical stores.</w:t>
      </w:r>
    </w:p>
    <w:p w:rsidR="00000000" w:rsidDel="00000000" w:rsidP="00000000" w:rsidRDefault="00000000" w:rsidRPr="00000000" w14:paraId="00000012">
      <w:pPr>
        <w:spacing w:after="240" w:before="240" w:line="240" w:lineRule="auto"/>
        <w:rPr>
          <w:sz w:val="20"/>
          <w:szCs w:val="20"/>
        </w:rPr>
      </w:pPr>
      <w:r w:rsidDel="00000000" w:rsidR="00000000" w:rsidRPr="00000000">
        <w:rPr>
          <w:sz w:val="20"/>
          <w:szCs w:val="20"/>
          <w:rtl w:val="0"/>
        </w:rPr>
        <w:t xml:space="preserve">   - Inflation remained somewhat elevated at 3.1%, prompting cautious consumer behavior in discretionary spending categories.</w:t>
      </w:r>
    </w:p>
    <w:p w:rsidR="00000000" w:rsidDel="00000000" w:rsidP="00000000" w:rsidRDefault="00000000" w:rsidRPr="00000000" w14:paraId="00000013">
      <w:pPr>
        <w:spacing w:after="240" w:before="240" w:line="240" w:lineRule="auto"/>
        <w:rPr>
          <w:sz w:val="20"/>
          <w:szCs w:val="20"/>
        </w:rPr>
      </w:pPr>
      <w:r w:rsidDel="00000000" w:rsidR="00000000" w:rsidRPr="00000000">
        <w:rPr>
          <w:sz w:val="20"/>
          <w:szCs w:val="20"/>
          <w:rtl w:val="0"/>
        </w:rPr>
        <w:t xml:space="preserve">4. ESG &amp; Green Technology:</w:t>
      </w:r>
    </w:p>
    <w:p w:rsidR="00000000" w:rsidDel="00000000" w:rsidP="00000000" w:rsidRDefault="00000000" w:rsidRPr="00000000" w14:paraId="00000014">
      <w:pPr>
        <w:spacing w:after="240" w:before="240" w:line="240" w:lineRule="auto"/>
        <w:rPr>
          <w:sz w:val="20"/>
          <w:szCs w:val="20"/>
        </w:rPr>
      </w:pPr>
      <w:r w:rsidDel="00000000" w:rsidR="00000000" w:rsidRPr="00000000">
        <w:rPr>
          <w:sz w:val="20"/>
          <w:szCs w:val="20"/>
          <w:rtl w:val="0"/>
        </w:rPr>
        <w:t xml:space="preserve">   - Environmentally-focused (ESG) funds grew assets under management (AUM) by 18% this quarter. </w:t>
      </w:r>
    </w:p>
    <w:p w:rsidR="00000000" w:rsidDel="00000000" w:rsidP="00000000" w:rsidRDefault="00000000" w:rsidRPr="00000000" w14:paraId="00000015">
      <w:pPr>
        <w:spacing w:after="240" w:before="240" w:line="240" w:lineRule="auto"/>
        <w:rPr>
          <w:sz w:val="20"/>
          <w:szCs w:val="20"/>
        </w:rPr>
      </w:pPr>
      <w:r w:rsidDel="00000000" w:rsidR="00000000" w:rsidRPr="00000000">
        <w:rPr>
          <w:sz w:val="20"/>
          <w:szCs w:val="20"/>
          <w:rtl w:val="0"/>
        </w:rPr>
        <w:t xml:space="preserve">   - Green technology ventures, particularly in carbon capture and solar energy, secured multiple rounds of investment, signaling long-term investor confidence.</w:t>
      </w:r>
    </w:p>
    <w:p w:rsidR="00000000" w:rsidDel="00000000" w:rsidP="00000000" w:rsidRDefault="00000000" w:rsidRPr="00000000" w14:paraId="00000016">
      <w:pPr>
        <w:spacing w:after="240" w:before="240" w:line="240" w:lineRule="auto"/>
        <w:rPr>
          <w:sz w:val="20"/>
          <w:szCs w:val="20"/>
        </w:rPr>
      </w:pPr>
      <w:r w:rsidDel="00000000" w:rsidR="00000000" w:rsidRPr="00000000">
        <w:rPr>
          <w:sz w:val="20"/>
          <w:szCs w:val="20"/>
          <w:rtl w:val="0"/>
        </w:rPr>
        <w:t xml:space="preserve">5. Risks &amp; Volatility:</w:t>
      </w:r>
    </w:p>
    <w:p w:rsidR="00000000" w:rsidDel="00000000" w:rsidP="00000000" w:rsidRDefault="00000000" w:rsidRPr="00000000" w14:paraId="00000017">
      <w:pPr>
        <w:spacing w:after="240" w:before="240" w:line="240" w:lineRule="auto"/>
        <w:rPr>
          <w:sz w:val="20"/>
          <w:szCs w:val="20"/>
        </w:rPr>
      </w:pPr>
      <w:r w:rsidDel="00000000" w:rsidR="00000000" w:rsidRPr="00000000">
        <w:rPr>
          <w:sz w:val="20"/>
          <w:szCs w:val="20"/>
          <w:rtl w:val="0"/>
        </w:rPr>
        <w:t xml:space="preserve">   - Market volatility indices showed a mild uptick due to regulatory uncertainties in the tech sector and ongoing geopolitical frictions in Eastern Europe. </w:t>
      </w:r>
    </w:p>
    <w:p w:rsidR="00000000" w:rsidDel="00000000" w:rsidP="00000000" w:rsidRDefault="00000000" w:rsidRPr="00000000" w14:paraId="00000018">
      <w:pPr>
        <w:spacing w:after="240" w:before="240" w:line="240" w:lineRule="auto"/>
        <w:rPr>
          <w:sz w:val="20"/>
          <w:szCs w:val="20"/>
        </w:rPr>
      </w:pPr>
      <w:r w:rsidDel="00000000" w:rsidR="00000000" w:rsidRPr="00000000">
        <w:rPr>
          <w:sz w:val="20"/>
          <w:szCs w:val="20"/>
          <w:rtl w:val="0"/>
        </w:rPr>
        <w:t xml:space="preserve">   - Commodity prices, including oil and critical metals used in EV batteries, remained volatile. </w:t>
      </w:r>
    </w:p>
    <w:p w:rsidR="00000000" w:rsidDel="00000000" w:rsidP="00000000" w:rsidRDefault="00000000" w:rsidRPr="00000000" w14:paraId="00000019">
      <w:pPr>
        <w:spacing w:after="240" w:before="240" w:line="240" w:lineRule="auto"/>
        <w:rPr>
          <w:sz w:val="20"/>
          <w:szCs w:val="20"/>
        </w:rPr>
      </w:pPr>
      <w:r w:rsidDel="00000000" w:rsidR="00000000" w:rsidRPr="00000000">
        <w:rPr>
          <w:sz w:val="20"/>
          <w:szCs w:val="20"/>
          <w:rtl w:val="0"/>
        </w:rPr>
        <w:t xml:space="preserve">   - Any major policy shifts from central banks could tighten credit and potentially dampen growth.</w:t>
      </w:r>
    </w:p>
    <w:p w:rsidR="00000000" w:rsidDel="00000000" w:rsidP="00000000" w:rsidRDefault="00000000" w:rsidRPr="00000000" w14:paraId="0000001A">
      <w:pPr>
        <w:spacing w:after="240" w:before="240" w:line="240" w:lineRule="auto"/>
        <w:rPr>
          <w:sz w:val="20"/>
          <w:szCs w:val="20"/>
        </w:rPr>
      </w:pPr>
      <w:r w:rsidDel="00000000" w:rsidR="00000000" w:rsidRPr="00000000">
        <w:rPr>
          <w:sz w:val="20"/>
          <w:szCs w:val="20"/>
          <w:rtl w:val="0"/>
        </w:rPr>
        <w:t xml:space="preserve">Forward-Looking Projections:</w:t>
      </w:r>
    </w:p>
    <w:p w:rsidR="00000000" w:rsidDel="00000000" w:rsidP="00000000" w:rsidRDefault="00000000" w:rsidRPr="00000000" w14:paraId="0000001B">
      <w:pPr>
        <w:spacing w:after="240" w:before="240" w:line="240" w:lineRule="auto"/>
        <w:rPr>
          <w:sz w:val="20"/>
          <w:szCs w:val="20"/>
        </w:rPr>
      </w:pPr>
      <w:r w:rsidDel="00000000" w:rsidR="00000000" w:rsidRPr="00000000">
        <w:rPr>
          <w:sz w:val="20"/>
          <w:szCs w:val="20"/>
          <w:rtl w:val="0"/>
        </w:rPr>
        <w:t xml:space="preserve">Analysts forecast sustained growth into Q2 2025, largely conditional on continued monetary easing and stable political landscapes. Technology and healthcare are expected to remain prime drivers, although shifts in taxation or regulation could introduce near-term turbulence. </w:t>
      </w:r>
    </w:p>
    <w:p w:rsidR="00000000" w:rsidDel="00000000" w:rsidP="00000000" w:rsidRDefault="00000000" w:rsidRPr="00000000" w14:paraId="0000001C">
      <w:pPr>
        <w:spacing w:after="240" w:before="240" w:line="240" w:lineRule="auto"/>
        <w:rPr>
          <w:sz w:val="20"/>
          <w:szCs w:val="20"/>
        </w:rPr>
      </w:pPr>
      <w:r w:rsidDel="00000000" w:rsidR="00000000" w:rsidRPr="00000000">
        <w:rPr>
          <w:sz w:val="20"/>
          <w:szCs w:val="20"/>
          <w:rtl w:val="0"/>
        </w:rPr>
        <w:t xml:space="preserve">Investors should stay alert to potential interest rate adjustments and maintain diversified portfolios to hedge sector-specific risks.</w:t>
      </w:r>
    </w:p>
    <w:p w:rsidR="00000000" w:rsidDel="00000000" w:rsidP="00000000" w:rsidRDefault="00000000" w:rsidRPr="00000000" w14:paraId="0000001D">
      <w:pPr>
        <w:spacing w:after="240" w:before="240" w:line="240" w:lineRule="auto"/>
        <w:rPr>
          <w:sz w:val="20"/>
          <w:szCs w:val="20"/>
        </w:rPr>
      </w:pPr>
      <w:r w:rsidDel="00000000" w:rsidR="00000000" w:rsidRPr="00000000">
        <w:rPr>
          <w:sz w:val="20"/>
          <w:szCs w:val="20"/>
          <w:rtl w:val="0"/>
        </w:rPr>
        <w:t xml:space="preserve">Conclusion:</w:t>
      </w:r>
    </w:p>
    <w:p w:rsidR="00000000" w:rsidDel="00000000" w:rsidP="00000000" w:rsidRDefault="00000000" w:rsidRPr="00000000" w14:paraId="0000001E">
      <w:pPr>
        <w:spacing w:after="240" w:before="240" w:line="240" w:lineRule="auto"/>
        <w:rPr>
          <w:sz w:val="20"/>
          <w:szCs w:val="20"/>
        </w:rPr>
      </w:pPr>
      <w:r w:rsidDel="00000000" w:rsidR="00000000" w:rsidRPr="00000000">
        <w:rPr>
          <w:sz w:val="20"/>
          <w:szCs w:val="20"/>
          <w:rtl w:val="0"/>
        </w:rPr>
        <w:t xml:space="preserve">Q1 2025 demonstrated a robust rebound from earlier market uncertainties, underscored by technology and healthcare innovation. </w:t>
      </w:r>
    </w:p>
    <w:p w:rsidR="00000000" w:rsidDel="00000000" w:rsidP="00000000" w:rsidRDefault="00000000" w:rsidRPr="00000000" w14:paraId="0000001F">
      <w:pPr>
        <w:spacing w:after="240" w:before="240" w:line="240" w:lineRule="auto"/>
        <w:rPr>
          <w:sz w:val="20"/>
          <w:szCs w:val="20"/>
        </w:rPr>
      </w:pPr>
      <w:r w:rsidDel="00000000" w:rsidR="00000000" w:rsidRPr="00000000">
        <w:rPr>
          <w:sz w:val="20"/>
          <w:szCs w:val="20"/>
          <w:rtl w:val="0"/>
        </w:rPr>
        <w:t xml:space="preserve">While optimism remains high, prudent risk management is essential given inflationary pressures and the potential for unexpected regulatory developments.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