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0"/>
          <w:szCs w:val="20"/>
        </w:rPr>
      </w:pPr>
      <w:r w:rsidDel="00000000" w:rsidR="00000000" w:rsidRPr="00000000">
        <w:rPr>
          <w:sz w:val="20"/>
          <w:szCs w:val="20"/>
          <w:rtl w:val="0"/>
        </w:rPr>
        <w:t xml:space="preserve">INVESTMENT PORTFOLIO STRATEGY 2025</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Executive Brief:This document consolidates both market research findings and practical investment strategies intended for asset managers, institutional investors, and advisory teams. With an emphasis on diversification, this strategy aims to capture growth opportunities while mitigating downside risks.</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Part I: Market Research Overview</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1. Consumer and Business Confidence:</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   - Recent surveys indicate a 70% surge in consumer optimism related to post-pandemic recovery, although rising interest rates may temper discretionary spending in the next 12–18 months.</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   - Mid-sized enterprises in technology and healthcare are scaling operations faster than anticipated, responding to global demand for digital transformation and advanced medical solutions.</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2. Sector Growth Projections:</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   - Technology: Forecasted to grow 12–15% annually, driven by AI and high-performance computing.</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   - Healthcare &amp; Biotech: Stable 8–10% growth, primarily on the back of new drug pipelines and telehealth services.</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   - Sustainable Energy: Expected to expand 20–25%, particularly in solar, wind, and emerging green hydrogen projects.</w:t>
      </w:r>
    </w:p>
    <w:p w:rsidR="00000000" w:rsidDel="00000000" w:rsidP="00000000" w:rsidRDefault="00000000" w:rsidRPr="00000000" w14:paraId="0000000B">
      <w:pPr>
        <w:spacing w:after="240" w:before="240" w:lineRule="auto"/>
        <w:rPr>
          <w:sz w:val="20"/>
          <w:szCs w:val="20"/>
        </w:rPr>
      </w:pPr>
      <w:r w:rsidDel="00000000" w:rsidR="00000000" w:rsidRPr="00000000">
        <w:rPr>
          <w:rtl w:val="0"/>
        </w:rPr>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3. Emerging Market Opportunities:</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 Southeast Asia: Rapid adoption of mobile financial services and e-commerce platforms could yield robust returns.</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   - Sub-Saharan Africa: Fintech and infrastructure projects are gaining momentum but remain higher-risk due to political and currency uncertainties.</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Part II: Portfolio Recommendations</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1. Sector Weighting:</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   - **Technology (25–30%)**: Focus on AI, cloud, and cybersecurity firms with proven revenue models.</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   - **Healthcare &amp; Pharma (20–25%)**: Emphasize companies demonstrating innovative R&amp;D pipelines.</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   - **Sustainable Energy (15–20%)**: Invest in solar, wind, and advanced battery storage technology.</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   - **Fixed Income (15–20%)**: Favor corporate bonds in stable sectors, plus short-duration Treasuries to hedge rate hikes.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   - **Alternatives (up to 10%)**: Real estate (particularly data centers), private equity, and select hedge funds for diversification.</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2. Risk Diversification:</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   - Tactical rebalancing on a quarterly basis to adjust for sector volatility and macroeconomic shifts.</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   - Maintain multi-currency exposure with hedging strategies for emerging market allocations.</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   - Evaluate alternative hedging instruments (e.g., commodity futures, interest rate swaps) to limit downside exposure.</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3. Liquidity Considerations:</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   - Ensure sufficient cash or near-cash instruments to meet margin calls or exploit sudden market dips.</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   - Utilize short-term credit facilities for bridging capital in high-volatility environments.</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Part III: Scenario Analysis</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1. Rising Interest Rates:</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   - Potential short-term corrections in growth stocks. </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   - Higher yields may attract capital into fixed-income segments, requiring rebalancing to maintain growth targets.</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2. Regulatory Changes:</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   - Stricter ESG standards could impact certain sectors (like fossil fuels), while incentivizing “green” investments.</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   - Proposed tax reforms on capital gains may drive short-term sell-offs but stabilize longer-term investor behavior.</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3. Geopolitical Tensions:</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   - Trade disruptions could alter supply chains, affecting technology hardware costs.</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   - Security or political crises can hamper emerging market expansions, requiring timely exit or hedging strategies.</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Part IV: Market Research Integration</w:t>
      </w:r>
    </w:p>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1. Consumer Trends:</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   - Continue monitoring changing consumer behaviors (e.g., rise of subscription services, telemedicine adoption, preference for environmentally responsible brands).</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   - Real-time analytics of social sentiment can guide short-term trading and product diversification.</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2. Industry Collaboration:</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   - Collaborate with market research firms to refine predictive models around consumer demand. </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   - Joint webinars with research analysts help maintain an up-to-date perspective on sector shifts.</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Conclusion:</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In 2025, investment success hinges on selective sector overweighting (especially in technology, healthcare, and sustainability), bolstered by robust risk diversification measures. Market research insights confirm these sectors’ near- to mid-term growth potential, while strategic rebalancing positions portfolios to withstand volatility. Institutions should remain agile, adapting to rate changes,geopolitical risks, and shifting consumer trends to maximize returns in a rapidly evolving financial landscape.</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