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108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Krioterapia miejscowa ciekłym azotem</w:t>
      </w:r>
    </w:p>
    <w:p>
      <w:pPr>
        <w:jc w:val="both"/>
        <w:ind w:left="14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426"/>
      </w:pPr>
      <w:r>
        <w:rPr>
          <w:rFonts w:ascii="Times New Roman" w:hAnsi="Times New Roman" w:cs="Times New Roman"/>
          <w:sz w:val="24"/>
          <w:sz-cs w:val="24"/>
        </w:rPr>
        <w:t xml:space="preserve">Krioterapia miejscowa polega na stosowaniu niskich temperatur na wybrane obszary ciała w celu uzyskania efektu terapeutycznego. Używana jest w leczeniu urazów sportowych, dolegliwości bólowych mięśni i stawów, w stanach zapalnych, w celu przyspieszenia regeneracji, poprawy krążenia krwi i limfy. </w:t>
      </w:r>
    </w:p>
    <w:p>
      <w:pPr>
        <w:jc w:val="both"/>
        <w:ind w:left="360"/>
      </w:pPr>
      <w:r>
        <w:rPr>
          <w:rFonts w:ascii="Times New Roman" w:hAnsi="Times New Roman" w:cs="Times New Roman"/>
          <w:sz w:val="24"/>
          <w:sz-cs w:val="24"/>
        </w:rPr>
        <w:t xml:space="preserve">Wskazania: 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ostre i przewlekle choroby stawów i chrząstek stawowych, np. RZS, ZZSK, wtórne zapalenia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w chorobie zwyrodnieniowej stawów,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zespoły bólowe kręgosłupa, nerwoból nerwu kulszowego, wysunięcia krążka międzykręgowego,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zapalenia okołostawowe ścięgien, torebek stawowych, kaletek maziowych,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świeże następstwa wypadków i innych urazów, np. skręcenie, naciągnięcie mięśni, stłuczenie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mięśni, oparzenia,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choroby chirurgiczne, np. przykurcze w stawach, obrzęki po operacjach piersi, ręki szczęki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i innych; bóle blizn, ropnie kości, przetoki, miejscowe infekcje, powierzchowne zapalenie żył,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choroby neurologiczne, np. spastyczne niedowłady połowicze i poprzeczne, rozsiane zapalenie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mózgu i rdzenia, choroba Parkinsona, miastenia, zapalenie rogów przednich rdzenia kręgowego.</w:t>
      </w:r>
    </w:p>
    <w:p>
      <w:pPr>
        <w:jc w:val="both"/>
        <w:ind w:left="360"/>
      </w:pPr>
      <w:r>
        <w:rPr>
          <w:rFonts w:ascii="Times New Roman" w:hAnsi="Times New Roman" w:cs="Times New Roman"/>
          <w:sz w:val="24"/>
          <w:sz-cs w:val="24"/>
        </w:rPr>
        <w:t xml:space="preserve">Przeciwwskazania: 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krioglobulinemia,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zimna aglutynacja lub hemoliza,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pokrzywka,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nadwrażliwość na zimno,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hemoglobinuria na zimno,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choroba Raynauda,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zespół Sudecka,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zaburzenia troficzne,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zaburzenia czucia,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nowotwory,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odmrożenia,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ciężkie choroby nerek i serca,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zaburzenia mikrokrążenia tkanek, np. miażdżyca zarostowa tętnic, cukrzyca, przewlekła</w:t>
      </w:r>
    </w:p>
    <w:p>
      <w:pPr>
        <w:jc w:val="both"/>
        <w:ind w:left="1080"/>
      </w:pPr>
      <w:r>
        <w:rPr>
          <w:rFonts w:ascii="Times New Roman" w:hAnsi="Times New Roman" w:cs="Times New Roman"/>
          <w:sz w:val="24"/>
          <w:sz-cs w:val="24"/>
        </w:rPr>
        <w:t xml:space="preserve">niewydolność żylna,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polineuropatie,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porażenia,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parastezje,</w:t>
      </w:r>
    </w:p>
    <w:p>
      <w:pPr>
        <w:jc w:val="both"/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znaczna niedokrwistość.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1905" w:h="16837"/>
      <w:pgMar w:top="1417" w:right="1417" w:bottom="1417" w:left="1417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Laptop</dc:creator>
</cp:coreProperties>
</file>

<file path=docProps/meta.xml><?xml version="1.0" encoding="utf-8"?>
<meta xmlns="http://schemas.apple.com/cocoa/2006/metadata">
  <generator>CocoaOOXMLWriter/2685.6</generator>
</meta>
</file>