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GQ06 Φύλλο εργασίας</w:t>
      </w:r>
    </w:p>
    <w:p>
      <w:pPr>
        <w:jc w:val="left"/>
      </w:pPr>
      <w:r>
        <w:rPr>
          <w:b/>
          <w:sz w:val="20"/>
        </w:rPr>
        <w:t>Θεματική χαρτογραφία και συμβολισμός · v1.0</w:t>
      </w:r>
    </w:p>
    <w:p>
      <w:r>
        <w:t>Ονοματεπώνυμο: ______________________________    Ημερομηνία: ______________</w:t>
      </w:r>
    </w:p>
    <w:p>
      <w:r>
        <w:t>Τα δεδομένα είναι συνθετικά και χρησιμοποιούνται μόνο για εκπαιδευτική άσκηση.</w:t>
      </w:r>
    </w:p>
    <w:p>
      <w:pPr>
        <w:pStyle w:val="Heading1"/>
      </w:pPr>
      <w:r>
        <w:t>1. Έλεγχος δεδομένων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cantSplit/>
        </w:trPr>
        <w:tc>
          <w:tcPr>
            <w:tcW w:type="dxa" w:w="5112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Έλεγχος</w:t>
            </w:r>
          </w:p>
        </w:tc>
        <w:tc>
          <w:tcPr>
            <w:tcW w:type="dxa" w:w="5112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Τιμή που εντόπισα</w:t>
            </w:r>
          </w:p>
        </w:tc>
      </w:tr>
      <w:tr>
        <w:trPr>
          <w:cantSplit/>
          <w:cantSplit/>
        </w:trPr>
        <w:tc>
          <w:tcPr>
            <w:tcW w:type="dxa" w:w="5112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Layer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________________________________________________</w:t>
            </w:r>
          </w:p>
        </w:tc>
      </w:tr>
      <w:tr>
        <w:trPr>
          <w:cantSplit/>
          <w:cantSplit/>
        </w:trPr>
        <w:tc>
          <w:tcPr>
            <w:tcW w:type="dxa" w:w="5112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Πλήθος εγγραφών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________________________________________________</w:t>
            </w:r>
          </w:p>
        </w:tc>
      </w:tr>
      <w:tr>
        <w:trPr>
          <w:cantSplit/>
          <w:cantSplit/>
        </w:trPr>
        <w:tc>
          <w:tcPr>
            <w:tcW w:type="dxa" w:w="5112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CRS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________________________________________________</w:t>
            </w:r>
          </w:p>
        </w:tc>
      </w:tr>
      <w:tr>
        <w:trPr>
          <w:cantSplit/>
          <w:cantSplit/>
        </w:trPr>
        <w:tc>
          <w:tcPr>
            <w:tcW w:type="dxa" w:w="5112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Κατηγορίες zone_type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________________________________________________</w:t>
            </w:r>
          </w:p>
        </w:tc>
      </w:tr>
      <w:tr>
        <w:trPr>
          <w:cantSplit/>
          <w:cantSplit/>
        </w:trPr>
        <w:tc>
          <w:tcPr>
            <w:tcW w:type="dxa" w:w="5112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Ελάχιστη / μέγιστη πυκνότητα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________________________________________________</w:t>
            </w:r>
          </w:p>
        </w:tc>
      </w:tr>
      <w:tr>
        <w:trPr>
          <w:cantSplit/>
          <w:cantSplit/>
        </w:trPr>
        <w:tc>
          <w:tcPr>
            <w:tcW w:type="dxa" w:w="5112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Κενές τιμές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________________________________________________</w:t>
            </w:r>
          </w:p>
        </w:tc>
      </w:tr>
    </w:tbl>
    <w:p>
      <w:pPr>
        <w:pStyle w:val="Heading1"/>
      </w:pPr>
      <w:r>
        <w:t>2. Τρεις αποδόσεις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cantSplit/>
        </w:trPr>
        <w:tc>
          <w:tcPr>
            <w:tcW w:type="dxa" w:w="2556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Απόδοση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Πεδίο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Μέθοδος / κλάσεις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Παρατήρηση</w:t>
            </w:r>
          </w:p>
        </w:tc>
      </w:tr>
      <w:tr>
        <w:trPr>
          <w:cantSplit/>
          <w:cantSplit/>
        </w:trP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Categorized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 xml:space="preserve"> 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 xml:space="preserve"> 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 xml:space="preserve"> </w:t>
            </w:r>
          </w:p>
        </w:tc>
      </w:tr>
      <w:tr>
        <w:trPr>
          <w:cantSplit/>
          <w:cantSplit/>
        </w:trP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Equal Interval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 xml:space="preserve"> 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 xml:space="preserve"> 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 xml:space="preserve"> </w:t>
            </w:r>
          </w:p>
        </w:tc>
      </w:tr>
      <w:tr>
        <w:trPr>
          <w:cantSplit/>
          <w:cantSplit/>
        </w:trP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Quantile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 xml:space="preserve"> 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 xml:space="preserve"> 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 xml:space="preserve"> </w:t>
            </w:r>
          </w:p>
        </w:tc>
      </w:tr>
    </w:tbl>
    <w:p>
      <w:pPr>
        <w:pStyle w:val="Heading2"/>
      </w:pPr>
      <w:r>
        <w:t>Equal Interval — όρια και πλήθη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cantSplit/>
        </w:trPr>
        <w:tc>
          <w:tcPr>
            <w:tcW w:type="dxa" w:w="2556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Κλάση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Από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Έως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Πλήθος</w:t>
            </w:r>
          </w:p>
        </w:tc>
      </w:tr>
      <w:tr>
        <w:trPr>
          <w:cantSplit/>
          <w:cantSplit/>
        </w:trP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 xml:space="preserve"> 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 xml:space="preserve"> 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 xml:space="preserve"> </w:t>
            </w:r>
          </w:p>
        </w:tc>
      </w:tr>
      <w:tr>
        <w:trPr>
          <w:cantSplit/>
          <w:cantSplit/>
        </w:trP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 xml:space="preserve"> 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 xml:space="preserve"> 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 xml:space="preserve"> </w:t>
            </w:r>
          </w:p>
        </w:tc>
      </w:tr>
      <w:tr>
        <w:trPr>
          <w:cantSplit/>
          <w:cantSplit/>
        </w:trP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 xml:space="preserve"> 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 xml:space="preserve"> 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 xml:space="preserve"> </w:t>
            </w:r>
          </w:p>
        </w:tc>
      </w:tr>
      <w:tr>
        <w:trPr>
          <w:cantSplit/>
          <w:cantSplit/>
        </w:trP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 xml:space="preserve"> 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 xml:space="preserve"> 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 xml:space="preserve"> </w:t>
            </w:r>
          </w:p>
        </w:tc>
      </w:tr>
    </w:tbl>
    <w:p>
      <w:pPr>
        <w:pStyle w:val="Heading2"/>
        <w:keepNext/>
        <w:keepNext/>
        <w:pageBreakBefore/>
      </w:pPr>
      <w:r>
        <w:t>Quantile — όρια και πλήθη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cantSplit/>
        </w:trPr>
        <w:tc>
          <w:tcPr>
            <w:tcW w:type="dxa" w:w="2556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Κλάση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Από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Έως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rFonts w:ascii="Aptos" w:hAnsi="Aptos"/>
                <w:b/>
                <w:sz w:val="18"/>
              </w:rPr>
              <w:t>Πλήθος</w:t>
            </w:r>
          </w:p>
        </w:tc>
      </w:tr>
      <w:tr>
        <w:trPr>
          <w:cantSplit/>
          <w:cantSplit/>
        </w:trP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 xml:space="preserve"> 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 xml:space="preserve"> 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 xml:space="preserve"> </w:t>
            </w:r>
          </w:p>
        </w:tc>
      </w:tr>
      <w:tr>
        <w:trPr>
          <w:cantSplit/>
          <w:cantSplit/>
        </w:trP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 xml:space="preserve"> 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 xml:space="preserve"> 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 xml:space="preserve"> </w:t>
            </w:r>
          </w:p>
        </w:tc>
      </w:tr>
      <w:tr>
        <w:trPr>
          <w:cantSplit/>
          <w:cantSplit/>
        </w:trP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 xml:space="preserve"> 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 xml:space="preserve"> 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 xml:space="preserve"> </w:t>
            </w:r>
          </w:p>
        </w:tc>
      </w:tr>
      <w:tr>
        <w:trPr>
          <w:cantSplit/>
          <w:cantSplit/>
        </w:trPr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 xml:space="preserve"> 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 xml:space="preserve"> </w:t>
            </w:r>
          </w:p>
        </w:tc>
        <w:tc>
          <w:tcPr>
            <w:tcW w:type="dxa" w:w="2556"/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 xml:space="preserve"> </w:t>
            </w:r>
          </w:p>
        </w:tc>
      </w:tr>
    </w:tbl>
    <w:p>
      <w:pPr>
        <w:pStyle w:val="Heading1"/>
      </w:pPr>
      <w:r>
        <w:t>3. Ερμηνεία</w:t>
      </w:r>
    </w:p>
    <w:p>
      <w:pPr>
        <w:spacing w:after="60"/>
      </w:pPr>
      <w:r>
        <w:t>Τι σημαίνει ο categorized συμβολισμός και τι δείχνει το υπόμνημά του;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Τι πληροφορία χάνεται όταν οι συνεχείς τιμές μετατρέπονται σε τέσσερις κλάσεις;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keepNext/>
        <w:spacing w:after="60"/>
      </w:pPr>
      <w:r>
        <w:t>Πώς αλλάζουν τα όρια και τα πλήθη μεταξύ Equal Interval και Quantile; Ποιοι είναι οι περιορισμοί της Quantile;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Η Z15 έχει μεγαλύτερο απόλυτο πληθυσμό από τη Z02, αλλά η Z02 μεγαλύτερη πυκνότητα. Εξήγησε γιατί. Γιατί τα δεδομένα δεν αποτελούν πραγματική απογραφή;</w:t>
      </w:r>
    </w:p>
    <w:p>
      <w:pPr>
        <w:spacing w:after="60"/>
      </w:pPr>
      <w:r>
        <w:t>________________________________________________________________________________</w:t>
      </w:r>
    </w:p>
    <w:p>
      <w:pPr>
        <w:spacing w:after="60"/>
      </w:pPr>
      <w:r>
        <w:t>________________________________________________________________________________</w:t>
      </w:r>
    </w:p>
    <w:p>
      <w:pPr>
        <w:pStyle w:val="Heading1"/>
      </w:pPr>
      <w:r>
        <w:t>4. Προαιρετική απόδοση και τελικός αυτοέλεγχος</w:t>
      </w:r>
    </w:p>
    <w:p>
      <w:pPr>
        <w:spacing w:after="60"/>
      </w:pPr>
      <w:r>
        <w:t>Προαιρετικά — Πεδίο: __________________  Μέθοδος: __________________  Κλάσεις: __________</w:t>
      </w:r>
    </w:p>
    <w:p>
      <w:pPr>
        <w:spacing w:after="60"/>
      </w:pPr>
      <w:r>
        <w:t>Αιτιολόγηση: _________________________________________________________________</w:t>
      </w:r>
    </w:p>
    <w:p>
      <w:pPr>
        <w:spacing w:after="60"/>
      </w:pPr>
      <w:r>
        <w:t>[ ] Αποθήκευσα το QGZ στον projects.</w:t>
      </w:r>
    </w:p>
    <w:p>
      <w:pPr>
        <w:spacing w:after="60"/>
      </w:pPr>
      <w:r>
        <w:t>[ ] Εξήγαγα τρεις εικόνες από τον καμβά.</w:t>
      </w:r>
    </w:p>
    <w:p>
      <w:pPr>
        <w:spacing w:after="60"/>
      </w:pPr>
      <w:r>
        <w:t>[ ] Έλεγξα όρια και πλήθη κλάσεων.</w:t>
      </w:r>
    </w:p>
    <w:p>
      <w:pPr>
        <w:spacing w:after="60"/>
      </w:pPr>
      <w:r>
        <w:t>[ ] Διέκρινα population από density.</w:t>
      </w:r>
    </w:p>
    <w:p>
      <w:pPr>
        <w:spacing w:after="60"/>
      </w:pPr>
      <w:r>
        <w:t>[ ] Δήλωσα ότι τα δεδομένα είναι συνθετικά.</w:t>
      </w:r>
    </w:p>
    <w:sectPr w:rsidR="00FC693F" w:rsidRPr="0006063C" w:rsidSect="00034616">
      <w:footerReference w:type="default" r:id="rId9"/>
      <w:pgSz w:w="12240" w:h="15840"/>
      <w:pgMar w:top="840" w:right="1008" w:bottom="8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GeoSkills · GQ06 · Σελίδα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