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80"/>
        <w:jc w:val="center"/>
      </w:pPr>
      <w:r>
        <w:drawing>
          <wp:inline distT="0" distB="0" distL="0" distR="0">
            <wp:extent cx="24003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00300" cy="2257425"/>
                    </a:xfrm>
                    <a:prstGeom prst="rect">
                      <a:avLst/>
                    </a:prstGeom>
                  </pic:spPr>
                </pic:pic>
              </a:graphicData>
            </a:graphic>
          </wp:inline>
        </w:drawing>
      </w:r>
    </w:p>
    <w:p>
      <w:pPr>
        <w:spacing w:after="60"/>
        <w:jc w:val="center"/>
      </w:pPr>
      <w:r>
        <w:rPr>
          <w:rFonts w:ascii="Calibri" w:cs="Calibri" w:eastAsia="Calibri" w:hAnsi="Calibri"/>
          <w:b/>
          <w:bCs/>
          <w:color w:val="0B1F3A"/>
          <w:sz w:val="26"/>
          <w:szCs w:val="26"/>
        </w:rPr>
        <w:t xml:space="preserve">CETER TECHNOLOGIES LIMITED</w:t>
      </w:r>
    </w:p>
    <w:p>
      <w:pPr>
        <w:pBdr>
          <w:bottom w:val="single" w:color="0F8A80" w:sz="18" w:space="10"/>
        </w:pBdr>
        <w:spacing w:after="300"/>
        <w:jc w:val="center"/>
      </w:pPr>
      <w:r>
        <w:rPr>
          <w:rFonts w:ascii="Calibri" w:cs="Calibri" w:eastAsia="Calibri" w:hAnsi="Calibri"/>
          <w:color w:val="0F8A80"/>
          <w:sz w:val="22"/>
          <w:szCs w:val="22"/>
        </w:rPr>
        <w:t xml:space="preserve">Office Printing Equipment  ·  Consumables  ·  Spare Parts  ·  Managed Print Services</w:t>
      </w:r>
    </w:p>
    <w:p>
      <w:pPr>
        <w:spacing w:after="120" w:before="400"/>
        <w:jc w:val="center"/>
      </w:pPr>
      <w:r>
        <w:rPr>
          <w:rFonts w:ascii="Calibri" w:cs="Calibri" w:eastAsia="Calibri" w:hAnsi="Calibri"/>
          <w:b/>
          <w:bCs/>
          <w:color w:val="1A1A1A"/>
          <w:sz w:val="40"/>
          <w:szCs w:val="40"/>
        </w:rPr>
        <w:t xml:space="preserve">COMPANY PROFILE</w:t>
      </w:r>
    </w:p>
    <w:p>
      <w:pPr>
        <w:spacing w:after="1200"/>
        <w:jc w:val="center"/>
      </w:pPr>
      <w:r>
        <w:rPr>
          <w:rFonts w:ascii="Calibri" w:cs="Calibri" w:eastAsia="Calibri" w:hAnsi="Calibri"/>
          <w:color w:val="5A6472"/>
          <w:sz w:val="22"/>
          <w:szCs w:val="22"/>
        </w:rPr>
        <w:t xml:space="preserve">Corporate &amp; Tender Capability Statement  ·  2026</w:t>
      </w:r>
    </w:p>
    <w:tbl>
      <w:tblPr>
        <w:tblW w:type="dxa" w:w="9746"/>
        <w:tblBorders>
          <w:top w:val="single" w:color="C9D3DD" w:sz="4"/>
          <w:left w:val="single" w:color="C9D3DD" w:sz="4"/>
          <w:bottom w:val="single" w:color="C9D3DD" w:sz="4"/>
          <w:right w:val="single" w:color="C9D3DD" w:sz="4"/>
          <w:insideH w:val="single" w:color="C9D3DD" w:sz="4"/>
          <w:insideV w:val="single" w:color="C9D3DD" w:sz="4"/>
        </w:tblBorders>
      </w:tblPr>
      <w:tblGrid>
        <w:gridCol w:w="2400"/>
        <w:gridCol w:w="7346"/>
      </w:tblGrid>
      <w:tr>
        <w:trPr>
          <w:tblHeader w:val="false"/>
        </w:trPr>
        <w:tc>
          <w:tcPr>
            <w:tcW w:type="dxa" w:w="24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Registered Office</w:t>
            </w:r>
          </w:p>
        </w:tc>
        <w:tc>
          <w:tcPr>
            <w:tcW w:type="dxa" w:w="73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Nairobi, Kenya</w:t>
            </w:r>
          </w:p>
        </w:tc>
      </w:tr>
      <w:tr>
        <w:trPr>
          <w:tblHeader w:val="false"/>
        </w:trPr>
        <w:tc>
          <w:tcPr>
            <w:tcW w:type="dxa" w:w="24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Telephone / WhatsApp</w:t>
            </w:r>
          </w:p>
        </w:tc>
        <w:tc>
          <w:tcPr>
            <w:tcW w:type="dxa" w:w="73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+254 707 143 322</w:t>
            </w:r>
          </w:p>
        </w:tc>
      </w:tr>
      <w:tr>
        <w:trPr>
          <w:tblHeader w:val="false"/>
        </w:trPr>
        <w:tc>
          <w:tcPr>
            <w:tcW w:type="dxa" w:w="24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Email</w:t>
            </w:r>
          </w:p>
        </w:tc>
        <w:tc>
          <w:tcPr>
            <w:tcW w:type="dxa" w:w="73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info@cetertechnologies.com</w:t>
            </w:r>
          </w:p>
        </w:tc>
      </w:tr>
      <w:tr>
        <w:trPr>
          <w:tblHeader w:val="false"/>
        </w:trPr>
        <w:tc>
          <w:tcPr>
            <w:tcW w:type="dxa" w:w="24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Website</w:t>
            </w:r>
          </w:p>
        </w:tc>
        <w:tc>
          <w:tcPr>
            <w:tcW w:type="dxa" w:w="73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www.cetertechnologies.com</w:t>
            </w:r>
          </w:p>
        </w:tc>
      </w:tr>
      <w:tr>
        <w:trPr>
          <w:tblHeader w:val="false"/>
        </w:trPr>
        <w:tc>
          <w:tcPr>
            <w:tcW w:type="dxa" w:w="24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Social</w:t>
            </w:r>
          </w:p>
        </w:tc>
        <w:tc>
          <w:tcPr>
            <w:tcW w:type="dxa" w:w="73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@cetertechnologies (Facebook · Instagram · X · TikTok)</w:t>
            </w:r>
          </w:p>
        </w:tc>
      </w:tr>
    </w:tbl>
    <w:p>
      <w:pPr>
        <w:spacing w:before="900"/>
        <w:jc w:val="center"/>
      </w:pPr>
      <w:r>
        <w:rPr>
          <w:rFonts w:ascii="Calibri" w:cs="Calibri" w:eastAsia="Calibri" w:hAnsi="Calibri"/>
          <w:i/>
          <w:iCs/>
          <w:color w:val="5A6472"/>
          <w:sz w:val="18"/>
          <w:szCs w:val="18"/>
        </w:rPr>
        <w:t xml:space="preserve">Prepared for submission to procuring entities in the Republic of Kenya</w:t>
      </w:r>
    </w:p>
    <w:p>
      <w:r>
        <w:br w:type="page"/>
      </w:r>
    </w:p>
    <w:p>
      <w:pPr>
        <w:pStyle w:val="Heading1"/>
        <w:pBdr>
          <w:bottom w:val="single" w:color="0F8A80" w:sz="12" w:space="6"/>
        </w:pBdr>
        <w:spacing w:after="160" w:before="320"/>
      </w:pPr>
      <w:r>
        <w:rPr>
          <w:rFonts w:ascii="Calibri" w:cs="Calibri" w:eastAsia="Calibri" w:hAnsi="Calibri"/>
          <w:b/>
          <w:bCs/>
          <w:color w:val="0B1F3A"/>
          <w:sz w:val="28"/>
          <w:szCs w:val="28"/>
        </w:rPr>
        <w:t xml:space="preserve">1.  Company Particulars</w:t>
      </w:r>
    </w:p>
    <w:p>
      <w:pPr>
        <w:spacing w:after="120" w:line="276"/>
      </w:pPr>
      <w:r>
        <w:rPr>
          <w:rFonts w:ascii="Calibri" w:cs="Calibri" w:eastAsia="Calibri" w:hAnsi="Calibri"/>
          <w:color w:val="1A1A1A"/>
          <w:sz w:val="21"/>
          <w:szCs w:val="21"/>
        </w:rPr>
        <w:t xml:space="preserve">The following particulars are provided for supplier registration, prequalification and tender evaluation purposes. Supporting documents are attached in the order listed in Section 15.</w:t>
      </w:r>
    </w:p>
    <w:p>
      <w:pPr>
        <w:spacing w:after="120"/>
      </w:pPr>
    </w:p>
    <w:tbl>
      <w:tblPr>
        <w:tblW w:type="dxa" w:w="9746"/>
        <w:tblBorders>
          <w:top w:val="single" w:color="C9D3DD" w:sz="4"/>
          <w:left w:val="single" w:color="C9D3DD" w:sz="4"/>
          <w:bottom w:val="single" w:color="C9D3DD" w:sz="4"/>
          <w:right w:val="single" w:color="C9D3DD" w:sz="4"/>
          <w:insideH w:val="single" w:color="C9D3DD" w:sz="4"/>
          <w:insideV w:val="single" w:color="C9D3DD" w:sz="4"/>
        </w:tblBorders>
      </w:tblPr>
      <w:tblGrid>
        <w:gridCol w:w="3200"/>
        <w:gridCol w:w="6546"/>
      </w:tblGrid>
      <w:tr>
        <w:trPr>
          <w:tblHeader/>
        </w:trPr>
        <w:tc>
          <w:tcPr>
            <w:tcW w:type="dxa" w:w="3200"/>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Item</w:t>
            </w:r>
          </w:p>
        </w:tc>
        <w:tc>
          <w:tcPr>
            <w:tcW w:type="dxa" w:w="6546"/>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Details</w:t>
            </w:r>
          </w:p>
        </w:tc>
      </w:tr>
      <w:tr>
        <w:trPr>
          <w:tblHeader w:val="false"/>
        </w:trPr>
        <w:tc>
          <w:tcPr>
            <w:tcW w:type="dxa" w:w="32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Registered legal name</w:t>
            </w:r>
          </w:p>
        </w:tc>
        <w:tc>
          <w:tcPr>
            <w:tcW w:type="dxa" w:w="65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Ceter Technologies Limited</w:t>
            </w:r>
          </w:p>
        </w:tc>
      </w:tr>
      <w:tr>
        <w:trPr>
          <w:tblHeader w:val="false"/>
        </w:trPr>
        <w:tc>
          <w:tcPr>
            <w:tcW w:type="dxa" w:w="32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Trading name</w:t>
            </w:r>
          </w:p>
        </w:tc>
        <w:tc>
          <w:tcPr>
            <w:tcW w:type="dxa" w:w="65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Ceter Technologies</w:t>
            </w:r>
          </w:p>
        </w:tc>
      </w:tr>
      <w:tr>
        <w:trPr>
          <w:tblHeader w:val="false"/>
        </w:trPr>
        <w:tc>
          <w:tcPr>
            <w:tcW w:type="dxa" w:w="32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Legal status</w:t>
            </w:r>
          </w:p>
        </w:tc>
        <w:tc>
          <w:tcPr>
            <w:tcW w:type="dxa" w:w="65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Private company limited by shares, registered in Kenya under the Companies Act, 2015</w:t>
            </w:r>
          </w:p>
        </w:tc>
      </w:tr>
      <w:tr>
        <w:trPr>
          <w:tblHeader w:val="false"/>
        </w:trPr>
        <w:tc>
          <w:tcPr>
            <w:tcW w:type="dxa" w:w="32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Certificate of Incorporation No.</w:t>
            </w:r>
          </w:p>
        </w:tc>
        <w:tc>
          <w:tcPr>
            <w:tcW w:type="dxa" w:w="65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to be completed  ]</w:t>
            </w:r>
          </w:p>
        </w:tc>
      </w:tr>
      <w:tr>
        <w:trPr>
          <w:tblHeader w:val="false"/>
        </w:trPr>
        <w:tc>
          <w:tcPr>
            <w:tcW w:type="dxa" w:w="32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Date of incorporation</w:t>
            </w:r>
          </w:p>
        </w:tc>
        <w:tc>
          <w:tcPr>
            <w:tcW w:type="dxa" w:w="65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to be completed  ]</w:t>
            </w:r>
          </w:p>
        </w:tc>
      </w:tr>
      <w:tr>
        <w:trPr>
          <w:tblHeader w:val="false"/>
        </w:trPr>
        <w:tc>
          <w:tcPr>
            <w:tcW w:type="dxa" w:w="32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KRA PIN</w:t>
            </w:r>
          </w:p>
        </w:tc>
        <w:tc>
          <w:tcPr>
            <w:tcW w:type="dxa" w:w="65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to be completed  ]</w:t>
            </w:r>
          </w:p>
        </w:tc>
      </w:tr>
      <w:tr>
        <w:trPr>
          <w:tblHeader w:val="false"/>
        </w:trPr>
        <w:tc>
          <w:tcPr>
            <w:tcW w:type="dxa" w:w="32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VAT registration number</w:t>
            </w:r>
          </w:p>
        </w:tc>
        <w:tc>
          <w:tcPr>
            <w:tcW w:type="dxa" w:w="65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to be completed  ]</w:t>
            </w:r>
          </w:p>
        </w:tc>
      </w:tr>
      <w:tr>
        <w:trPr>
          <w:tblHeader w:val="false"/>
        </w:trPr>
        <w:tc>
          <w:tcPr>
            <w:tcW w:type="dxa" w:w="32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Tax Compliance Certificate No. / expiry</w:t>
            </w:r>
          </w:p>
        </w:tc>
        <w:tc>
          <w:tcPr>
            <w:tcW w:type="dxa" w:w="65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to be completed  ]</w:t>
            </w:r>
          </w:p>
        </w:tc>
      </w:tr>
      <w:tr>
        <w:trPr>
          <w:tblHeader w:val="false"/>
        </w:trPr>
        <w:tc>
          <w:tcPr>
            <w:tcW w:type="dxa" w:w="32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Single Business Permit No.</w:t>
            </w:r>
          </w:p>
        </w:tc>
        <w:tc>
          <w:tcPr>
            <w:tcW w:type="dxa" w:w="65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to be completed  ]</w:t>
            </w:r>
          </w:p>
        </w:tc>
      </w:tr>
      <w:tr>
        <w:trPr>
          <w:tblHeader w:val="false"/>
        </w:trPr>
        <w:tc>
          <w:tcPr>
            <w:tcW w:type="dxa" w:w="32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Physical address</w:t>
            </w:r>
          </w:p>
        </w:tc>
        <w:tc>
          <w:tcPr>
            <w:tcW w:type="dxa" w:w="65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to be completed  ]  (building, floor, street, area)</w:t>
            </w:r>
          </w:p>
        </w:tc>
      </w:tr>
      <w:tr>
        <w:trPr>
          <w:tblHeader w:val="false"/>
        </w:trPr>
        <w:tc>
          <w:tcPr>
            <w:tcW w:type="dxa" w:w="32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Postal address</w:t>
            </w:r>
          </w:p>
        </w:tc>
        <w:tc>
          <w:tcPr>
            <w:tcW w:type="dxa" w:w="65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to be completed  ]</w:t>
            </w:r>
          </w:p>
        </w:tc>
      </w:tr>
      <w:tr>
        <w:trPr>
          <w:tblHeader w:val="false"/>
        </w:trPr>
        <w:tc>
          <w:tcPr>
            <w:tcW w:type="dxa" w:w="32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County of operation</w:t>
            </w:r>
          </w:p>
        </w:tc>
        <w:tc>
          <w:tcPr>
            <w:tcW w:type="dxa" w:w="65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Nairobi County (nationwide supply and service coverage)</w:t>
            </w:r>
          </w:p>
        </w:tc>
      </w:tr>
      <w:tr>
        <w:trPr>
          <w:tblHeader w:val="false"/>
        </w:trPr>
        <w:tc>
          <w:tcPr>
            <w:tcW w:type="dxa" w:w="32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Nature of business</w:t>
            </w:r>
          </w:p>
        </w:tc>
        <w:tc>
          <w:tcPr>
            <w:tcW w:type="dxa" w:w="65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Supply, installation, maintenance and support of office printing and imaging equipment, consumables and spare parts</w:t>
            </w:r>
          </w:p>
        </w:tc>
      </w:tr>
      <w:tr>
        <w:trPr>
          <w:tblHeader w:val="false"/>
        </w:trPr>
        <w:tc>
          <w:tcPr>
            <w:tcW w:type="dxa" w:w="32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Ownership category (AGPO)</w:t>
            </w:r>
          </w:p>
        </w:tc>
        <w:tc>
          <w:tcPr>
            <w:tcW w:type="dxa" w:w="65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to be completed  ]  (Youth / Women / PWD — state AGPO certificate number if registered)</w:t>
            </w:r>
          </w:p>
        </w:tc>
      </w:tr>
      <w:tr>
        <w:trPr>
          <w:tblHeader w:val="false"/>
        </w:trPr>
        <w:tc>
          <w:tcPr>
            <w:tcW w:type="dxa" w:w="32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Number of employees</w:t>
            </w:r>
          </w:p>
        </w:tc>
        <w:tc>
          <w:tcPr>
            <w:tcW w:type="dxa" w:w="65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to be completed  ]</w:t>
            </w:r>
          </w:p>
        </w:tc>
      </w:tr>
      <w:tr>
        <w:trPr>
          <w:tblHeader w:val="false"/>
        </w:trPr>
        <w:tc>
          <w:tcPr>
            <w:tcW w:type="dxa" w:w="32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Bank</w:t>
            </w:r>
          </w:p>
        </w:tc>
        <w:tc>
          <w:tcPr>
            <w:tcW w:type="dxa" w:w="65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to be completed  ]</w:t>
            </w:r>
          </w:p>
        </w:tc>
      </w:tr>
      <w:tr>
        <w:trPr>
          <w:tblHeader w:val="false"/>
        </w:trPr>
        <w:tc>
          <w:tcPr>
            <w:tcW w:type="dxa" w:w="32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Principal contact for this tender</w:t>
            </w:r>
          </w:p>
        </w:tc>
        <w:tc>
          <w:tcPr>
            <w:tcW w:type="dxa" w:w="65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to be completed  ]  (name, position)</w:t>
            </w:r>
          </w:p>
        </w:tc>
      </w:tr>
      <w:tr>
        <w:trPr>
          <w:tblHeader w:val="false"/>
        </w:trPr>
        <w:tc>
          <w:tcPr>
            <w:tcW w:type="dxa" w:w="32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Contact telephone / email</w:t>
            </w:r>
          </w:p>
        </w:tc>
        <w:tc>
          <w:tcPr>
            <w:tcW w:type="dxa" w:w="65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+254 707 143 322  ·  info@cetertechnologies.com</w:t>
            </w:r>
          </w:p>
        </w:tc>
      </w:tr>
    </w:tbl>
    <w:p>
      <w:pPr>
        <w:spacing w:after="120"/>
      </w:pPr>
    </w:p>
    <w:p>
      <w:pPr>
        <w:spacing w:after="120" w:line="276"/>
      </w:pPr>
      <w:r>
        <w:rPr>
          <w:rFonts w:ascii="Calibri" w:cs="Calibri" w:eastAsia="Calibri" w:hAnsi="Calibri"/>
          <w:i/>
          <w:iCs/>
          <w:color w:val="5A6472"/>
          <w:sz w:val="18"/>
          <w:szCs w:val="18"/>
        </w:rPr>
        <w:t xml:space="preserve">Note: entries marked "to be completed" must be filled with the company's actual registration and statutory data, and must match the certified copies attached to the tender document.</w:t>
      </w:r>
    </w:p>
    <w:p>
      <w:pPr>
        <w:pStyle w:val="Heading1"/>
        <w:pBdr>
          <w:bottom w:val="single" w:color="0F8A80" w:sz="12" w:space="6"/>
        </w:pBdr>
        <w:spacing w:after="160" w:before="320"/>
      </w:pPr>
      <w:r>
        <w:rPr>
          <w:rFonts w:ascii="Calibri" w:cs="Calibri" w:eastAsia="Calibri" w:hAnsi="Calibri"/>
          <w:b/>
          <w:bCs/>
          <w:color w:val="0B1F3A"/>
          <w:sz w:val="28"/>
          <w:szCs w:val="28"/>
        </w:rPr>
        <w:t xml:space="preserve">2.  Executive Summary</w:t>
      </w:r>
    </w:p>
    <w:p>
      <w:pPr>
        <w:spacing w:after="120" w:line="276"/>
      </w:pPr>
      <w:r>
        <w:rPr>
          <w:rFonts w:ascii="Calibri" w:cs="Calibri" w:eastAsia="Calibri" w:hAnsi="Calibri"/>
          <w:color w:val="1A1A1A"/>
          <w:sz w:val="21"/>
          <w:szCs w:val="21"/>
        </w:rPr>
        <w:t xml:space="preserve">Ceter Technologies Limited is a Nairobi-based supplier of office printing and imaging equipment, consumables, spare parts and related technical services. We serve government ministries, county governments, state corporations, learning institutions, hospitals, NGOs and private enterprises that depend on reliable document workflows to deliver their day-to-day mandate.</w:t>
      </w:r>
    </w:p>
    <w:p>
      <w:pPr>
        <w:spacing w:after="120" w:line="276"/>
      </w:pPr>
      <w:r>
        <w:rPr>
          <w:rFonts w:ascii="Calibri" w:cs="Calibri" w:eastAsia="Calibri" w:hAnsi="Calibri"/>
          <w:color w:val="1A1A1A"/>
          <w:sz w:val="21"/>
          <w:szCs w:val="21"/>
        </w:rPr>
        <w:t xml:space="preserve">Our portfolio covers photocopiers and multifunction devices, laser and inkjet printers, copy printers and duplicators, toners and inks, printer spare parts, barcode and label printers, and ID card printing systems from established manufacturers including Kyocera, HP, Canon, Epson, Ricoh, Xerox, Brother, Konica Minolta, Zebra and Evolis. Equipment is sourced through direct manufacturer and authorised-distributor channels, which allows us to guarantee genuine products, traceable serial numbers and valid manufacturer warranty.</w:t>
      </w:r>
    </w:p>
    <w:p>
      <w:pPr>
        <w:spacing w:after="120" w:line="276"/>
      </w:pPr>
      <w:r>
        <w:rPr>
          <w:rFonts w:ascii="Calibri" w:cs="Calibri" w:eastAsia="Calibri" w:hAnsi="Calibri"/>
          <w:color w:val="1A1A1A"/>
          <w:sz w:val="21"/>
          <w:szCs w:val="21"/>
        </w:rPr>
        <w:t xml:space="preserve">Beyond supply, Ceter Technologies is a service organisation. We install and commission equipment, carry out scheduled preventive maintenance, respond to breakdowns within agreed service levels, replenish consumables on contract, and run full Managed Print Services where the client pays a predictable cost per page instead of managing devices, parts and toner separately.</w:t>
      </w:r>
    </w:p>
    <w:p>
      <w:pPr>
        <w:spacing w:after="120" w:line="276"/>
      </w:pPr>
      <w:r>
        <w:rPr>
          <w:rFonts w:ascii="Calibri" w:cs="Calibri" w:eastAsia="Calibri" w:hAnsi="Calibri"/>
          <w:color w:val="1A1A1A"/>
          <w:sz w:val="21"/>
          <w:szCs w:val="21"/>
        </w:rPr>
        <w:t xml:space="preserve">We have also invested in a purpose-built digital procurement platform (cetertechnologies.com) that gives our clients a live product catalogue with transparent pricing in Kenya Shillings, real-time stock visibility, online quotation requests, order tracking and consumption records. For a procuring entity, this means faster quotations, auditable order histories and fewer stock-out surprises during the financial year.</w:t>
      </w:r>
    </w:p>
    <w:p>
      <w:pPr>
        <w:spacing w:after="120" w:line="276"/>
      </w:pPr>
      <w:r>
        <w:rPr>
          <w:rFonts w:ascii="Calibri" w:cs="Calibri" w:eastAsia="Calibri" w:hAnsi="Calibri"/>
          <w:color w:val="1A1A1A"/>
          <w:sz w:val="21"/>
          <w:szCs w:val="21"/>
        </w:rPr>
        <w:t xml:space="preserve">Our commitment to every procuring entity we serve is straightforward: genuine equipment, honest pricing, documented delivery, and a technician who answers the phone when the machine stops.</w:t>
      </w:r>
    </w:p>
    <w:p>
      <w:pPr>
        <w:pStyle w:val="Heading1"/>
        <w:pBdr>
          <w:bottom w:val="single" w:color="0F8A80" w:sz="12" w:space="6"/>
        </w:pBdr>
        <w:spacing w:after="160" w:before="320"/>
      </w:pPr>
      <w:r>
        <w:rPr>
          <w:rFonts w:ascii="Calibri" w:cs="Calibri" w:eastAsia="Calibri" w:hAnsi="Calibri"/>
          <w:b/>
          <w:bCs/>
          <w:color w:val="0B1F3A"/>
          <w:sz w:val="28"/>
          <w:szCs w:val="28"/>
        </w:rPr>
        <w:t xml:space="preserve">3.  Vision, Mission and Core Values</w:t>
      </w:r>
    </w:p>
    <w:p>
      <w:pPr>
        <w:pStyle w:val="Heading2"/>
        <w:spacing w:after="100" w:before="220"/>
      </w:pPr>
      <w:r>
        <w:rPr>
          <w:rFonts w:ascii="Calibri" w:cs="Calibri" w:eastAsia="Calibri" w:hAnsi="Calibri"/>
          <w:b/>
          <w:bCs/>
          <w:color w:val="0F8A80"/>
          <w:sz w:val="23"/>
          <w:szCs w:val="23"/>
        </w:rPr>
        <w:t xml:space="preserve">Vision</w:t>
      </w:r>
    </w:p>
    <w:p>
      <w:pPr>
        <w:spacing w:after="120" w:line="276"/>
      </w:pPr>
      <w:r>
        <w:rPr>
          <w:rFonts w:ascii="Calibri" w:cs="Calibri" w:eastAsia="Calibri" w:hAnsi="Calibri"/>
          <w:color w:val="1A1A1A"/>
          <w:sz w:val="21"/>
          <w:szCs w:val="21"/>
        </w:rPr>
        <w:t xml:space="preserve">To be the most dependable partner for office printing and document technology in Kenya and the wider East African region.</w:t>
      </w:r>
    </w:p>
    <w:p>
      <w:pPr>
        <w:pStyle w:val="Heading2"/>
        <w:spacing w:after="100" w:before="220"/>
      </w:pPr>
      <w:r>
        <w:rPr>
          <w:rFonts w:ascii="Calibri" w:cs="Calibri" w:eastAsia="Calibri" w:hAnsi="Calibri"/>
          <w:b/>
          <w:bCs/>
          <w:color w:val="0F8A80"/>
          <w:sz w:val="23"/>
          <w:szCs w:val="23"/>
        </w:rPr>
        <w:t xml:space="preserve">Mission</w:t>
      </w:r>
    </w:p>
    <w:p>
      <w:pPr>
        <w:spacing w:after="120" w:line="276"/>
      </w:pPr>
      <w:r>
        <w:rPr>
          <w:rFonts w:ascii="Calibri" w:cs="Calibri" w:eastAsia="Calibri" w:hAnsi="Calibri"/>
          <w:color w:val="1A1A1A"/>
          <w:sz w:val="21"/>
          <w:szCs w:val="21"/>
        </w:rPr>
        <w:t xml:space="preserve">To supply genuine, well-priced printing and imaging equipment, and to keep it running through responsive technical service, so that our clients never lose a working day to a document problem.</w:t>
      </w:r>
    </w:p>
    <w:p>
      <w:pPr>
        <w:pStyle w:val="Heading2"/>
        <w:spacing w:after="100" w:before="220"/>
      </w:pPr>
      <w:r>
        <w:rPr>
          <w:rFonts w:ascii="Calibri" w:cs="Calibri" w:eastAsia="Calibri" w:hAnsi="Calibri"/>
          <w:b/>
          <w:bCs/>
          <w:color w:val="0F8A80"/>
          <w:sz w:val="23"/>
          <w:szCs w:val="23"/>
        </w:rPr>
        <w:t xml:space="preserve">Core Values</w:t>
      </w:r>
    </w:p>
    <w:p>
      <w:pPr>
        <w:pStyle w:val="ListParagraph"/>
        <w:numPr>
          <w:ilvl w:val="0"/>
          <w:numId w:val="2"/>
        </w:numPr>
        <w:spacing w:after="70" w:line="276"/>
      </w:pPr>
      <w:r>
        <w:rPr>
          <w:rFonts w:ascii="Calibri" w:cs="Calibri" w:eastAsia="Calibri" w:hAnsi="Calibri"/>
          <w:b/>
          <w:bCs/>
          <w:color w:val="0B1F3A"/>
          <w:sz w:val="21"/>
          <w:szCs w:val="21"/>
        </w:rPr>
        <w:t xml:space="preserve">Integrity — </w:t>
      </w:r>
      <w:r>
        <w:rPr>
          <w:rFonts w:ascii="Calibri" w:cs="Calibri" w:eastAsia="Calibri" w:hAnsi="Calibri"/>
          <w:color w:val="1A1A1A"/>
          <w:sz w:val="21"/>
          <w:szCs w:val="21"/>
        </w:rPr>
        <w:t xml:space="preserve">we quote honestly, we supply what we quoted, and we do not deal in counterfeit or refurbished-as-new products.</w:t>
      </w:r>
    </w:p>
    <w:p>
      <w:pPr>
        <w:pStyle w:val="ListParagraph"/>
        <w:numPr>
          <w:ilvl w:val="0"/>
          <w:numId w:val="2"/>
        </w:numPr>
        <w:spacing w:after="70" w:line="276"/>
      </w:pPr>
      <w:r>
        <w:rPr>
          <w:rFonts w:ascii="Calibri" w:cs="Calibri" w:eastAsia="Calibri" w:hAnsi="Calibri"/>
          <w:b/>
          <w:bCs/>
          <w:color w:val="0B1F3A"/>
          <w:sz w:val="21"/>
          <w:szCs w:val="21"/>
        </w:rPr>
        <w:t xml:space="preserve">Responsiveness — </w:t>
      </w:r>
      <w:r>
        <w:rPr>
          <w:rFonts w:ascii="Calibri" w:cs="Calibri" w:eastAsia="Calibri" w:hAnsi="Calibri"/>
          <w:color w:val="1A1A1A"/>
          <w:sz w:val="21"/>
          <w:szCs w:val="21"/>
        </w:rPr>
        <w:t xml:space="preserve">a client with a machine down is a client losing money; our service commitments are measured in hours, not days.</w:t>
      </w:r>
    </w:p>
    <w:p>
      <w:pPr>
        <w:pStyle w:val="ListParagraph"/>
        <w:numPr>
          <w:ilvl w:val="0"/>
          <w:numId w:val="2"/>
        </w:numPr>
        <w:spacing w:after="70" w:line="276"/>
      </w:pPr>
      <w:r>
        <w:rPr>
          <w:rFonts w:ascii="Calibri" w:cs="Calibri" w:eastAsia="Calibri" w:hAnsi="Calibri"/>
          <w:b/>
          <w:bCs/>
          <w:color w:val="0B1F3A"/>
          <w:sz w:val="21"/>
          <w:szCs w:val="21"/>
        </w:rPr>
        <w:t xml:space="preserve">Genuine quality — </w:t>
      </w:r>
      <w:r>
        <w:rPr>
          <w:rFonts w:ascii="Calibri" w:cs="Calibri" w:eastAsia="Calibri" w:hAnsi="Calibri"/>
          <w:color w:val="1A1A1A"/>
          <w:sz w:val="21"/>
          <w:szCs w:val="21"/>
        </w:rPr>
        <w:t xml:space="preserve">original equipment and original consumables only, with warranty documentation to match.</w:t>
      </w:r>
    </w:p>
    <w:p>
      <w:pPr>
        <w:pStyle w:val="ListParagraph"/>
        <w:numPr>
          <w:ilvl w:val="0"/>
          <w:numId w:val="2"/>
        </w:numPr>
        <w:spacing w:after="70" w:line="276"/>
      </w:pPr>
      <w:r>
        <w:rPr>
          <w:rFonts w:ascii="Calibri" w:cs="Calibri" w:eastAsia="Calibri" w:hAnsi="Calibri"/>
          <w:b/>
          <w:bCs/>
          <w:color w:val="0B1F3A"/>
          <w:sz w:val="21"/>
          <w:szCs w:val="21"/>
        </w:rPr>
        <w:t xml:space="preserve">Transparency — </w:t>
      </w:r>
      <w:r>
        <w:rPr>
          <w:rFonts w:ascii="Calibri" w:cs="Calibri" w:eastAsia="Calibri" w:hAnsi="Calibri"/>
          <w:color w:val="1A1A1A"/>
          <w:sz w:val="21"/>
          <w:szCs w:val="21"/>
        </w:rPr>
        <w:t xml:space="preserve">published pricing, itemised quotations, documented deliveries and clear service records.</w:t>
      </w:r>
    </w:p>
    <w:p>
      <w:pPr>
        <w:pStyle w:val="ListParagraph"/>
        <w:numPr>
          <w:ilvl w:val="0"/>
          <w:numId w:val="2"/>
        </w:numPr>
        <w:spacing w:after="70" w:line="276"/>
      </w:pPr>
      <w:r>
        <w:rPr>
          <w:rFonts w:ascii="Calibri" w:cs="Calibri" w:eastAsia="Calibri" w:hAnsi="Calibri"/>
          <w:b/>
          <w:bCs/>
          <w:color w:val="0B1F3A"/>
          <w:sz w:val="21"/>
          <w:szCs w:val="21"/>
        </w:rPr>
        <w:t xml:space="preserve">Partnership — </w:t>
      </w:r>
      <w:r>
        <w:rPr>
          <w:rFonts w:ascii="Calibri" w:cs="Calibri" w:eastAsia="Calibri" w:hAnsi="Calibri"/>
          <w:color w:val="1A1A1A"/>
          <w:sz w:val="21"/>
          <w:szCs w:val="21"/>
        </w:rPr>
        <w:t xml:space="preserve">we plan consumable budgets and device fleets with our clients, rather than simply selling to them.</w:t>
      </w:r>
    </w:p>
    <w:p>
      <w:pPr>
        <w:pStyle w:val="ListParagraph"/>
        <w:numPr>
          <w:ilvl w:val="0"/>
          <w:numId w:val="2"/>
        </w:numPr>
        <w:spacing w:after="70" w:line="276"/>
      </w:pPr>
      <w:r>
        <w:rPr>
          <w:rFonts w:ascii="Calibri" w:cs="Calibri" w:eastAsia="Calibri" w:hAnsi="Calibri"/>
          <w:b/>
          <w:bCs/>
          <w:color w:val="0B1F3A"/>
          <w:sz w:val="21"/>
          <w:szCs w:val="21"/>
        </w:rPr>
        <w:t xml:space="preserve">Accountability — </w:t>
      </w:r>
      <w:r>
        <w:rPr>
          <w:rFonts w:ascii="Calibri" w:cs="Calibri" w:eastAsia="Calibri" w:hAnsi="Calibri"/>
          <w:color w:val="1A1A1A"/>
          <w:sz w:val="21"/>
          <w:szCs w:val="21"/>
        </w:rPr>
        <w:t xml:space="preserve">every order, service call and warranty claim is logged, traceable and auditable.</w:t>
      </w:r>
    </w:p>
    <w:p>
      <w:pPr>
        <w:pStyle w:val="Heading1"/>
        <w:pBdr>
          <w:bottom w:val="single" w:color="0F8A80" w:sz="12" w:space="6"/>
        </w:pBdr>
        <w:spacing w:after="160" w:before="320"/>
      </w:pPr>
      <w:r>
        <w:rPr>
          <w:rFonts w:ascii="Calibri" w:cs="Calibri" w:eastAsia="Calibri" w:hAnsi="Calibri"/>
          <w:b/>
          <w:bCs/>
          <w:color w:val="0B1F3A"/>
          <w:sz w:val="28"/>
          <w:szCs w:val="28"/>
        </w:rPr>
        <w:t xml:space="preserve">4.  Product Portfolio</w:t>
      </w:r>
    </w:p>
    <w:p>
      <w:pPr>
        <w:spacing w:after="120" w:line="276"/>
      </w:pPr>
      <w:r>
        <w:rPr>
          <w:rFonts w:ascii="Calibri" w:cs="Calibri" w:eastAsia="Calibri" w:hAnsi="Calibri"/>
          <w:color w:val="1A1A1A"/>
          <w:sz w:val="21"/>
          <w:szCs w:val="21"/>
        </w:rPr>
        <w:t xml:space="preserve">Ceter Technologies supplies the full range of office document equipment and its supporting consumables and parts. All items are supplied new and original unless a tender expressly specifies otherwise.</w:t>
      </w:r>
    </w:p>
    <w:p>
      <w:pPr>
        <w:spacing w:after="120"/>
      </w:pPr>
    </w:p>
    <w:tbl>
      <w:tblPr>
        <w:tblW w:type="dxa" w:w="9746"/>
        <w:tblBorders>
          <w:top w:val="single" w:color="C9D3DD" w:sz="4"/>
          <w:left w:val="single" w:color="C9D3DD" w:sz="4"/>
          <w:bottom w:val="single" w:color="C9D3DD" w:sz="4"/>
          <w:right w:val="single" w:color="C9D3DD" w:sz="4"/>
          <w:insideH w:val="single" w:color="C9D3DD" w:sz="4"/>
          <w:insideV w:val="single" w:color="C9D3DD" w:sz="4"/>
        </w:tblBorders>
      </w:tblPr>
      <w:tblGrid>
        <w:gridCol w:w="2600"/>
        <w:gridCol w:w="7146"/>
      </w:tblGrid>
      <w:tr>
        <w:trPr>
          <w:tblHeader/>
        </w:trPr>
        <w:tc>
          <w:tcPr>
            <w:tcW w:type="dxa" w:w="2600"/>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Category</w:t>
            </w:r>
          </w:p>
        </w:tc>
        <w:tc>
          <w:tcPr>
            <w:tcW w:type="dxa" w:w="7146"/>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What we supply</w:t>
            </w:r>
          </w:p>
        </w:tc>
      </w:tr>
      <w:tr>
        <w:trPr>
          <w:tblHeader w:val="false"/>
        </w:trPr>
        <w:tc>
          <w:tcPr>
            <w:tcW w:type="dxa" w:w="26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Photocopiers &amp; multifunction devices (MFPs)</w:t>
            </w:r>
          </w:p>
        </w:tc>
        <w:tc>
          <w:tcPr>
            <w:tcW w:type="dxa" w:w="71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Desktop and floor-standing mono and colour copiers with print, scan, copy and fax functions; network and mobile printing; duplex and finishing options; A4 and A3 formats for departmental and high-volume registry use.</w:t>
            </w:r>
          </w:p>
        </w:tc>
      </w:tr>
      <w:tr>
        <w:trPr>
          <w:tblHeader w:val="false"/>
        </w:trPr>
        <w:tc>
          <w:tcPr>
            <w:tcW w:type="dxa" w:w="26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Printers</w:t>
            </w:r>
          </w:p>
        </w:tc>
        <w:tc>
          <w:tcPr>
            <w:tcW w:type="dxa" w:w="71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Monochrome and colour laser printers, inkjet printers, network and workgroup printers, wide-format and dot-matrix printers for continuous stationery and payroll applications.</w:t>
            </w:r>
          </w:p>
        </w:tc>
      </w:tr>
      <w:tr>
        <w:trPr>
          <w:tblHeader w:val="false"/>
        </w:trPr>
        <w:tc>
          <w:tcPr>
            <w:tcW w:type="dxa" w:w="26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Copy printers / duplicators</w:t>
            </w:r>
          </w:p>
        </w:tc>
        <w:tc>
          <w:tcPr>
            <w:tcW w:type="dxa" w:w="71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High-volume digital duplicators for examination papers, circulars, ballot and bulk-run printing in schools, colleges and public institutions.</w:t>
            </w:r>
          </w:p>
        </w:tc>
      </w:tr>
      <w:tr>
        <w:trPr>
          <w:tblHeader w:val="false"/>
        </w:trPr>
        <w:tc>
          <w:tcPr>
            <w:tcW w:type="dxa" w:w="26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Toners, inks &amp; consumables</w:t>
            </w:r>
          </w:p>
        </w:tc>
        <w:tc>
          <w:tcPr>
            <w:tcW w:type="dxa" w:w="71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Original toner cartridges, ink cartridges and bottles, drums, developers, fuser units, waste toner boxes, master rolls, printing paper and cleaning supplies.</w:t>
            </w:r>
          </w:p>
        </w:tc>
      </w:tr>
      <w:tr>
        <w:trPr>
          <w:tblHeader w:val="false"/>
        </w:trPr>
        <w:tc>
          <w:tcPr>
            <w:tcW w:type="dxa" w:w="26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Printer &amp; copier spare parts</w:t>
            </w:r>
          </w:p>
        </w:tc>
        <w:tc>
          <w:tcPr>
            <w:tcW w:type="dxa" w:w="71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Fuser assemblies, rollers, pickup and separation pads, transfer belts, drum units, feed kits, formatter and logic boards, and other OEM replacement parts.</w:t>
            </w:r>
          </w:p>
        </w:tc>
      </w:tr>
      <w:tr>
        <w:trPr>
          <w:tblHeader w:val="false"/>
        </w:trPr>
        <w:tc>
          <w:tcPr>
            <w:tcW w:type="dxa" w:w="26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Barcode &amp; label printers</w:t>
            </w:r>
          </w:p>
        </w:tc>
        <w:tc>
          <w:tcPr>
            <w:tcW w:type="dxa" w:w="71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Desktop and industrial thermal and thermal-transfer label printers, barcode ribbons, label stock and barcode scanners for stores, inventory, logistics and asset-tagging applications.</w:t>
            </w:r>
          </w:p>
        </w:tc>
      </w:tr>
      <w:tr>
        <w:trPr>
          <w:tblHeader w:val="false"/>
        </w:trPr>
        <w:tc>
          <w:tcPr>
            <w:tcW w:type="dxa" w:w="26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ID card printers &amp; solutions</w:t>
            </w:r>
          </w:p>
        </w:tc>
        <w:tc>
          <w:tcPr>
            <w:tcW w:type="dxa" w:w="71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Single- and dual-sided card printers, ribbons, blank PVC cards, lanyards and card-issuance consumables for staff, student and membership identification programmes.</w:t>
            </w:r>
          </w:p>
        </w:tc>
      </w:tr>
      <w:tr>
        <w:trPr>
          <w:tblHeader w:val="false"/>
        </w:trPr>
        <w:tc>
          <w:tcPr>
            <w:tcW w:type="dxa" w:w="26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Office IT &amp; accessories</w:t>
            </w:r>
          </w:p>
        </w:tc>
        <w:tc>
          <w:tcPr>
            <w:tcW w:type="dxa" w:w="71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Scanners, shredders, laminators, binding machines, UPS units for print rooms, network print servers and related office equipment.</w:t>
            </w:r>
          </w:p>
        </w:tc>
      </w:tr>
    </w:tbl>
    <w:p>
      <w:pPr>
        <w:spacing w:after="120"/>
      </w:pPr>
    </w:p>
    <w:p>
      <w:pPr>
        <w:pStyle w:val="Heading2"/>
        <w:spacing w:after="100" w:before="220"/>
      </w:pPr>
      <w:r>
        <w:rPr>
          <w:rFonts w:ascii="Calibri" w:cs="Calibri" w:eastAsia="Calibri" w:hAnsi="Calibri"/>
          <w:b/>
          <w:bCs/>
          <w:color w:val="0F8A80"/>
          <w:sz w:val="23"/>
          <w:szCs w:val="23"/>
        </w:rPr>
        <w:t xml:space="preserve">Brands We Supply</w:t>
      </w:r>
    </w:p>
    <w:p>
      <w:pPr>
        <w:spacing w:after="120" w:line="276"/>
      </w:pPr>
      <w:r>
        <w:rPr>
          <w:rFonts w:ascii="Calibri" w:cs="Calibri" w:eastAsia="Calibri" w:hAnsi="Calibri"/>
          <w:b/>
          <w:bCs/>
          <w:color w:val="1A1A1A"/>
          <w:sz w:val="21"/>
          <w:szCs w:val="21"/>
        </w:rPr>
        <w:t xml:space="preserve">Kyocera  ·  HP  ·  Canon  ·  Epson  ·  Ricoh  ·  Xerox  ·  Brother  ·  Konica Minolta  ·  Zebra  ·  Evolis</w:t>
      </w:r>
    </w:p>
    <w:p>
      <w:pPr>
        <w:spacing w:after="120" w:line="276"/>
      </w:pPr>
      <w:r>
        <w:rPr>
          <w:rFonts w:ascii="Calibri" w:cs="Calibri" w:eastAsia="Calibri" w:hAnsi="Calibri"/>
          <w:color w:val="1A1A1A"/>
          <w:sz w:val="21"/>
          <w:szCs w:val="21"/>
        </w:rPr>
        <w:t xml:space="preserve">Where a tender requires a manufacturer's or distributor's authorisation letter for a specific brand, Ceter Technologies obtains and attaches the letter for that specific tender reference.</w:t>
      </w:r>
    </w:p>
    <w:p>
      <w:pPr>
        <w:pStyle w:val="Heading1"/>
        <w:pBdr>
          <w:bottom w:val="single" w:color="0F8A80" w:sz="12" w:space="6"/>
        </w:pBdr>
        <w:spacing w:after="160" w:before="320"/>
      </w:pPr>
      <w:r>
        <w:rPr>
          <w:rFonts w:ascii="Calibri" w:cs="Calibri" w:eastAsia="Calibri" w:hAnsi="Calibri"/>
          <w:b/>
          <w:bCs/>
          <w:color w:val="0B1F3A"/>
          <w:sz w:val="28"/>
          <w:szCs w:val="28"/>
        </w:rPr>
        <w:t xml:space="preserve">5.  Services and Solutions</w:t>
      </w:r>
    </w:p>
    <w:p>
      <w:pPr>
        <w:pStyle w:val="Heading2"/>
        <w:spacing w:after="100" w:before="220"/>
      </w:pPr>
      <w:r>
        <w:rPr>
          <w:rFonts w:ascii="Calibri" w:cs="Calibri" w:eastAsia="Calibri" w:hAnsi="Calibri"/>
          <w:b/>
          <w:bCs/>
          <w:color w:val="0F8A80"/>
          <w:sz w:val="23"/>
          <w:szCs w:val="23"/>
        </w:rPr>
        <w:t xml:space="preserve">5.1  Supply and Delivery</w:t>
      </w:r>
    </w:p>
    <w:p>
      <w:pPr>
        <w:spacing w:after="120" w:line="276"/>
      </w:pPr>
      <w:r>
        <w:rPr>
          <w:rFonts w:ascii="Calibri" w:cs="Calibri" w:eastAsia="Calibri" w:hAnsi="Calibri"/>
          <w:color w:val="1A1A1A"/>
          <w:sz w:val="21"/>
          <w:szCs w:val="21"/>
        </w:rPr>
        <w:t xml:space="preserve">Supply of equipment, consumables and spare parts against LPOs, framework contracts and call-off orders, with delivery notes, serial-number records, warranty cards and itemised invoices submitted for each delivery.</w:t>
      </w:r>
    </w:p>
    <w:p>
      <w:pPr>
        <w:pStyle w:val="Heading2"/>
        <w:spacing w:after="100" w:before="220"/>
      </w:pPr>
      <w:r>
        <w:rPr>
          <w:rFonts w:ascii="Calibri" w:cs="Calibri" w:eastAsia="Calibri" w:hAnsi="Calibri"/>
          <w:b/>
          <w:bCs/>
          <w:color w:val="0F8A80"/>
          <w:sz w:val="23"/>
          <w:szCs w:val="23"/>
        </w:rPr>
        <w:t xml:space="preserve">5.2  Installation and Commissioning</w:t>
      </w:r>
    </w:p>
    <w:p>
      <w:pPr>
        <w:spacing w:after="120" w:line="276"/>
      </w:pPr>
      <w:r>
        <w:rPr>
          <w:rFonts w:ascii="Calibri" w:cs="Calibri" w:eastAsia="Calibri" w:hAnsi="Calibri"/>
          <w:color w:val="1A1A1A"/>
          <w:sz w:val="21"/>
          <w:szCs w:val="21"/>
        </w:rPr>
        <w:t xml:space="preserve">Siting, physical installation, network configuration (IP, scan-to-email, scan-to-folder, secure and departmental print), driver deployment on client workstations, test printing, and handover with a signed commissioning certificate.</w:t>
      </w:r>
    </w:p>
    <w:p>
      <w:pPr>
        <w:pStyle w:val="Heading2"/>
        <w:spacing w:after="100" w:before="220"/>
      </w:pPr>
      <w:r>
        <w:rPr>
          <w:rFonts w:ascii="Calibri" w:cs="Calibri" w:eastAsia="Calibri" w:hAnsi="Calibri"/>
          <w:b/>
          <w:bCs/>
          <w:color w:val="0F8A80"/>
          <w:sz w:val="23"/>
          <w:szCs w:val="23"/>
        </w:rPr>
        <w:t xml:space="preserve">5.3  Preventive Maintenance</w:t>
      </w:r>
    </w:p>
    <w:p>
      <w:pPr>
        <w:spacing w:after="120" w:line="276"/>
      </w:pPr>
      <w:r>
        <w:rPr>
          <w:rFonts w:ascii="Calibri" w:cs="Calibri" w:eastAsia="Calibri" w:hAnsi="Calibri"/>
          <w:color w:val="1A1A1A"/>
          <w:sz w:val="21"/>
          <w:szCs w:val="21"/>
        </w:rPr>
        <w:t xml:space="preserve">Scheduled service visits at agreed intervals covering cleaning, calibration, firmware updates, replacement of wear parts, meter readings and a written condition report per device. Preventive maintenance materially reduces breakdowns and extends equipment life.</w:t>
      </w:r>
    </w:p>
    <w:p>
      <w:pPr>
        <w:pStyle w:val="Heading2"/>
        <w:spacing w:after="100" w:before="220"/>
      </w:pPr>
      <w:r>
        <w:rPr>
          <w:rFonts w:ascii="Calibri" w:cs="Calibri" w:eastAsia="Calibri" w:hAnsi="Calibri"/>
          <w:b/>
          <w:bCs/>
          <w:color w:val="0F8A80"/>
          <w:sz w:val="23"/>
          <w:szCs w:val="23"/>
        </w:rPr>
        <w:t xml:space="preserve">5.4  Corrective Maintenance and Repair</w:t>
      </w:r>
    </w:p>
    <w:p>
      <w:pPr>
        <w:spacing w:after="120" w:line="276"/>
      </w:pPr>
      <w:r>
        <w:rPr>
          <w:rFonts w:ascii="Calibri" w:cs="Calibri" w:eastAsia="Calibri" w:hAnsi="Calibri"/>
          <w:color w:val="1A1A1A"/>
          <w:sz w:val="21"/>
          <w:szCs w:val="21"/>
        </w:rPr>
        <w:t xml:space="preserve">On-site diagnosis and repair of printers, photocopiers and duplicators, with workshop backup for major overhauls and a loan machine available for critical devices under contract where downtime would disrupt service delivery.</w:t>
      </w:r>
    </w:p>
    <w:p>
      <w:pPr>
        <w:pStyle w:val="Heading2"/>
        <w:spacing w:after="100" w:before="220"/>
      </w:pPr>
      <w:r>
        <w:rPr>
          <w:rFonts w:ascii="Calibri" w:cs="Calibri" w:eastAsia="Calibri" w:hAnsi="Calibri"/>
          <w:b/>
          <w:bCs/>
          <w:color w:val="0F8A80"/>
          <w:sz w:val="23"/>
          <w:szCs w:val="23"/>
        </w:rPr>
        <w:t xml:space="preserve">5.5  Managed Print Services (MPS)</w:t>
      </w:r>
    </w:p>
    <w:p>
      <w:pPr>
        <w:spacing w:after="120" w:line="276"/>
      </w:pPr>
      <w:r>
        <w:rPr>
          <w:rFonts w:ascii="Calibri" w:cs="Calibri" w:eastAsia="Calibri" w:hAnsi="Calibri"/>
          <w:color w:val="1A1A1A"/>
          <w:sz w:val="21"/>
          <w:szCs w:val="21"/>
        </w:rPr>
        <w:t xml:space="preserve">A full outsourced print arrangement: Ceter Technologies supplies and maintains the devices, provides toner and parts, monitors volumes and bills a fixed rate per page. The client gets predictable budgeting, no capital outlay, no toner procurement cycle and no downtime risk.</w:t>
      </w:r>
    </w:p>
    <w:p>
      <w:pPr>
        <w:pStyle w:val="Heading2"/>
        <w:spacing w:after="100" w:before="220"/>
      </w:pPr>
      <w:r>
        <w:rPr>
          <w:rFonts w:ascii="Calibri" w:cs="Calibri" w:eastAsia="Calibri" w:hAnsi="Calibri"/>
          <w:b/>
          <w:bCs/>
          <w:color w:val="0F8A80"/>
          <w:sz w:val="23"/>
          <w:szCs w:val="23"/>
        </w:rPr>
        <w:t xml:space="preserve">5.6  Consumables Supply Contracts</w:t>
      </w:r>
    </w:p>
    <w:p>
      <w:pPr>
        <w:spacing w:after="120" w:line="276"/>
      </w:pPr>
      <w:r>
        <w:rPr>
          <w:rFonts w:ascii="Calibri" w:cs="Calibri" w:eastAsia="Calibri" w:hAnsi="Calibri"/>
          <w:color w:val="1A1A1A"/>
          <w:sz w:val="21"/>
          <w:szCs w:val="21"/>
        </w:rPr>
        <w:t xml:space="preserve">Framework arrangements for toner and consumables with agreed unit prices for the contract period, buffer stock held on our side for the client's active device models, and scheduled or on-call replenishment.</w:t>
      </w:r>
    </w:p>
    <w:p>
      <w:pPr>
        <w:pStyle w:val="Heading2"/>
        <w:spacing w:after="100" w:before="220"/>
      </w:pPr>
      <w:r>
        <w:rPr>
          <w:rFonts w:ascii="Calibri" w:cs="Calibri" w:eastAsia="Calibri" w:hAnsi="Calibri"/>
          <w:b/>
          <w:bCs/>
          <w:color w:val="0F8A80"/>
          <w:sz w:val="23"/>
          <w:szCs w:val="23"/>
        </w:rPr>
        <w:t xml:space="preserve">5.7  Training and User Support</w:t>
      </w:r>
    </w:p>
    <w:p>
      <w:pPr>
        <w:spacing w:after="120" w:line="276"/>
      </w:pPr>
      <w:r>
        <w:rPr>
          <w:rFonts w:ascii="Calibri" w:cs="Calibri" w:eastAsia="Calibri" w:hAnsi="Calibri"/>
          <w:color w:val="1A1A1A"/>
          <w:sz w:val="21"/>
          <w:szCs w:val="21"/>
        </w:rPr>
        <w:t xml:space="preserve">End-user training on device operation, scanning workflows, secure printing and basic first-line troubleshooting, plus a printed quick-reference guide left with each installed machine.</w:t>
      </w:r>
    </w:p>
    <w:p>
      <w:pPr>
        <w:pStyle w:val="Heading2"/>
        <w:spacing w:after="100" w:before="220"/>
      </w:pPr>
      <w:r>
        <w:rPr>
          <w:rFonts w:ascii="Calibri" w:cs="Calibri" w:eastAsia="Calibri" w:hAnsi="Calibri"/>
          <w:b/>
          <w:bCs/>
          <w:color w:val="0F8A80"/>
          <w:sz w:val="23"/>
          <w:szCs w:val="23"/>
        </w:rPr>
        <w:t xml:space="preserve">5.8  Trade-In, Disposal and E-Waste Handling</w:t>
      </w:r>
    </w:p>
    <w:p>
      <w:pPr>
        <w:spacing w:after="120" w:line="276"/>
      </w:pPr>
      <w:r>
        <w:rPr>
          <w:rFonts w:ascii="Calibri" w:cs="Calibri" w:eastAsia="Calibri" w:hAnsi="Calibri"/>
          <w:color w:val="1A1A1A"/>
          <w:sz w:val="21"/>
          <w:szCs w:val="21"/>
        </w:rPr>
        <w:t xml:space="preserve">Assessment and trade-in of obsolete equipment, and environmentally responsible disposal of end-of-life devices, cartridges and electronic waste through licensed handlers, with disposal certificates issued to the client for asset-register purposes.</w:t>
      </w:r>
    </w:p>
    <w:p>
      <w:pPr>
        <w:pStyle w:val="Heading1"/>
        <w:pBdr>
          <w:bottom w:val="single" w:color="0F8A80" w:sz="12" w:space="6"/>
        </w:pBdr>
        <w:spacing w:after="160" w:before="320"/>
      </w:pPr>
      <w:r>
        <w:rPr>
          <w:rFonts w:ascii="Calibri" w:cs="Calibri" w:eastAsia="Calibri" w:hAnsi="Calibri"/>
          <w:b/>
          <w:bCs/>
          <w:color w:val="0B1F3A"/>
          <w:sz w:val="28"/>
          <w:szCs w:val="28"/>
        </w:rPr>
        <w:t xml:space="preserve">6.  Technical Capability and Service Delivery</w:t>
      </w:r>
    </w:p>
    <w:p>
      <w:pPr>
        <w:spacing w:after="120" w:line="276"/>
      </w:pPr>
      <w:r>
        <w:rPr>
          <w:rFonts w:ascii="Calibri" w:cs="Calibri" w:eastAsia="Calibri" w:hAnsi="Calibri"/>
          <w:color w:val="1A1A1A"/>
          <w:sz w:val="21"/>
          <w:szCs w:val="21"/>
        </w:rPr>
        <w:t xml:space="preserve">Our service model is built to satisfy the response and resolution requirements typically specified in public-sector tenders.</w:t>
      </w:r>
    </w:p>
    <w:p>
      <w:pPr>
        <w:spacing w:after="120"/>
      </w:pPr>
    </w:p>
    <w:tbl>
      <w:tblPr>
        <w:tblW w:type="dxa" w:w="9746"/>
        <w:tblBorders>
          <w:top w:val="single" w:color="C9D3DD" w:sz="4"/>
          <w:left w:val="single" w:color="C9D3DD" w:sz="4"/>
          <w:bottom w:val="single" w:color="C9D3DD" w:sz="4"/>
          <w:right w:val="single" w:color="C9D3DD" w:sz="4"/>
          <w:insideH w:val="single" w:color="C9D3DD" w:sz="4"/>
          <w:insideV w:val="single" w:color="C9D3DD" w:sz="4"/>
        </w:tblBorders>
      </w:tblPr>
      <w:tblGrid>
        <w:gridCol w:w="3000"/>
        <w:gridCol w:w="3300"/>
        <w:gridCol w:w="3446"/>
      </w:tblGrid>
      <w:tr>
        <w:trPr>
          <w:tblHeader/>
        </w:trPr>
        <w:tc>
          <w:tcPr>
            <w:tcW w:type="dxa" w:w="3000"/>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Service commitment</w:t>
            </w:r>
          </w:p>
        </w:tc>
        <w:tc>
          <w:tcPr>
            <w:tcW w:type="dxa" w:w="3300"/>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Nairobi &amp; metropolitan</w:t>
            </w:r>
          </w:p>
        </w:tc>
        <w:tc>
          <w:tcPr>
            <w:tcW w:type="dxa" w:w="3446"/>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Upcountry / other counties</w:t>
            </w:r>
          </w:p>
        </w:tc>
      </w:tr>
      <w:tr>
        <w:trPr>
          <w:tblHeader w:val="false"/>
        </w:trPr>
        <w:tc>
          <w:tcPr>
            <w:tcW w:type="dxa" w:w="30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Acknowledgement of a logged fault</w:t>
            </w:r>
          </w:p>
        </w:tc>
        <w:tc>
          <w:tcPr>
            <w:tcW w:type="dxa" w:w="33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Within 1 hour</w:t>
            </w:r>
          </w:p>
        </w:tc>
        <w:tc>
          <w:tcPr>
            <w:tcW w:type="dxa" w:w="34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Within 2 hours</w:t>
            </w:r>
          </w:p>
        </w:tc>
      </w:tr>
      <w:tr>
        <w:trPr>
          <w:tblHeader w:val="false"/>
        </w:trPr>
        <w:tc>
          <w:tcPr>
            <w:tcW w:type="dxa" w:w="30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On-site response</w:t>
            </w:r>
          </w:p>
        </w:tc>
        <w:tc>
          <w:tcPr>
            <w:tcW w:type="dxa" w:w="33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Within 4 working hours</w:t>
            </w:r>
          </w:p>
        </w:tc>
        <w:tc>
          <w:tcPr>
            <w:tcW w:type="dxa" w:w="34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Within 24 working hours</w:t>
            </w:r>
          </w:p>
        </w:tc>
      </w:tr>
      <w:tr>
        <w:trPr>
          <w:tblHeader w:val="false"/>
        </w:trPr>
        <w:tc>
          <w:tcPr>
            <w:tcW w:type="dxa" w:w="30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Resolution of routine faults</w:t>
            </w:r>
          </w:p>
        </w:tc>
        <w:tc>
          <w:tcPr>
            <w:tcW w:type="dxa" w:w="33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Same working day</w:t>
            </w:r>
          </w:p>
        </w:tc>
        <w:tc>
          <w:tcPr>
            <w:tcW w:type="dxa" w:w="34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Within 48 hours</w:t>
            </w:r>
          </w:p>
        </w:tc>
      </w:tr>
      <w:tr>
        <w:trPr>
          <w:tblHeader w:val="false"/>
        </w:trPr>
        <w:tc>
          <w:tcPr>
            <w:tcW w:type="dxa" w:w="30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Faults requiring ordered parts</w:t>
            </w:r>
          </w:p>
        </w:tc>
        <w:tc>
          <w:tcPr>
            <w:tcW w:type="dxa" w:w="33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Within 3–5 working days, with a loan unit provided for contracted critical devices</w:t>
            </w:r>
          </w:p>
        </w:tc>
        <w:tc>
          <w:tcPr>
            <w:tcW w:type="dxa" w:w="34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Within 5–7 working days, with a loan unit where contracted</w:t>
            </w:r>
          </w:p>
        </w:tc>
      </w:tr>
      <w:tr>
        <w:trPr>
          <w:tblHeader w:val="false"/>
        </w:trPr>
        <w:tc>
          <w:tcPr>
            <w:tcW w:type="dxa" w:w="30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Toner / consumable replenishment</w:t>
            </w:r>
          </w:p>
        </w:tc>
        <w:tc>
          <w:tcPr>
            <w:tcW w:type="dxa" w:w="33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Within 24 hours of request</w:t>
            </w:r>
          </w:p>
        </w:tc>
        <w:tc>
          <w:tcPr>
            <w:tcW w:type="dxa" w:w="34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Within 48–72 hours of request</w:t>
            </w:r>
          </w:p>
        </w:tc>
      </w:tr>
      <w:tr>
        <w:trPr>
          <w:tblHeader w:val="false"/>
        </w:trPr>
        <w:tc>
          <w:tcPr>
            <w:tcW w:type="dxa" w:w="30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Preventive maintenance</w:t>
            </w:r>
          </w:p>
        </w:tc>
        <w:tc>
          <w:tcPr>
            <w:tcW w:type="dxa" w:w="33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Quarterly, or as specified in the contract</w:t>
            </w:r>
          </w:p>
        </w:tc>
        <w:tc>
          <w:tcPr>
            <w:tcW w:type="dxa" w:w="34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Quarterly, or as specified in the contract</w:t>
            </w:r>
          </w:p>
        </w:tc>
      </w:tr>
    </w:tbl>
    <w:p>
      <w:pPr>
        <w:spacing w:after="120"/>
      </w:pPr>
    </w:p>
    <w:p>
      <w:pPr>
        <w:spacing w:after="120" w:line="276"/>
      </w:pPr>
      <w:r>
        <w:rPr>
          <w:rFonts w:ascii="Calibri" w:cs="Calibri" w:eastAsia="Calibri" w:hAnsi="Calibri"/>
          <w:i/>
          <w:iCs/>
          <w:color w:val="5A6472"/>
          <w:sz w:val="19"/>
          <w:szCs w:val="19"/>
        </w:rPr>
        <w:t xml:space="preserve">Service levels above are our standard offer. Where a tender specifies stricter response or resolution times, Ceter Technologies will confirm compliance in the tender response and contract to those terms.</w:t>
      </w:r>
    </w:p>
    <w:p>
      <w:pPr>
        <w:pStyle w:val="Heading2"/>
        <w:spacing w:after="100" w:before="220"/>
      </w:pPr>
      <w:r>
        <w:rPr>
          <w:rFonts w:ascii="Calibri" w:cs="Calibri" w:eastAsia="Calibri" w:hAnsi="Calibri"/>
          <w:b/>
          <w:bCs/>
          <w:color w:val="0F8A80"/>
          <w:sz w:val="23"/>
          <w:szCs w:val="23"/>
        </w:rPr>
        <w:t xml:space="preserve">Service Infrastructure</w:t>
      </w:r>
    </w:p>
    <w:p>
      <w:pPr>
        <w:pStyle w:val="ListParagraph"/>
        <w:numPr>
          <w:ilvl w:val="0"/>
          <w:numId w:val="2"/>
        </w:numPr>
        <w:spacing w:after="70" w:line="276"/>
      </w:pPr>
      <w:r>
        <w:rPr>
          <w:rFonts w:ascii="Calibri" w:cs="Calibri" w:eastAsia="Calibri" w:hAnsi="Calibri"/>
          <w:b/>
          <w:bCs/>
          <w:color w:val="0B1F3A"/>
          <w:sz w:val="21"/>
          <w:szCs w:val="21"/>
        </w:rPr>
        <w:t xml:space="preserve">Trained technicians — </w:t>
      </w:r>
      <w:r>
        <w:rPr>
          <w:rFonts w:ascii="Calibri" w:cs="Calibri" w:eastAsia="Calibri" w:hAnsi="Calibri"/>
          <w:color w:val="1A1A1A"/>
          <w:sz w:val="21"/>
          <w:szCs w:val="21"/>
        </w:rPr>
        <w:t xml:space="preserve">field engineers with manufacturer-oriented training on the copier, printer and duplicator brands we supply.</w:t>
      </w:r>
    </w:p>
    <w:p>
      <w:pPr>
        <w:pStyle w:val="ListParagraph"/>
        <w:numPr>
          <w:ilvl w:val="0"/>
          <w:numId w:val="2"/>
        </w:numPr>
        <w:spacing w:after="70" w:line="276"/>
      </w:pPr>
      <w:r>
        <w:rPr>
          <w:rFonts w:ascii="Calibri" w:cs="Calibri" w:eastAsia="Calibri" w:hAnsi="Calibri"/>
          <w:b/>
          <w:bCs/>
          <w:color w:val="0B1F3A"/>
          <w:sz w:val="21"/>
          <w:szCs w:val="21"/>
        </w:rPr>
        <w:t xml:space="preserve">Fault logging — </w:t>
      </w:r>
      <w:r>
        <w:rPr>
          <w:rFonts w:ascii="Calibri" w:cs="Calibri" w:eastAsia="Calibri" w:hAnsi="Calibri"/>
          <w:color w:val="1A1A1A"/>
          <w:sz w:val="21"/>
          <w:szCs w:val="21"/>
        </w:rPr>
        <w:t xml:space="preserve">a single point of contact by phone, WhatsApp and email, with every call logged, ticketed and reportable to the client.</w:t>
      </w:r>
    </w:p>
    <w:p>
      <w:pPr>
        <w:pStyle w:val="ListParagraph"/>
        <w:numPr>
          <w:ilvl w:val="0"/>
          <w:numId w:val="2"/>
        </w:numPr>
        <w:spacing w:after="70" w:line="276"/>
      </w:pPr>
      <w:r>
        <w:rPr>
          <w:rFonts w:ascii="Calibri" w:cs="Calibri" w:eastAsia="Calibri" w:hAnsi="Calibri"/>
          <w:b/>
          <w:bCs/>
          <w:color w:val="0B1F3A"/>
          <w:sz w:val="21"/>
          <w:szCs w:val="21"/>
        </w:rPr>
        <w:t xml:space="preserve">Spare parts holding — </w:t>
      </w:r>
      <w:r>
        <w:rPr>
          <w:rFonts w:ascii="Calibri" w:cs="Calibri" w:eastAsia="Calibri" w:hAnsi="Calibri"/>
          <w:color w:val="1A1A1A"/>
          <w:sz w:val="21"/>
          <w:szCs w:val="21"/>
        </w:rPr>
        <w:t xml:space="preserve">buffer stock of fast-moving consumables and wear parts for the device models under our contracts.</w:t>
      </w:r>
    </w:p>
    <w:p>
      <w:pPr>
        <w:pStyle w:val="ListParagraph"/>
        <w:numPr>
          <w:ilvl w:val="0"/>
          <w:numId w:val="2"/>
        </w:numPr>
        <w:spacing w:after="70" w:line="276"/>
      </w:pPr>
      <w:r>
        <w:rPr>
          <w:rFonts w:ascii="Calibri" w:cs="Calibri" w:eastAsia="Calibri" w:hAnsi="Calibri"/>
          <w:b/>
          <w:bCs/>
          <w:color w:val="0B1F3A"/>
          <w:sz w:val="21"/>
          <w:szCs w:val="21"/>
        </w:rPr>
        <w:t xml:space="preserve">Workshop backup — </w:t>
      </w:r>
      <w:r>
        <w:rPr>
          <w:rFonts w:ascii="Calibri" w:cs="Calibri" w:eastAsia="Calibri" w:hAnsi="Calibri"/>
          <w:color w:val="1A1A1A"/>
          <w:sz w:val="21"/>
          <w:szCs w:val="21"/>
        </w:rPr>
        <w:t xml:space="preserve">bench repair capacity in Nairobi for units that cannot be economically repaired on site.</w:t>
      </w:r>
    </w:p>
    <w:p>
      <w:pPr>
        <w:pStyle w:val="ListParagraph"/>
        <w:numPr>
          <w:ilvl w:val="0"/>
          <w:numId w:val="2"/>
        </w:numPr>
        <w:spacing w:after="70" w:line="276"/>
      </w:pPr>
      <w:r>
        <w:rPr>
          <w:rFonts w:ascii="Calibri" w:cs="Calibri" w:eastAsia="Calibri" w:hAnsi="Calibri"/>
          <w:b/>
          <w:bCs/>
          <w:color w:val="0B1F3A"/>
          <w:sz w:val="21"/>
          <w:szCs w:val="21"/>
        </w:rPr>
        <w:t xml:space="preserve">Nationwide reach — </w:t>
      </w:r>
      <w:r>
        <w:rPr>
          <w:rFonts w:ascii="Calibri" w:cs="Calibri" w:eastAsia="Calibri" w:hAnsi="Calibri"/>
          <w:color w:val="1A1A1A"/>
          <w:sz w:val="21"/>
          <w:szCs w:val="21"/>
        </w:rPr>
        <w:t xml:space="preserve">service delivery to institutions outside Nairobi through scheduled visit planning and courier-supported parts logistics.</w:t>
      </w:r>
    </w:p>
    <w:p>
      <w:pPr>
        <w:pStyle w:val="Heading1"/>
        <w:pBdr>
          <w:bottom w:val="single" w:color="0F8A80" w:sz="12" w:space="6"/>
        </w:pBdr>
        <w:spacing w:after="160" w:before="320"/>
      </w:pPr>
      <w:r>
        <w:rPr>
          <w:rFonts w:ascii="Calibri" w:cs="Calibri" w:eastAsia="Calibri" w:hAnsi="Calibri"/>
          <w:b/>
          <w:bCs/>
          <w:color w:val="0B1F3A"/>
          <w:sz w:val="28"/>
          <w:szCs w:val="28"/>
        </w:rPr>
        <w:t xml:space="preserve">7.  Digital Procurement Platform</w:t>
      </w:r>
    </w:p>
    <w:p>
      <w:pPr>
        <w:spacing w:after="120" w:line="276"/>
      </w:pPr>
      <w:r>
        <w:rPr>
          <w:rFonts w:ascii="Calibri" w:cs="Calibri" w:eastAsia="Calibri" w:hAnsi="Calibri"/>
          <w:color w:val="1A1A1A"/>
          <w:sz w:val="21"/>
          <w:szCs w:val="21"/>
        </w:rPr>
        <w:t xml:space="preserve">Ceter Technologies operates its own e-commerce and procurement platform at cetertechnologies.com, developed in-house. It is a practical procurement tool for institutional buyers rather than a marketing website, and it gives procuring entities the following:</w:t>
      </w:r>
    </w:p>
    <w:p>
      <w:pPr>
        <w:pStyle w:val="ListParagraph"/>
        <w:numPr>
          <w:ilvl w:val="0"/>
          <w:numId w:val="2"/>
        </w:numPr>
        <w:spacing w:after="70" w:line="276"/>
      </w:pPr>
      <w:r>
        <w:rPr>
          <w:rFonts w:ascii="Calibri" w:cs="Calibri" w:eastAsia="Calibri" w:hAnsi="Calibri"/>
          <w:b/>
          <w:bCs/>
          <w:color w:val="0B1F3A"/>
          <w:sz w:val="21"/>
          <w:szCs w:val="21"/>
        </w:rPr>
        <w:t xml:space="preserve">Live catalogue — </w:t>
      </w:r>
      <w:r>
        <w:rPr>
          <w:rFonts w:ascii="Calibri" w:cs="Calibri" w:eastAsia="Calibri" w:hAnsi="Calibri"/>
          <w:color w:val="1A1A1A"/>
          <w:sz w:val="21"/>
          <w:szCs w:val="21"/>
        </w:rPr>
        <w:t xml:space="preserve">products organised by category and brand, with full specifications, product images and prices displayed in Kenya Shillings.</w:t>
      </w:r>
    </w:p>
    <w:p>
      <w:pPr>
        <w:pStyle w:val="ListParagraph"/>
        <w:numPr>
          <w:ilvl w:val="0"/>
          <w:numId w:val="2"/>
        </w:numPr>
        <w:spacing w:after="70" w:line="276"/>
      </w:pPr>
      <w:r>
        <w:rPr>
          <w:rFonts w:ascii="Calibri" w:cs="Calibri" w:eastAsia="Calibri" w:hAnsi="Calibri"/>
          <w:b/>
          <w:bCs/>
          <w:color w:val="0B1F3A"/>
          <w:sz w:val="21"/>
          <w:szCs w:val="21"/>
        </w:rPr>
        <w:t xml:space="preserve">Stock visibility — </w:t>
      </w:r>
      <w:r>
        <w:rPr>
          <w:rFonts w:ascii="Calibri" w:cs="Calibri" w:eastAsia="Calibri" w:hAnsi="Calibri"/>
          <w:color w:val="1A1A1A"/>
          <w:sz w:val="21"/>
          <w:szCs w:val="21"/>
        </w:rPr>
        <w:t xml:space="preserve">current stock status and quantity on each item, so buyers know before ordering what is available and what requires a lead time.</w:t>
      </w:r>
    </w:p>
    <w:p>
      <w:pPr>
        <w:pStyle w:val="ListParagraph"/>
        <w:numPr>
          <w:ilvl w:val="0"/>
          <w:numId w:val="2"/>
        </w:numPr>
        <w:spacing w:after="70" w:line="276"/>
      </w:pPr>
      <w:r>
        <w:rPr>
          <w:rFonts w:ascii="Calibri" w:cs="Calibri" w:eastAsia="Calibri" w:hAnsi="Calibri"/>
          <w:b/>
          <w:bCs/>
          <w:color w:val="0B1F3A"/>
          <w:sz w:val="21"/>
          <w:szCs w:val="21"/>
        </w:rPr>
        <w:t xml:space="preserve">Online quotation requests — </w:t>
      </w:r>
      <w:r>
        <w:rPr>
          <w:rFonts w:ascii="Calibri" w:cs="Calibri" w:eastAsia="Calibri" w:hAnsi="Calibri"/>
          <w:color w:val="1A1A1A"/>
          <w:sz w:val="21"/>
          <w:szCs w:val="21"/>
        </w:rPr>
        <w:t xml:space="preserve">a structured request form covering printer repair, photocopier installation, toner supply, spare parts and managed print service, routed straight to our sales desk.</w:t>
      </w:r>
    </w:p>
    <w:p>
      <w:pPr>
        <w:pStyle w:val="ListParagraph"/>
        <w:numPr>
          <w:ilvl w:val="0"/>
          <w:numId w:val="2"/>
        </w:numPr>
        <w:spacing w:after="70" w:line="276"/>
      </w:pPr>
      <w:r>
        <w:rPr>
          <w:rFonts w:ascii="Calibri" w:cs="Calibri" w:eastAsia="Calibri" w:hAnsi="Calibri"/>
          <w:b/>
          <w:bCs/>
          <w:color w:val="0B1F3A"/>
          <w:sz w:val="21"/>
          <w:szCs w:val="21"/>
        </w:rPr>
        <w:t xml:space="preserve">Client accounts — </w:t>
      </w:r>
      <w:r>
        <w:rPr>
          <w:rFonts w:ascii="Calibri" w:cs="Calibri" w:eastAsia="Calibri" w:hAnsi="Calibri"/>
          <w:color w:val="1A1A1A"/>
          <w:sz w:val="21"/>
          <w:szCs w:val="21"/>
        </w:rPr>
        <w:t xml:space="preserve">a secure account per client with saved details, order history and reprintable records for audit and reconciliation.</w:t>
      </w:r>
    </w:p>
    <w:p>
      <w:pPr>
        <w:pStyle w:val="ListParagraph"/>
        <w:numPr>
          <w:ilvl w:val="0"/>
          <w:numId w:val="2"/>
        </w:numPr>
        <w:spacing w:after="70" w:line="276"/>
      </w:pPr>
      <w:r>
        <w:rPr>
          <w:rFonts w:ascii="Calibri" w:cs="Calibri" w:eastAsia="Calibri" w:hAnsi="Calibri"/>
          <w:b/>
          <w:bCs/>
          <w:color w:val="0B1F3A"/>
          <w:sz w:val="21"/>
          <w:szCs w:val="21"/>
        </w:rPr>
        <w:t xml:space="preserve">Order tracking — </w:t>
      </w:r>
      <w:r>
        <w:rPr>
          <w:rFonts w:ascii="Calibri" w:cs="Calibri" w:eastAsia="Calibri" w:hAnsi="Calibri"/>
          <w:color w:val="1A1A1A"/>
          <w:sz w:val="21"/>
          <w:szCs w:val="21"/>
        </w:rPr>
        <w:t xml:space="preserve">orders progress through recorded statuses from placement to delivery.</w:t>
      </w:r>
    </w:p>
    <w:p>
      <w:pPr>
        <w:pStyle w:val="ListParagraph"/>
        <w:numPr>
          <w:ilvl w:val="0"/>
          <w:numId w:val="2"/>
        </w:numPr>
        <w:spacing w:after="70" w:line="276"/>
      </w:pPr>
      <w:r>
        <w:rPr>
          <w:rFonts w:ascii="Calibri" w:cs="Calibri" w:eastAsia="Calibri" w:hAnsi="Calibri"/>
          <w:b/>
          <w:bCs/>
          <w:color w:val="0B1F3A"/>
          <w:sz w:val="21"/>
          <w:szCs w:val="21"/>
        </w:rPr>
        <w:t xml:space="preserve">WhatsApp ordering — </w:t>
      </w:r>
      <w:r>
        <w:rPr>
          <w:rFonts w:ascii="Calibri" w:cs="Calibri" w:eastAsia="Calibri" w:hAnsi="Calibri"/>
          <w:color w:val="1A1A1A"/>
          <w:sz w:val="21"/>
          <w:szCs w:val="21"/>
        </w:rPr>
        <w:t xml:space="preserve">a per-product enquiry link for buyers who prefer to confirm an item quickly on WhatsApp.</w:t>
      </w:r>
    </w:p>
    <w:p>
      <w:pPr>
        <w:pStyle w:val="ListParagraph"/>
        <w:numPr>
          <w:ilvl w:val="0"/>
          <w:numId w:val="2"/>
        </w:numPr>
        <w:spacing w:after="70" w:line="276"/>
      </w:pPr>
      <w:r>
        <w:rPr>
          <w:rFonts w:ascii="Calibri" w:cs="Calibri" w:eastAsia="Calibri" w:hAnsi="Calibri"/>
          <w:b/>
          <w:bCs/>
          <w:color w:val="0B1F3A"/>
          <w:sz w:val="21"/>
          <w:szCs w:val="21"/>
        </w:rPr>
        <w:t xml:space="preserve">Internal control — </w:t>
      </w:r>
      <w:r>
        <w:rPr>
          <w:rFonts w:ascii="Calibri" w:cs="Calibri" w:eastAsia="Calibri" w:hAnsi="Calibri"/>
          <w:color w:val="1A1A1A"/>
          <w:sz w:val="21"/>
          <w:szCs w:val="21"/>
        </w:rPr>
        <w:t xml:space="preserve">a role-restricted administration system for catalogue management, inventory monitoring with low-stock and backorder alerts, order processing and quotation follow-up.</w:t>
      </w:r>
    </w:p>
    <w:p>
      <w:pPr>
        <w:spacing w:after="120"/>
      </w:pPr>
    </w:p>
    <w:p>
      <w:pPr>
        <w:spacing w:after="120" w:line="276"/>
      </w:pPr>
      <w:r>
        <w:rPr>
          <w:rFonts w:ascii="Calibri" w:cs="Calibri" w:eastAsia="Calibri" w:hAnsi="Calibri"/>
          <w:color w:val="1A1A1A"/>
          <w:sz w:val="21"/>
          <w:szCs w:val="21"/>
        </w:rPr>
        <w:t xml:space="preserve">The platform is built on a modern, secure technology stack (Next.js, React, TypeScript, PostgreSQL) with authenticated access, role-based permissions and row-level database security, and is hosted on managed cloud infrastructure with automated backups.</w:t>
      </w:r>
    </w:p>
    <w:p>
      <w:pPr>
        <w:spacing w:after="120" w:line="276"/>
      </w:pPr>
      <w:r>
        <w:rPr>
          <w:rFonts w:ascii="Calibri" w:cs="Calibri" w:eastAsia="Calibri" w:hAnsi="Calibri"/>
          <w:b/>
          <w:bCs/>
          <w:color w:val="1A1A1A"/>
          <w:sz w:val="21"/>
          <w:szCs w:val="21"/>
        </w:rPr>
        <w:t xml:space="preserve">Procurement benefit: quotations are produced faster and more accurately, delivery and consumption records are retrievable at any time, and departments can plan consumable budgets from real usage history rather than estimates.</w:t>
      </w:r>
    </w:p>
    <w:p>
      <w:pPr>
        <w:pStyle w:val="Heading1"/>
        <w:pBdr>
          <w:bottom w:val="single" w:color="0F8A80" w:sz="12" w:space="6"/>
        </w:pBdr>
        <w:spacing w:after="160" w:before="320"/>
      </w:pPr>
      <w:r>
        <w:rPr>
          <w:rFonts w:ascii="Calibri" w:cs="Calibri" w:eastAsia="Calibri" w:hAnsi="Calibri"/>
          <w:b/>
          <w:bCs/>
          <w:color w:val="0B1F3A"/>
          <w:sz w:val="28"/>
          <w:szCs w:val="28"/>
        </w:rPr>
        <w:t xml:space="preserve">8.  Quality Assurance, Warranty and Genuine Products</w:t>
      </w:r>
    </w:p>
    <w:p>
      <w:pPr>
        <w:pStyle w:val="ListParagraph"/>
        <w:numPr>
          <w:ilvl w:val="0"/>
          <w:numId w:val="2"/>
        </w:numPr>
        <w:spacing w:after="70" w:line="276"/>
      </w:pPr>
      <w:r>
        <w:rPr>
          <w:rFonts w:ascii="Calibri" w:cs="Calibri" w:eastAsia="Calibri" w:hAnsi="Calibri"/>
          <w:b/>
          <w:bCs/>
          <w:color w:val="0B1F3A"/>
          <w:sz w:val="21"/>
          <w:szCs w:val="21"/>
        </w:rPr>
        <w:t xml:space="preserve">Genuine products only — </w:t>
      </w:r>
      <w:r>
        <w:rPr>
          <w:rFonts w:ascii="Calibri" w:cs="Calibri" w:eastAsia="Calibri" w:hAnsi="Calibri"/>
          <w:color w:val="1A1A1A"/>
          <w:sz w:val="21"/>
          <w:szCs w:val="21"/>
        </w:rPr>
        <w:t xml:space="preserve">all equipment and consumables are supplied new and original, sourced through manufacturer or authorised-distributor channels. We do not supply counterfeit, compatible-as-original or refurbished-as-new goods.</w:t>
      </w:r>
    </w:p>
    <w:p>
      <w:pPr>
        <w:pStyle w:val="ListParagraph"/>
        <w:numPr>
          <w:ilvl w:val="0"/>
          <w:numId w:val="2"/>
        </w:numPr>
        <w:spacing w:after="70" w:line="276"/>
      </w:pPr>
      <w:r>
        <w:rPr>
          <w:rFonts w:ascii="Calibri" w:cs="Calibri" w:eastAsia="Calibri" w:hAnsi="Calibri"/>
          <w:b/>
          <w:bCs/>
          <w:color w:val="0B1F3A"/>
          <w:sz w:val="21"/>
          <w:szCs w:val="21"/>
        </w:rPr>
        <w:t xml:space="preserve">Traceability — </w:t>
      </w:r>
      <w:r>
        <w:rPr>
          <w:rFonts w:ascii="Calibri" w:cs="Calibri" w:eastAsia="Calibri" w:hAnsi="Calibri"/>
          <w:color w:val="1A1A1A"/>
          <w:sz w:val="21"/>
          <w:szCs w:val="21"/>
        </w:rPr>
        <w:t xml:space="preserve">each supplied device is recorded with make, model and serial number on the delivery note, supporting the client's asset register and any warranty claim.</w:t>
      </w:r>
    </w:p>
    <w:p>
      <w:pPr>
        <w:pStyle w:val="ListParagraph"/>
        <w:numPr>
          <w:ilvl w:val="0"/>
          <w:numId w:val="2"/>
        </w:numPr>
        <w:spacing w:after="70" w:line="276"/>
      </w:pPr>
      <w:r>
        <w:rPr>
          <w:rFonts w:ascii="Calibri" w:cs="Calibri" w:eastAsia="Calibri" w:hAnsi="Calibri"/>
          <w:b/>
          <w:bCs/>
          <w:color w:val="0B1F3A"/>
          <w:sz w:val="21"/>
          <w:szCs w:val="21"/>
        </w:rPr>
        <w:t xml:space="preserve">Manufacturer warranty — </w:t>
      </w:r>
      <w:r>
        <w:rPr>
          <w:rFonts w:ascii="Calibri" w:cs="Calibri" w:eastAsia="Calibri" w:hAnsi="Calibri"/>
          <w:color w:val="1A1A1A"/>
          <w:sz w:val="21"/>
          <w:szCs w:val="21"/>
        </w:rPr>
        <w:t xml:space="preserve">equipment carries the manufacturer's standard warranty, typically twelve (12) months against manufacturing defects, honoured through us as the supplier. Extended warranty is available where a tender requires it.</w:t>
      </w:r>
    </w:p>
    <w:p>
      <w:pPr>
        <w:pStyle w:val="ListParagraph"/>
        <w:numPr>
          <w:ilvl w:val="0"/>
          <w:numId w:val="2"/>
        </w:numPr>
        <w:spacing w:after="70" w:line="276"/>
      </w:pPr>
      <w:r>
        <w:rPr>
          <w:rFonts w:ascii="Calibri" w:cs="Calibri" w:eastAsia="Calibri" w:hAnsi="Calibri"/>
          <w:b/>
          <w:bCs/>
          <w:color w:val="0B1F3A"/>
          <w:sz w:val="21"/>
          <w:szCs w:val="21"/>
        </w:rPr>
        <w:t xml:space="preserve">Defect handling — </w:t>
      </w:r>
      <w:r>
        <w:rPr>
          <w:rFonts w:ascii="Calibri" w:cs="Calibri" w:eastAsia="Calibri" w:hAnsi="Calibri"/>
          <w:color w:val="1A1A1A"/>
          <w:sz w:val="21"/>
          <w:szCs w:val="21"/>
        </w:rPr>
        <w:t xml:space="preserve">any item found defective on delivery or within warranty is repaired or replaced at no cost to the client, within the timelines committed in the contract.</w:t>
      </w:r>
    </w:p>
    <w:p>
      <w:pPr>
        <w:pStyle w:val="ListParagraph"/>
        <w:numPr>
          <w:ilvl w:val="0"/>
          <w:numId w:val="2"/>
        </w:numPr>
        <w:spacing w:after="70" w:line="276"/>
      </w:pPr>
      <w:r>
        <w:rPr>
          <w:rFonts w:ascii="Calibri" w:cs="Calibri" w:eastAsia="Calibri" w:hAnsi="Calibri"/>
          <w:b/>
          <w:bCs/>
          <w:color w:val="0B1F3A"/>
          <w:sz w:val="21"/>
          <w:szCs w:val="21"/>
        </w:rPr>
        <w:t xml:space="preserve">Pre-delivery inspection — </w:t>
      </w:r>
      <w:r>
        <w:rPr>
          <w:rFonts w:ascii="Calibri" w:cs="Calibri" w:eastAsia="Calibri" w:hAnsi="Calibri"/>
          <w:color w:val="1A1A1A"/>
          <w:sz w:val="21"/>
          <w:szCs w:val="21"/>
        </w:rPr>
        <w:t xml:space="preserve">equipment is unpacked, powered up, test-printed and verified against the order specification before delivery, so that specification mismatches are caught by us and not by the client.</w:t>
      </w:r>
    </w:p>
    <w:p>
      <w:pPr>
        <w:pStyle w:val="ListParagraph"/>
        <w:numPr>
          <w:ilvl w:val="0"/>
          <w:numId w:val="2"/>
        </w:numPr>
        <w:spacing w:after="70" w:line="276"/>
      </w:pPr>
      <w:r>
        <w:rPr>
          <w:rFonts w:ascii="Calibri" w:cs="Calibri" w:eastAsia="Calibri" w:hAnsi="Calibri"/>
          <w:b/>
          <w:bCs/>
          <w:color w:val="0B1F3A"/>
          <w:sz w:val="21"/>
          <w:szCs w:val="21"/>
        </w:rPr>
        <w:t xml:space="preserve">Documentation — </w:t>
      </w:r>
      <w:r>
        <w:rPr>
          <w:rFonts w:ascii="Calibri" w:cs="Calibri" w:eastAsia="Calibri" w:hAnsi="Calibri"/>
          <w:color w:val="1A1A1A"/>
          <w:sz w:val="21"/>
          <w:szCs w:val="21"/>
        </w:rPr>
        <w:t xml:space="preserve">delivery notes, warranty cards, commissioning certificates, service reports and disposal certificates are issued as standard and retained on file.</w:t>
      </w:r>
    </w:p>
    <w:p>
      <w:pPr>
        <w:pStyle w:val="Heading1"/>
        <w:pBdr>
          <w:bottom w:val="single" w:color="0F8A80" w:sz="12" w:space="6"/>
        </w:pBdr>
        <w:spacing w:after="160" w:before="320"/>
      </w:pPr>
      <w:r>
        <w:rPr>
          <w:rFonts w:ascii="Calibri" w:cs="Calibri" w:eastAsia="Calibri" w:hAnsi="Calibri"/>
          <w:b/>
          <w:bCs/>
          <w:color w:val="0B1F3A"/>
          <w:sz w:val="28"/>
          <w:szCs w:val="28"/>
        </w:rPr>
        <w:t xml:space="preserve">9.  Delivery, Lead Times and Order Handling</w:t>
      </w:r>
    </w:p>
    <w:tbl>
      <w:tblPr>
        <w:tblW w:type="dxa" w:w="9746"/>
        <w:tblBorders>
          <w:top w:val="single" w:color="C9D3DD" w:sz="4"/>
          <w:left w:val="single" w:color="C9D3DD" w:sz="4"/>
          <w:bottom w:val="single" w:color="C9D3DD" w:sz="4"/>
          <w:right w:val="single" w:color="C9D3DD" w:sz="4"/>
          <w:insideH w:val="single" w:color="C9D3DD" w:sz="4"/>
          <w:insideV w:val="single" w:color="C9D3DD" w:sz="4"/>
        </w:tblBorders>
      </w:tblPr>
      <w:tblGrid>
        <w:gridCol w:w="3400"/>
        <w:gridCol w:w="6346"/>
      </w:tblGrid>
      <w:tr>
        <w:trPr>
          <w:tblHeader/>
        </w:trPr>
        <w:tc>
          <w:tcPr>
            <w:tcW w:type="dxa" w:w="3400"/>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Stage</w:t>
            </w:r>
          </w:p>
        </w:tc>
        <w:tc>
          <w:tcPr>
            <w:tcW w:type="dxa" w:w="6346"/>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Standard commitment</w:t>
            </w:r>
          </w:p>
        </w:tc>
      </w:tr>
      <w:tr>
        <w:trPr>
          <w:tblHeader w:val="false"/>
        </w:trPr>
        <w:tc>
          <w:tcPr>
            <w:tcW w:type="dxa" w:w="34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Quotation on request</w:t>
            </w:r>
          </w:p>
        </w:tc>
        <w:tc>
          <w:tcPr>
            <w:tcW w:type="dxa" w:w="63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Within 24 hours of enquiry</w:t>
            </w:r>
          </w:p>
        </w:tc>
      </w:tr>
      <w:tr>
        <w:trPr>
          <w:tblHeader w:val="false"/>
        </w:trPr>
        <w:tc>
          <w:tcPr>
            <w:tcW w:type="dxa" w:w="34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Order acknowledgement after LPO</w:t>
            </w:r>
          </w:p>
        </w:tc>
        <w:tc>
          <w:tcPr>
            <w:tcW w:type="dxa" w:w="63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Same working day</w:t>
            </w:r>
          </w:p>
        </w:tc>
      </w:tr>
      <w:tr>
        <w:trPr>
          <w:tblHeader w:val="false"/>
        </w:trPr>
        <w:tc>
          <w:tcPr>
            <w:tcW w:type="dxa" w:w="34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Delivery of stocked items — Nairobi</w:t>
            </w:r>
          </w:p>
        </w:tc>
        <w:tc>
          <w:tcPr>
            <w:tcW w:type="dxa" w:w="63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Within 24–48 hours of LPO</w:t>
            </w:r>
          </w:p>
        </w:tc>
      </w:tr>
      <w:tr>
        <w:trPr>
          <w:tblHeader w:val="false"/>
        </w:trPr>
        <w:tc>
          <w:tcPr>
            <w:tcW w:type="dxa" w:w="34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Delivery of stocked items — other counties</w:t>
            </w:r>
          </w:p>
        </w:tc>
        <w:tc>
          <w:tcPr>
            <w:tcW w:type="dxa" w:w="63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Within 3–5 working days of LPO</w:t>
            </w:r>
          </w:p>
        </w:tc>
      </w:tr>
      <w:tr>
        <w:trPr>
          <w:tblHeader w:val="false"/>
        </w:trPr>
        <w:tc>
          <w:tcPr>
            <w:tcW w:type="dxa" w:w="34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Items requiring importation or special order</w:t>
            </w:r>
          </w:p>
        </w:tc>
        <w:tc>
          <w:tcPr>
            <w:tcW w:type="dxa" w:w="63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Lead time confirmed in writing at quotation stage</w:t>
            </w:r>
          </w:p>
        </w:tc>
      </w:tr>
      <w:tr>
        <w:trPr>
          <w:tblHeader w:val="false"/>
        </w:trPr>
        <w:tc>
          <w:tcPr>
            <w:tcW w:type="dxa" w:w="34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Emergency / urgent institutional requirements</w:t>
            </w:r>
          </w:p>
        </w:tc>
        <w:tc>
          <w:tcPr>
            <w:tcW w:type="dxa" w:w="63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Same-day delivery within Nairobi where stock permits</w:t>
            </w:r>
          </w:p>
        </w:tc>
      </w:tr>
      <w:tr>
        <w:trPr>
          <w:tblHeader w:val="false"/>
        </w:trPr>
        <w:tc>
          <w:tcPr>
            <w:tcW w:type="dxa" w:w="34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Delivery documentation</w:t>
            </w:r>
          </w:p>
        </w:tc>
        <w:tc>
          <w:tcPr>
            <w:tcW w:type="dxa" w:w="63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Signed delivery note, serial-number schedule, warranty documents and invoice per delivery</w:t>
            </w:r>
          </w:p>
        </w:tc>
      </w:tr>
    </w:tbl>
    <w:p>
      <w:pPr>
        <w:spacing w:after="120"/>
      </w:pPr>
    </w:p>
    <w:p>
      <w:pPr>
        <w:spacing w:after="120" w:line="276"/>
      </w:pPr>
      <w:r>
        <w:rPr>
          <w:rFonts w:ascii="Calibri" w:cs="Calibri" w:eastAsia="Calibri" w:hAnsi="Calibri"/>
          <w:color w:val="1A1A1A"/>
          <w:sz w:val="21"/>
          <w:szCs w:val="21"/>
        </w:rPr>
        <w:t xml:space="preserve">Deliveries are made to the client's premises at our cost within Nairobi, and to upcountry stations as specified in the tender. Goods remain our responsibility until accepted and signed for by the client's authorised officer.</w:t>
      </w:r>
    </w:p>
    <w:p>
      <w:pPr>
        <w:pStyle w:val="Heading1"/>
        <w:pBdr>
          <w:bottom w:val="single" w:color="0F8A80" w:sz="12" w:space="6"/>
        </w:pBdr>
        <w:spacing w:after="160" w:before="320"/>
      </w:pPr>
      <w:r>
        <w:rPr>
          <w:rFonts w:ascii="Calibri" w:cs="Calibri" w:eastAsia="Calibri" w:hAnsi="Calibri"/>
          <w:b/>
          <w:bCs/>
          <w:color w:val="0B1F3A"/>
          <w:sz w:val="28"/>
          <w:szCs w:val="28"/>
        </w:rPr>
        <w:t xml:space="preserve">10.  Health, Safety and Environmental Responsibility</w:t>
      </w:r>
    </w:p>
    <w:p>
      <w:pPr>
        <w:pStyle w:val="ListParagraph"/>
        <w:numPr>
          <w:ilvl w:val="0"/>
          <w:numId w:val="2"/>
        </w:numPr>
        <w:spacing w:after="70" w:line="276"/>
      </w:pPr>
      <w:r>
        <w:rPr>
          <w:rFonts w:ascii="Calibri" w:cs="Calibri" w:eastAsia="Calibri" w:hAnsi="Calibri"/>
          <w:color w:val="1A1A1A"/>
          <w:sz w:val="21"/>
          <w:szCs w:val="21"/>
        </w:rPr>
        <w:t xml:space="preserve">Technicians observe safe working practice on client premises, including electrical safety when working on mains-powered equipment, and use appropriate protective equipment.</w:t>
      </w:r>
    </w:p>
    <w:p>
      <w:pPr>
        <w:pStyle w:val="ListParagraph"/>
        <w:numPr>
          <w:ilvl w:val="0"/>
          <w:numId w:val="2"/>
        </w:numPr>
        <w:spacing w:after="70" w:line="276"/>
      </w:pPr>
      <w:r>
        <w:rPr>
          <w:rFonts w:ascii="Calibri" w:cs="Calibri" w:eastAsia="Calibri" w:hAnsi="Calibri"/>
          <w:color w:val="1A1A1A"/>
          <w:sz w:val="21"/>
          <w:szCs w:val="21"/>
        </w:rPr>
        <w:t xml:space="preserve">Toner handling, spillage clean-up and cartridge changes follow manufacturer safety guidance to protect client staff and our own technicians.</w:t>
      </w:r>
    </w:p>
    <w:p>
      <w:pPr>
        <w:pStyle w:val="ListParagraph"/>
        <w:numPr>
          <w:ilvl w:val="0"/>
          <w:numId w:val="2"/>
        </w:numPr>
        <w:spacing w:after="70" w:line="276"/>
      </w:pPr>
      <w:r>
        <w:rPr>
          <w:rFonts w:ascii="Calibri" w:cs="Calibri" w:eastAsia="Calibri" w:hAnsi="Calibri"/>
          <w:color w:val="1A1A1A"/>
          <w:sz w:val="21"/>
          <w:szCs w:val="21"/>
        </w:rPr>
        <w:t xml:space="preserve">Used cartridges, drums and replaced parts are collected from the client and channelled to licensed e-waste handlers rather than to general waste.</w:t>
      </w:r>
    </w:p>
    <w:p>
      <w:pPr>
        <w:pStyle w:val="ListParagraph"/>
        <w:numPr>
          <w:ilvl w:val="0"/>
          <w:numId w:val="2"/>
        </w:numPr>
        <w:spacing w:after="70" w:line="276"/>
      </w:pPr>
      <w:r>
        <w:rPr>
          <w:rFonts w:ascii="Calibri" w:cs="Calibri" w:eastAsia="Calibri" w:hAnsi="Calibri"/>
          <w:color w:val="1A1A1A"/>
          <w:sz w:val="21"/>
          <w:szCs w:val="21"/>
        </w:rPr>
        <w:t xml:space="preserve">End-of-life equipment is disposed of in line with Kenyan environmental requirements, with disposal certificates issued to support the client's asset write-off records.</w:t>
      </w:r>
    </w:p>
    <w:p>
      <w:pPr>
        <w:pStyle w:val="ListParagraph"/>
        <w:numPr>
          <w:ilvl w:val="0"/>
          <w:numId w:val="2"/>
        </w:numPr>
        <w:spacing w:after="70" w:line="276"/>
      </w:pPr>
      <w:r>
        <w:rPr>
          <w:rFonts w:ascii="Calibri" w:cs="Calibri" w:eastAsia="Calibri" w:hAnsi="Calibri"/>
          <w:color w:val="1A1A1A"/>
          <w:sz w:val="21"/>
          <w:szCs w:val="21"/>
        </w:rPr>
        <w:t xml:space="preserve">We promote duplex printing, device consolidation and print-volume monitoring as practical ways for institutions to reduce paper consumption and cost.</w:t>
      </w:r>
    </w:p>
    <w:p>
      <w:pPr>
        <w:pStyle w:val="Heading1"/>
        <w:pBdr>
          <w:bottom w:val="single" w:color="0F8A80" w:sz="12" w:space="6"/>
        </w:pBdr>
        <w:spacing w:after="160" w:before="320"/>
      </w:pPr>
      <w:r>
        <w:rPr>
          <w:rFonts w:ascii="Calibri" w:cs="Calibri" w:eastAsia="Calibri" w:hAnsi="Calibri"/>
          <w:b/>
          <w:bCs/>
          <w:color w:val="0B1F3A"/>
          <w:sz w:val="28"/>
          <w:szCs w:val="28"/>
        </w:rPr>
        <w:t xml:space="preserve">11.  Organisation and Key Personnel</w:t>
      </w:r>
    </w:p>
    <w:p>
      <w:pPr>
        <w:spacing w:after="120" w:line="276"/>
      </w:pPr>
      <w:r>
        <w:rPr>
          <w:rFonts w:ascii="Calibri" w:cs="Calibri" w:eastAsia="Calibri" w:hAnsi="Calibri"/>
          <w:color w:val="1A1A1A"/>
          <w:sz w:val="21"/>
          <w:szCs w:val="21"/>
        </w:rPr>
        <w:t xml:space="preserve">The company operates through a lean structure that keeps decision-making close to the client. Personnel details below should be completed with the actual names, qualifications and experience of the team, and supported by curricula vitae and copies of certificates where a tender requires them.</w:t>
      </w:r>
    </w:p>
    <w:p>
      <w:pPr>
        <w:spacing w:after="120"/>
      </w:pPr>
    </w:p>
    <w:tbl>
      <w:tblPr>
        <w:tblW w:type="dxa" w:w="9746"/>
        <w:tblBorders>
          <w:top w:val="single" w:color="C9D3DD" w:sz="4"/>
          <w:left w:val="single" w:color="C9D3DD" w:sz="4"/>
          <w:bottom w:val="single" w:color="C9D3DD" w:sz="4"/>
          <w:right w:val="single" w:color="C9D3DD" w:sz="4"/>
          <w:insideH w:val="single" w:color="C9D3DD" w:sz="4"/>
          <w:insideV w:val="single" w:color="C9D3DD" w:sz="4"/>
        </w:tblBorders>
      </w:tblPr>
      <w:tblGrid>
        <w:gridCol w:w="2600"/>
        <w:gridCol w:w="2600"/>
        <w:gridCol w:w="4546"/>
      </w:tblGrid>
      <w:tr>
        <w:trPr>
          <w:tblHeader/>
        </w:trPr>
        <w:tc>
          <w:tcPr>
            <w:tcW w:type="dxa" w:w="2600"/>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Position</w:t>
            </w:r>
          </w:p>
        </w:tc>
        <w:tc>
          <w:tcPr>
            <w:tcW w:type="dxa" w:w="2600"/>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Name</w:t>
            </w:r>
          </w:p>
        </w:tc>
        <w:tc>
          <w:tcPr>
            <w:tcW w:type="dxa" w:w="4546"/>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Qualification / experience</w:t>
            </w:r>
          </w:p>
        </w:tc>
      </w:tr>
      <w:tr>
        <w:trPr>
          <w:tblHeader w:val="false"/>
        </w:trPr>
        <w:tc>
          <w:tcPr>
            <w:tcW w:type="dxa" w:w="26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Managing Director</w:t>
            </w:r>
          </w:p>
        </w:tc>
        <w:tc>
          <w:tcPr>
            <w:tcW w:type="dxa" w:w="26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45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r>
      <w:tr>
        <w:trPr>
          <w:tblHeader w:val="false"/>
        </w:trPr>
        <w:tc>
          <w:tcPr>
            <w:tcW w:type="dxa" w:w="26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Sales &amp; Business Development</w:t>
            </w:r>
          </w:p>
        </w:tc>
        <w:tc>
          <w:tcPr>
            <w:tcW w:type="dxa" w:w="26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45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r>
      <w:tr>
        <w:trPr>
          <w:tblHeader w:val="false"/>
        </w:trPr>
        <w:tc>
          <w:tcPr>
            <w:tcW w:type="dxa" w:w="26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Technical Services Manager</w:t>
            </w:r>
          </w:p>
        </w:tc>
        <w:tc>
          <w:tcPr>
            <w:tcW w:type="dxa" w:w="26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45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r>
      <w:tr>
        <w:trPr>
          <w:tblHeader w:val="false"/>
        </w:trPr>
        <w:tc>
          <w:tcPr>
            <w:tcW w:type="dxa" w:w="26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Field Service Technicians</w:t>
            </w:r>
          </w:p>
        </w:tc>
        <w:tc>
          <w:tcPr>
            <w:tcW w:type="dxa" w:w="26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45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r>
      <w:tr>
        <w:trPr>
          <w:tblHeader w:val="false"/>
        </w:trPr>
        <w:tc>
          <w:tcPr>
            <w:tcW w:type="dxa" w:w="26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Stores &amp; Logistics</w:t>
            </w:r>
          </w:p>
        </w:tc>
        <w:tc>
          <w:tcPr>
            <w:tcW w:type="dxa" w:w="26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45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r>
      <w:tr>
        <w:trPr>
          <w:tblHeader w:val="false"/>
        </w:trPr>
        <w:tc>
          <w:tcPr>
            <w:tcW w:type="dxa" w:w="26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Finance &amp; Administration</w:t>
            </w:r>
          </w:p>
        </w:tc>
        <w:tc>
          <w:tcPr>
            <w:tcW w:type="dxa" w:w="26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45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r>
    </w:tbl>
    <w:p>
      <w:pPr>
        <w:pStyle w:val="Heading1"/>
        <w:pBdr>
          <w:bottom w:val="single" w:color="0F8A80" w:sz="12" w:space="6"/>
        </w:pBdr>
        <w:spacing w:after="160" w:before="320"/>
      </w:pPr>
      <w:r>
        <w:rPr>
          <w:rFonts w:ascii="Calibri" w:cs="Calibri" w:eastAsia="Calibri" w:hAnsi="Calibri"/>
          <w:b/>
          <w:bCs/>
          <w:color w:val="0B1F3A"/>
          <w:sz w:val="28"/>
          <w:szCs w:val="28"/>
        </w:rPr>
        <w:t xml:space="preserve">12.  Experience and Reference Clients</w:t>
      </w:r>
    </w:p>
    <w:p>
      <w:pPr>
        <w:spacing w:after="120" w:line="276"/>
      </w:pPr>
      <w:r>
        <w:rPr>
          <w:rFonts w:ascii="Calibri" w:cs="Calibri" w:eastAsia="Calibri" w:hAnsi="Calibri"/>
          <w:color w:val="1A1A1A"/>
          <w:sz w:val="21"/>
          <w:szCs w:val="21"/>
        </w:rPr>
        <w:t xml:space="preserve">The table below should be completed with contracts actually executed by the company. Procuring entities routinely verify referees by telephone, so list only engagements that can be confirmed, and attach copies of the relevant LPOs, contracts or completion certificates.</w:t>
      </w:r>
    </w:p>
    <w:p>
      <w:pPr>
        <w:spacing w:after="120"/>
      </w:pPr>
    </w:p>
    <w:tbl>
      <w:tblPr>
        <w:tblW w:type="dxa" w:w="9746"/>
        <w:tblBorders>
          <w:top w:val="single" w:color="C9D3DD" w:sz="4"/>
          <w:left w:val="single" w:color="C9D3DD" w:sz="4"/>
          <w:bottom w:val="single" w:color="C9D3DD" w:sz="4"/>
          <w:right w:val="single" w:color="C9D3DD" w:sz="4"/>
          <w:insideH w:val="single" w:color="C9D3DD" w:sz="4"/>
          <w:insideV w:val="single" w:color="C9D3DD" w:sz="4"/>
        </w:tblBorders>
      </w:tblPr>
      <w:tblGrid>
        <w:gridCol w:w="2800"/>
        <w:gridCol w:w="2400"/>
        <w:gridCol w:w="1600"/>
        <w:gridCol w:w="2946"/>
      </w:tblGrid>
      <w:tr>
        <w:trPr>
          <w:tblHeader/>
        </w:trPr>
        <w:tc>
          <w:tcPr>
            <w:tcW w:type="dxa" w:w="2800"/>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Client / procuring entity</w:t>
            </w:r>
          </w:p>
        </w:tc>
        <w:tc>
          <w:tcPr>
            <w:tcW w:type="dxa" w:w="2400"/>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Scope of supply or service</w:t>
            </w:r>
          </w:p>
        </w:tc>
        <w:tc>
          <w:tcPr>
            <w:tcW w:type="dxa" w:w="1600"/>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Value (KES)</w:t>
            </w:r>
          </w:p>
        </w:tc>
        <w:tc>
          <w:tcPr>
            <w:tcW w:type="dxa" w:w="2946"/>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Contact person &amp; telephone</w:t>
            </w:r>
          </w:p>
        </w:tc>
      </w:tr>
      <w:tr>
        <w:trPr>
          <w:tblHeader w:val="false"/>
        </w:trPr>
        <w:tc>
          <w:tcPr>
            <w:tcW w:type="dxa" w:w="28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24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16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29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r>
      <w:tr>
        <w:trPr>
          <w:tblHeader w:val="false"/>
        </w:trPr>
        <w:tc>
          <w:tcPr>
            <w:tcW w:type="dxa" w:w="28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24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16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29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r>
      <w:tr>
        <w:trPr>
          <w:tblHeader w:val="false"/>
        </w:trPr>
        <w:tc>
          <w:tcPr>
            <w:tcW w:type="dxa" w:w="28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24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16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29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r>
      <w:tr>
        <w:trPr>
          <w:tblHeader w:val="false"/>
        </w:trPr>
        <w:tc>
          <w:tcPr>
            <w:tcW w:type="dxa" w:w="28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24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16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29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r>
      <w:tr>
        <w:trPr>
          <w:tblHeader w:val="false"/>
        </w:trPr>
        <w:tc>
          <w:tcPr>
            <w:tcW w:type="dxa" w:w="28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24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16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c>
          <w:tcPr>
            <w:tcW w:type="dxa" w:w="29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  to be completed  ]</w:t>
            </w:r>
          </w:p>
        </w:tc>
      </w:tr>
    </w:tbl>
    <w:p>
      <w:pPr>
        <w:spacing w:after="120"/>
      </w:pPr>
    </w:p>
    <w:p>
      <w:pPr>
        <w:spacing w:after="120" w:line="276"/>
      </w:pPr>
      <w:r>
        <w:rPr>
          <w:rFonts w:ascii="Calibri" w:cs="Calibri" w:eastAsia="Calibri" w:hAnsi="Calibri"/>
          <w:color w:val="1A1A1A"/>
          <w:sz w:val="21"/>
          <w:szCs w:val="21"/>
        </w:rPr>
        <w:t xml:space="preserve">Sectors served: national and county government, state corporations, schools, colleges and universities, hospitals and clinics, banks and SACCOs, NGOs and development agencies, hotels, retail and logistics operators, and small and medium enterprises.</w:t>
      </w:r>
    </w:p>
    <w:p>
      <w:pPr>
        <w:pStyle w:val="Heading1"/>
        <w:pBdr>
          <w:bottom w:val="single" w:color="0F8A80" w:sz="12" w:space="6"/>
        </w:pBdr>
        <w:spacing w:after="160" w:before="320"/>
      </w:pPr>
      <w:r>
        <w:rPr>
          <w:rFonts w:ascii="Calibri" w:cs="Calibri" w:eastAsia="Calibri" w:hAnsi="Calibri"/>
          <w:b/>
          <w:bCs/>
          <w:color w:val="0B1F3A"/>
          <w:sz w:val="28"/>
          <w:szCs w:val="28"/>
        </w:rPr>
        <w:t xml:space="preserve">13.  Why Award Ceter Technologies Limited</w:t>
      </w:r>
    </w:p>
    <w:tbl>
      <w:tblPr>
        <w:tblW w:type="dxa" w:w="9746"/>
        <w:tblBorders>
          <w:top w:val="single" w:color="C9D3DD" w:sz="4"/>
          <w:left w:val="single" w:color="C9D3DD" w:sz="4"/>
          <w:bottom w:val="single" w:color="C9D3DD" w:sz="4"/>
          <w:right w:val="single" w:color="C9D3DD" w:sz="4"/>
          <w:insideH w:val="single" w:color="C9D3DD" w:sz="4"/>
          <w:insideV w:val="single" w:color="C9D3DD" w:sz="4"/>
        </w:tblBorders>
      </w:tblPr>
      <w:tblGrid>
        <w:gridCol w:w="2900"/>
        <w:gridCol w:w="6846"/>
      </w:tblGrid>
      <w:tr>
        <w:trPr>
          <w:tblHeader/>
        </w:trPr>
        <w:tc>
          <w:tcPr>
            <w:tcW w:type="dxa" w:w="2900"/>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Evaluation concern</w:t>
            </w:r>
          </w:p>
        </w:tc>
        <w:tc>
          <w:tcPr>
            <w:tcW w:type="dxa" w:w="6846"/>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Our response</w:t>
            </w:r>
          </w:p>
        </w:tc>
      </w:tr>
      <w:tr>
        <w:trPr>
          <w:tblHeader w:val="false"/>
        </w:trPr>
        <w:tc>
          <w:tcPr>
            <w:tcW w:type="dxa" w:w="29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Will the goods be genuine?</w:t>
            </w:r>
          </w:p>
        </w:tc>
        <w:tc>
          <w:tcPr>
            <w:tcW w:type="dxa" w:w="68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Direct manufacturer and authorised-distributor sourcing, serial-number recorded deliveries, and full manufacturer warranty documentation on every unit.</w:t>
            </w:r>
          </w:p>
        </w:tc>
      </w:tr>
      <w:tr>
        <w:trPr>
          <w:tblHeader w:val="false"/>
        </w:trPr>
        <w:tc>
          <w:tcPr>
            <w:tcW w:type="dxa" w:w="29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Will delivery be on time?</w:t>
            </w:r>
          </w:p>
        </w:tc>
        <w:tc>
          <w:tcPr>
            <w:tcW w:type="dxa" w:w="68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Stocked fast-moving items, written lead times confirmed at quotation stage, and 24–48 hour delivery within Nairobi for stocked goods.</w:t>
            </w:r>
          </w:p>
        </w:tc>
      </w:tr>
      <w:tr>
        <w:trPr>
          <w:tblHeader w:val="false"/>
        </w:trPr>
        <w:tc>
          <w:tcPr>
            <w:tcW w:type="dxa" w:w="29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What happens when the machine breaks down?</w:t>
            </w:r>
          </w:p>
        </w:tc>
        <w:tc>
          <w:tcPr>
            <w:tcW w:type="dxa" w:w="68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Defined service levels with a one-hour acknowledgement and same-day on-site response in Nairobi, workshop backup, and loan units for contracted critical devices.</w:t>
            </w:r>
          </w:p>
        </w:tc>
      </w:tr>
      <w:tr>
        <w:trPr>
          <w:tblHeader w:val="false"/>
        </w:trPr>
        <w:tc>
          <w:tcPr>
            <w:tcW w:type="dxa" w:w="29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Will consumables be available all year?</w:t>
            </w:r>
          </w:p>
        </w:tc>
        <w:tc>
          <w:tcPr>
            <w:tcW w:type="dxa" w:w="68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Framework consumables contracts with buffer stock held for the client's specific device models, plus low-stock alerting on our own inventory system.</w:t>
            </w:r>
          </w:p>
        </w:tc>
      </w:tr>
      <w:tr>
        <w:trPr>
          <w:tblHeader w:val="false"/>
        </w:trPr>
        <w:tc>
          <w:tcPr>
            <w:tcW w:type="dxa" w:w="29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Is the pricing defensible?</w:t>
            </w:r>
          </w:p>
        </w:tc>
        <w:tc>
          <w:tcPr>
            <w:tcW w:type="dxa" w:w="68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Published catalogue pricing in Kenya Shillings and itemised quotations, giving the procuring entity a clear audit trail on value for money.</w:t>
            </w:r>
          </w:p>
        </w:tc>
      </w:tr>
      <w:tr>
        <w:trPr>
          <w:tblHeader w:val="false"/>
        </w:trPr>
        <w:tc>
          <w:tcPr>
            <w:tcW w:type="dxa" w:w="29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Can records be produced for audit?</w:t>
            </w:r>
          </w:p>
        </w:tc>
        <w:tc>
          <w:tcPr>
            <w:tcW w:type="dxa" w:w="68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Every quotation, order, delivery and service call is recorded on our platform and retrievable on request.</w:t>
            </w:r>
          </w:p>
        </w:tc>
      </w:tr>
      <w:tr>
        <w:trPr>
          <w:tblHeader w:val="false"/>
        </w:trPr>
        <w:tc>
          <w:tcPr>
            <w:tcW w:type="dxa" w:w="29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Is the supplier easy to deal with?</w:t>
            </w:r>
          </w:p>
        </w:tc>
        <w:tc>
          <w:tcPr>
            <w:tcW w:type="dxa" w:w="68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A single named account contact, reachable by phone, WhatsApp and email, with online ordering available to the client's procurement staff.</w:t>
            </w:r>
          </w:p>
        </w:tc>
      </w:tr>
    </w:tbl>
    <w:p>
      <w:pPr>
        <w:pStyle w:val="Heading1"/>
        <w:pBdr>
          <w:bottom w:val="single" w:color="0F8A80" w:sz="12" w:space="6"/>
        </w:pBdr>
        <w:spacing w:after="160" w:before="320"/>
      </w:pPr>
      <w:r>
        <w:rPr>
          <w:rFonts w:ascii="Calibri" w:cs="Calibri" w:eastAsia="Calibri" w:hAnsi="Calibri"/>
          <w:b/>
          <w:bCs/>
          <w:color w:val="0B1F3A"/>
          <w:sz w:val="28"/>
          <w:szCs w:val="28"/>
        </w:rPr>
        <w:t xml:space="preserve">14.  Commercial Terms</w:t>
      </w:r>
    </w:p>
    <w:tbl>
      <w:tblPr>
        <w:tblW w:type="dxa" w:w="9746"/>
        <w:tblBorders>
          <w:top w:val="single" w:color="C9D3DD" w:sz="4"/>
          <w:left w:val="single" w:color="C9D3DD" w:sz="4"/>
          <w:bottom w:val="single" w:color="C9D3DD" w:sz="4"/>
          <w:right w:val="single" w:color="C9D3DD" w:sz="4"/>
          <w:insideH w:val="single" w:color="C9D3DD" w:sz="4"/>
          <w:insideV w:val="single" w:color="C9D3DD" w:sz="4"/>
        </w:tblBorders>
      </w:tblPr>
      <w:tblGrid>
        <w:gridCol w:w="3000"/>
        <w:gridCol w:w="6746"/>
      </w:tblGrid>
      <w:tr>
        <w:trPr>
          <w:tblHeader/>
        </w:trPr>
        <w:tc>
          <w:tcPr>
            <w:tcW w:type="dxa" w:w="3000"/>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Term</w:t>
            </w:r>
          </w:p>
        </w:tc>
        <w:tc>
          <w:tcPr>
            <w:tcW w:type="dxa" w:w="6746"/>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Standard position</w:t>
            </w:r>
          </w:p>
        </w:tc>
      </w:tr>
      <w:tr>
        <w:trPr>
          <w:tblHeader w:val="false"/>
        </w:trPr>
        <w:tc>
          <w:tcPr>
            <w:tcW w:type="dxa" w:w="30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Currency</w:t>
            </w:r>
          </w:p>
        </w:tc>
        <w:tc>
          <w:tcPr>
            <w:tcW w:type="dxa" w:w="67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Kenya Shillings (KES)</w:t>
            </w:r>
          </w:p>
        </w:tc>
      </w:tr>
      <w:tr>
        <w:trPr>
          <w:tblHeader w:val="false"/>
        </w:trPr>
        <w:tc>
          <w:tcPr>
            <w:tcW w:type="dxa" w:w="30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Quotation validity</w:t>
            </w:r>
          </w:p>
        </w:tc>
        <w:tc>
          <w:tcPr>
            <w:tcW w:type="dxa" w:w="67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30 days from date of quotation, or as specified in the tender document</w:t>
            </w:r>
          </w:p>
        </w:tc>
      </w:tr>
      <w:tr>
        <w:trPr>
          <w:tblHeader w:val="false"/>
        </w:trPr>
        <w:tc>
          <w:tcPr>
            <w:tcW w:type="dxa" w:w="30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Prices</w:t>
            </w:r>
          </w:p>
        </w:tc>
        <w:tc>
          <w:tcPr>
            <w:tcW w:type="dxa" w:w="67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Inclusive of delivery within Nairobi; VAT indicated separately on all quotations and invoices</w:t>
            </w:r>
          </w:p>
        </w:tc>
      </w:tr>
      <w:tr>
        <w:trPr>
          <w:tblHeader w:val="false"/>
        </w:trPr>
        <w:tc>
          <w:tcPr>
            <w:tcW w:type="dxa" w:w="30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Payment terms</w:t>
            </w:r>
          </w:p>
        </w:tc>
        <w:tc>
          <w:tcPr>
            <w:tcW w:type="dxa" w:w="67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As specified in the tender or contract; standard institutional terms of 30 days from invoice and certification of delivery are accepted</w:t>
            </w:r>
          </w:p>
        </w:tc>
      </w:tr>
      <w:tr>
        <w:trPr>
          <w:tblHeader w:val="false"/>
        </w:trPr>
        <w:tc>
          <w:tcPr>
            <w:tcW w:type="dxa" w:w="30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Payment channels</w:t>
            </w:r>
          </w:p>
        </w:tc>
        <w:tc>
          <w:tcPr>
            <w:tcW w:type="dxa" w:w="67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Bank transfer (RTGS / EFT), cheque and M-Pesa</w:t>
            </w:r>
          </w:p>
        </w:tc>
      </w:tr>
      <w:tr>
        <w:trPr>
          <w:tblHeader w:val="false"/>
        </w:trPr>
        <w:tc>
          <w:tcPr>
            <w:tcW w:type="dxa" w:w="3000"/>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Warranty</w:t>
            </w:r>
          </w:p>
        </w:tc>
        <w:tc>
          <w:tcPr>
            <w:tcW w:type="dxa" w:w="6746"/>
            <w:shd w:fill="EEF3F7" w:color="auto" w:val="clear"/>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Twelve (12) months manufacturer warranty on equipment unless otherwise stated; consumables warranted against manufacturing defects</w:t>
            </w:r>
          </w:p>
        </w:tc>
      </w:tr>
      <w:tr>
        <w:trPr>
          <w:tblHeader w:val="false"/>
        </w:trPr>
        <w:tc>
          <w:tcPr>
            <w:tcW w:type="dxa" w:w="3000"/>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Performance security</w:t>
            </w:r>
          </w:p>
        </w:tc>
        <w:tc>
          <w:tcPr>
            <w:tcW w:type="dxa" w:w="6746"/>
            <w:tcMar>
              <w:top w:type="dxa" w:w="80"/>
              <w:left w:type="dxa" w:w="120"/>
              <w:bottom w:type="dxa" w:w="80"/>
              <w:right w:type="dxa" w:w="120"/>
            </w:tcMar>
            <w:vAlign w:val="center"/>
          </w:tcPr>
          <w:p>
            <w:pPr>
              <w:spacing w:after="0" w:line="264"/>
            </w:pPr>
            <w:r>
              <w:rPr>
                <w:rFonts w:ascii="Calibri" w:cs="Calibri" w:eastAsia="Calibri" w:hAnsi="Calibri"/>
                <w:color w:val="1A1A1A"/>
                <w:sz w:val="20"/>
                <w:szCs w:val="20"/>
              </w:rPr>
              <w:t xml:space="preserve">Provided where required by the tender, in the form and amount specified</w:t>
            </w:r>
          </w:p>
        </w:tc>
      </w:tr>
    </w:tbl>
    <w:p>
      <w:pPr>
        <w:pStyle w:val="Heading1"/>
        <w:pBdr>
          <w:bottom w:val="single" w:color="0F8A80" w:sz="12" w:space="6"/>
        </w:pBdr>
        <w:spacing w:after="160" w:before="320"/>
      </w:pPr>
      <w:r>
        <w:rPr>
          <w:rFonts w:ascii="Calibri" w:cs="Calibri" w:eastAsia="Calibri" w:hAnsi="Calibri"/>
          <w:b/>
          <w:bCs/>
          <w:color w:val="0B1F3A"/>
          <w:sz w:val="28"/>
          <w:szCs w:val="28"/>
        </w:rPr>
        <w:t xml:space="preserve">15.  Statutory Compliance and Tender Documentation</w:t>
      </w:r>
    </w:p>
    <w:p>
      <w:pPr>
        <w:spacing w:after="120" w:line="276"/>
      </w:pPr>
      <w:r>
        <w:rPr>
          <w:rFonts w:ascii="Calibri" w:cs="Calibri" w:eastAsia="Calibri" w:hAnsi="Calibri"/>
          <w:color w:val="1A1A1A"/>
          <w:sz w:val="21"/>
          <w:szCs w:val="21"/>
        </w:rPr>
        <w:t xml:space="preserve">The following documents are held by the company and attached to tender submissions as required. Tick and attach in the order requested by the procuring entity.</w:t>
      </w:r>
    </w:p>
    <w:p>
      <w:pPr>
        <w:spacing w:after="120"/>
      </w:pPr>
    </w:p>
    <w:tbl>
      <w:tblPr>
        <w:tblW w:type="dxa" w:w="9746"/>
        <w:tblBorders>
          <w:top w:val="single" w:color="C9D3DD" w:sz="4"/>
          <w:left w:val="single" w:color="C9D3DD" w:sz="4"/>
          <w:bottom w:val="single" w:color="C9D3DD" w:sz="4"/>
          <w:right w:val="single" w:color="C9D3DD" w:sz="4"/>
          <w:insideH w:val="single" w:color="C9D3DD" w:sz="4"/>
          <w:insideV w:val="single" w:color="C9D3DD" w:sz="4"/>
        </w:tblBorders>
      </w:tblPr>
      <w:tblGrid>
        <w:gridCol w:w="700"/>
        <w:gridCol w:w="5400"/>
        <w:gridCol w:w="3646"/>
      </w:tblGrid>
      <w:tr>
        <w:trPr>
          <w:tblHeader/>
        </w:trPr>
        <w:tc>
          <w:tcPr>
            <w:tcW w:type="dxa" w:w="700"/>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w:t>
            </w:r>
          </w:p>
        </w:tc>
        <w:tc>
          <w:tcPr>
            <w:tcW w:type="dxa" w:w="5400"/>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Document</w:t>
            </w:r>
          </w:p>
        </w:tc>
        <w:tc>
          <w:tcPr>
            <w:tcW w:type="dxa" w:w="3646"/>
            <w:shd w:fill="0B1F3A" w:color="auto"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0"/>
                <w:szCs w:val="20"/>
              </w:rPr>
              <w:t xml:space="preserve">Status</w:t>
            </w:r>
          </w:p>
        </w:tc>
      </w:tr>
      <w:tr>
        <w:trPr>
          <w:tblHeader w:val="false"/>
        </w:trPr>
        <w:tc>
          <w:tcPr>
            <w:tcW w:type="dxa" w:w="700"/>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1</w:t>
            </w:r>
          </w:p>
        </w:tc>
        <w:tc>
          <w:tcPr>
            <w:tcW w:type="dxa" w:w="5400"/>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Certificate of Incorporation</w:t>
            </w:r>
          </w:p>
        </w:tc>
        <w:tc>
          <w:tcPr>
            <w:tcW w:type="dxa" w:w="36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Attached — certified copy</w:t>
            </w:r>
          </w:p>
        </w:tc>
      </w:tr>
      <w:tr>
        <w:trPr>
          <w:tblHeader w:val="false"/>
        </w:trPr>
        <w:tc>
          <w:tcPr>
            <w:tcW w:type="dxa" w:w="700"/>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2</w:t>
            </w:r>
          </w:p>
        </w:tc>
        <w:tc>
          <w:tcPr>
            <w:tcW w:type="dxa" w:w="5400"/>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CR12 from the Registrar of Companies</w:t>
            </w:r>
          </w:p>
        </w:tc>
        <w:tc>
          <w:tcPr>
            <w:tcW w:type="dxa" w:w="36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Attached — issued within the last 12 months</w:t>
            </w:r>
          </w:p>
        </w:tc>
      </w:tr>
      <w:tr>
        <w:trPr>
          <w:tblHeader w:val="false"/>
        </w:trPr>
        <w:tc>
          <w:tcPr>
            <w:tcW w:type="dxa" w:w="700"/>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3</w:t>
            </w:r>
          </w:p>
        </w:tc>
        <w:tc>
          <w:tcPr>
            <w:tcW w:type="dxa" w:w="5400"/>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KRA PIN Certificate</w:t>
            </w:r>
          </w:p>
        </w:tc>
        <w:tc>
          <w:tcPr>
            <w:tcW w:type="dxa" w:w="36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Attached</w:t>
            </w:r>
          </w:p>
        </w:tc>
      </w:tr>
      <w:tr>
        <w:trPr>
          <w:tblHeader w:val="false"/>
        </w:trPr>
        <w:tc>
          <w:tcPr>
            <w:tcW w:type="dxa" w:w="700"/>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4</w:t>
            </w:r>
          </w:p>
        </w:tc>
        <w:tc>
          <w:tcPr>
            <w:tcW w:type="dxa" w:w="5400"/>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Valid Tax Compliance Certificate</w:t>
            </w:r>
          </w:p>
        </w:tc>
        <w:tc>
          <w:tcPr>
            <w:tcW w:type="dxa" w:w="36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Attached</w:t>
            </w:r>
          </w:p>
        </w:tc>
      </w:tr>
      <w:tr>
        <w:trPr>
          <w:tblHeader w:val="false"/>
        </w:trPr>
        <w:tc>
          <w:tcPr>
            <w:tcW w:type="dxa" w:w="700"/>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5</w:t>
            </w:r>
          </w:p>
        </w:tc>
        <w:tc>
          <w:tcPr>
            <w:tcW w:type="dxa" w:w="5400"/>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VAT Registration Certificate</w:t>
            </w:r>
          </w:p>
        </w:tc>
        <w:tc>
          <w:tcPr>
            <w:tcW w:type="dxa" w:w="36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Attached where applicable</w:t>
            </w:r>
          </w:p>
        </w:tc>
      </w:tr>
      <w:tr>
        <w:trPr>
          <w:tblHeader w:val="false"/>
        </w:trPr>
        <w:tc>
          <w:tcPr>
            <w:tcW w:type="dxa" w:w="700"/>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6</w:t>
            </w:r>
          </w:p>
        </w:tc>
        <w:tc>
          <w:tcPr>
            <w:tcW w:type="dxa" w:w="5400"/>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Single Business Permit (current year)</w:t>
            </w:r>
          </w:p>
        </w:tc>
        <w:tc>
          <w:tcPr>
            <w:tcW w:type="dxa" w:w="36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Attached</w:t>
            </w:r>
          </w:p>
        </w:tc>
      </w:tr>
      <w:tr>
        <w:trPr>
          <w:tblHeader w:val="false"/>
        </w:trPr>
        <w:tc>
          <w:tcPr>
            <w:tcW w:type="dxa" w:w="700"/>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7</w:t>
            </w:r>
          </w:p>
        </w:tc>
        <w:tc>
          <w:tcPr>
            <w:tcW w:type="dxa" w:w="5400"/>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Company profile (this document)</w:t>
            </w:r>
          </w:p>
        </w:tc>
        <w:tc>
          <w:tcPr>
            <w:tcW w:type="dxa" w:w="36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Attached</w:t>
            </w:r>
          </w:p>
        </w:tc>
      </w:tr>
      <w:tr>
        <w:trPr>
          <w:tblHeader w:val="false"/>
        </w:trPr>
        <w:tc>
          <w:tcPr>
            <w:tcW w:type="dxa" w:w="700"/>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8</w:t>
            </w:r>
          </w:p>
        </w:tc>
        <w:tc>
          <w:tcPr>
            <w:tcW w:type="dxa" w:w="5400"/>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Audited accounts / bank statements</w:t>
            </w:r>
          </w:p>
        </w:tc>
        <w:tc>
          <w:tcPr>
            <w:tcW w:type="dxa" w:w="36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Attached as specified in the tender</w:t>
            </w:r>
          </w:p>
        </w:tc>
      </w:tr>
      <w:tr>
        <w:trPr>
          <w:tblHeader w:val="false"/>
        </w:trPr>
        <w:tc>
          <w:tcPr>
            <w:tcW w:type="dxa" w:w="700"/>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9</w:t>
            </w:r>
          </w:p>
        </w:tc>
        <w:tc>
          <w:tcPr>
            <w:tcW w:type="dxa" w:w="5400"/>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Bank reference letter</w:t>
            </w:r>
          </w:p>
        </w:tc>
        <w:tc>
          <w:tcPr>
            <w:tcW w:type="dxa" w:w="36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Available on request</w:t>
            </w:r>
          </w:p>
        </w:tc>
      </w:tr>
      <w:tr>
        <w:trPr>
          <w:tblHeader w:val="false"/>
        </w:trPr>
        <w:tc>
          <w:tcPr>
            <w:tcW w:type="dxa" w:w="700"/>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10</w:t>
            </w:r>
          </w:p>
        </w:tc>
        <w:tc>
          <w:tcPr>
            <w:tcW w:type="dxa" w:w="5400"/>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AGPO certificate</w:t>
            </w:r>
          </w:p>
        </w:tc>
        <w:tc>
          <w:tcPr>
            <w:tcW w:type="dxa" w:w="36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Attached where the company qualifies</w:t>
            </w:r>
          </w:p>
        </w:tc>
      </w:tr>
      <w:tr>
        <w:trPr>
          <w:tblHeader w:val="false"/>
        </w:trPr>
        <w:tc>
          <w:tcPr>
            <w:tcW w:type="dxa" w:w="700"/>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11</w:t>
            </w:r>
          </w:p>
        </w:tc>
        <w:tc>
          <w:tcPr>
            <w:tcW w:type="dxa" w:w="5400"/>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Manufacturer / distributor authorisation letter</w:t>
            </w:r>
          </w:p>
        </w:tc>
        <w:tc>
          <w:tcPr>
            <w:tcW w:type="dxa" w:w="36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Obtained per tender reference where required</w:t>
            </w:r>
          </w:p>
        </w:tc>
      </w:tr>
      <w:tr>
        <w:trPr>
          <w:tblHeader w:val="false"/>
        </w:trPr>
        <w:tc>
          <w:tcPr>
            <w:tcW w:type="dxa" w:w="700"/>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12</w:t>
            </w:r>
          </w:p>
        </w:tc>
        <w:tc>
          <w:tcPr>
            <w:tcW w:type="dxa" w:w="5400"/>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Litigation history / self-declaration forms</w:t>
            </w:r>
          </w:p>
        </w:tc>
        <w:tc>
          <w:tcPr>
            <w:tcW w:type="dxa" w:w="36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Completed and attached per tender forms</w:t>
            </w:r>
          </w:p>
        </w:tc>
      </w:tr>
      <w:tr>
        <w:trPr>
          <w:tblHeader w:val="false"/>
        </w:trPr>
        <w:tc>
          <w:tcPr>
            <w:tcW w:type="dxa" w:w="700"/>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13</w:t>
            </w:r>
          </w:p>
        </w:tc>
        <w:tc>
          <w:tcPr>
            <w:tcW w:type="dxa" w:w="5400"/>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Confidential Business Questionnaire</w:t>
            </w:r>
          </w:p>
        </w:tc>
        <w:tc>
          <w:tcPr>
            <w:tcW w:type="dxa" w:w="36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Completed and attached per tender forms</w:t>
            </w:r>
          </w:p>
        </w:tc>
      </w:tr>
      <w:tr>
        <w:trPr>
          <w:tblHeader w:val="false"/>
        </w:trPr>
        <w:tc>
          <w:tcPr>
            <w:tcW w:type="dxa" w:w="700"/>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14</w:t>
            </w:r>
          </w:p>
        </w:tc>
        <w:tc>
          <w:tcPr>
            <w:tcW w:type="dxa" w:w="5400"/>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Directors' identification documents</w:t>
            </w:r>
          </w:p>
        </w:tc>
        <w:tc>
          <w:tcPr>
            <w:tcW w:type="dxa" w:w="36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Attached</w:t>
            </w:r>
          </w:p>
        </w:tc>
      </w:tr>
      <w:tr>
        <w:trPr>
          <w:tblHeader w:val="false"/>
        </w:trPr>
        <w:tc>
          <w:tcPr>
            <w:tcW w:type="dxa" w:w="700"/>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15</w:t>
            </w:r>
          </w:p>
        </w:tc>
        <w:tc>
          <w:tcPr>
            <w:tcW w:type="dxa" w:w="5400"/>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Reference letters / completion certificates</w:t>
            </w:r>
          </w:p>
        </w:tc>
        <w:tc>
          <w:tcPr>
            <w:tcW w:type="dxa" w:w="36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Attached</w:t>
            </w:r>
          </w:p>
        </w:tc>
      </w:tr>
      <w:tr>
        <w:trPr>
          <w:tblHeader w:val="false"/>
        </w:trPr>
        <w:tc>
          <w:tcPr>
            <w:tcW w:type="dxa" w:w="700"/>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16</w:t>
            </w:r>
          </w:p>
        </w:tc>
        <w:tc>
          <w:tcPr>
            <w:tcW w:type="dxa" w:w="5400"/>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NSSF and SHIF compliance records</w:t>
            </w:r>
          </w:p>
        </w:tc>
        <w:tc>
          <w:tcPr>
            <w:tcW w:type="dxa" w:w="36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Attached where required</w:t>
            </w:r>
          </w:p>
        </w:tc>
      </w:tr>
    </w:tbl>
    <w:p>
      <w:pPr>
        <w:pStyle w:val="Heading1"/>
        <w:pBdr>
          <w:bottom w:val="single" w:color="0F8A80" w:sz="12" w:space="6"/>
        </w:pBdr>
        <w:spacing w:after="160" w:before="320"/>
      </w:pPr>
      <w:r>
        <w:rPr>
          <w:rFonts w:ascii="Calibri" w:cs="Calibri" w:eastAsia="Calibri" w:hAnsi="Calibri"/>
          <w:b/>
          <w:bCs/>
          <w:color w:val="0B1F3A"/>
          <w:sz w:val="28"/>
          <w:szCs w:val="28"/>
        </w:rPr>
        <w:t xml:space="preserve">16.  Declaration of Integrity</w:t>
      </w:r>
    </w:p>
    <w:p>
      <w:pPr>
        <w:spacing w:after="120" w:line="276"/>
      </w:pPr>
      <w:r>
        <w:rPr>
          <w:rFonts w:ascii="Calibri" w:cs="Calibri" w:eastAsia="Calibri" w:hAnsi="Calibri"/>
          <w:color w:val="1A1A1A"/>
          <w:sz w:val="21"/>
          <w:szCs w:val="21"/>
        </w:rPr>
        <w:t xml:space="preserve">Ceter Technologies Limited conducts its business in full compliance with the Public Procurement and Asset Disposal Act, 2015 and its Regulations, the Bribery Act, 2016 and all other applicable laws of Kenya.</w:t>
      </w:r>
    </w:p>
    <w:p>
      <w:pPr>
        <w:spacing w:after="120" w:line="276"/>
      </w:pPr>
      <w:r>
        <w:rPr>
          <w:rFonts w:ascii="Calibri" w:cs="Calibri" w:eastAsia="Calibri" w:hAnsi="Calibri"/>
          <w:color w:val="1A1A1A"/>
          <w:sz w:val="21"/>
          <w:szCs w:val="21"/>
        </w:rPr>
        <w:t xml:space="preserve">The company declares that it does not offer or accept inducements of any kind in the pursuit of business; does not engage in collusive, coercive or fraudulent practices in tendering; is not debarred from participating in public procurement in Kenya; has no undisclosed conflict of interest with any procuring entity to which it submits a tender; and that all information supplied in its tender submissions is true and can be independently verified.</w:t>
      </w:r>
    </w:p>
    <w:p>
      <w:pPr>
        <w:spacing w:after="120"/>
      </w:pPr>
    </w:p>
    <w:tbl>
      <w:tblPr>
        <w:tblW w:type="dxa" w:w="9746"/>
        <w:tblBorders>
          <w:top w:val="single" w:color="C9D3DD" w:sz="4"/>
          <w:left w:val="single" w:color="C9D3DD" w:sz="4"/>
          <w:bottom w:val="single" w:color="C9D3DD" w:sz="4"/>
          <w:right w:val="single" w:color="C9D3DD" w:sz="4"/>
          <w:insideH w:val="single" w:color="C9D3DD" w:sz="4"/>
          <w:insideV w:val="single" w:color="C9D3DD" w:sz="4"/>
        </w:tblBorders>
      </w:tblPr>
      <w:tblGrid>
        <w:gridCol w:w="3200"/>
        <w:gridCol w:w="6546"/>
      </w:tblGrid>
      <w:tr>
        <w:trPr>
          <w:tblHeader w:val="false"/>
        </w:trPr>
        <w:tc>
          <w:tcPr>
            <w:tcW w:type="dxa" w:w="32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Signed for and on behalf of</w:t>
            </w:r>
          </w:p>
        </w:tc>
        <w:tc>
          <w:tcPr>
            <w:tcW w:type="dxa" w:w="65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Ceter Technologies Limited</w:t>
            </w:r>
          </w:p>
        </w:tc>
      </w:tr>
      <w:tr>
        <w:trPr>
          <w:tblHeader w:val="false"/>
        </w:trPr>
        <w:tc>
          <w:tcPr>
            <w:tcW w:type="dxa" w:w="32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Name</w:t>
            </w:r>
          </w:p>
        </w:tc>
        <w:tc>
          <w:tcPr>
            <w:tcW w:type="dxa" w:w="65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to be completed  ]</w:t>
            </w:r>
          </w:p>
        </w:tc>
      </w:tr>
      <w:tr>
        <w:trPr>
          <w:tblHeader w:val="false"/>
        </w:trPr>
        <w:tc>
          <w:tcPr>
            <w:tcW w:type="dxa" w:w="32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Position</w:t>
            </w:r>
          </w:p>
        </w:tc>
        <w:tc>
          <w:tcPr>
            <w:tcW w:type="dxa" w:w="65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to be completed  ]</w:t>
            </w:r>
          </w:p>
        </w:tc>
      </w:tr>
      <w:tr>
        <w:trPr>
          <w:tblHeader w:val="false"/>
        </w:trPr>
        <w:tc>
          <w:tcPr>
            <w:tcW w:type="dxa" w:w="32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Signature</w:t>
            </w:r>
          </w:p>
        </w:tc>
        <w:tc>
          <w:tcPr>
            <w:tcW w:type="dxa" w:w="65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w:r>
          </w:p>
        </w:tc>
      </w:tr>
      <w:tr>
        <w:trPr>
          <w:tblHeader w:val="false"/>
        </w:trPr>
        <w:tc>
          <w:tcPr>
            <w:tcW w:type="dxa" w:w="32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Date</w:t>
            </w:r>
          </w:p>
        </w:tc>
        <w:tc>
          <w:tcPr>
            <w:tcW w:type="dxa" w:w="65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w:r>
          </w:p>
        </w:tc>
      </w:tr>
      <w:tr>
        <w:trPr>
          <w:tblHeader w:val="false"/>
        </w:trPr>
        <w:tc>
          <w:tcPr>
            <w:tcW w:type="dxa" w:w="32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Company stamp</w:t>
            </w:r>
          </w:p>
        </w:tc>
        <w:tc>
          <w:tcPr>
            <w:tcW w:type="dxa" w:w="65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w:r>
          </w:p>
        </w:tc>
      </w:tr>
    </w:tbl>
    <w:p>
      <w:pPr>
        <w:pStyle w:val="Heading1"/>
        <w:pBdr>
          <w:bottom w:val="single" w:color="0F8A80" w:sz="12" w:space="6"/>
        </w:pBdr>
        <w:spacing w:after="160" w:before="320"/>
      </w:pPr>
      <w:r>
        <w:rPr>
          <w:rFonts w:ascii="Calibri" w:cs="Calibri" w:eastAsia="Calibri" w:hAnsi="Calibri"/>
          <w:b/>
          <w:bCs/>
          <w:color w:val="0B1F3A"/>
          <w:sz w:val="28"/>
          <w:szCs w:val="28"/>
        </w:rPr>
        <w:t xml:space="preserve">17.  Contact Us</w:t>
      </w:r>
    </w:p>
    <w:tbl>
      <w:tblPr>
        <w:tblW w:type="dxa" w:w="9746"/>
        <w:tblBorders>
          <w:top w:val="single" w:color="C9D3DD" w:sz="4"/>
          <w:left w:val="single" w:color="C9D3DD" w:sz="4"/>
          <w:bottom w:val="single" w:color="C9D3DD" w:sz="4"/>
          <w:right w:val="single" w:color="C9D3DD" w:sz="4"/>
          <w:insideH w:val="single" w:color="C9D3DD" w:sz="4"/>
          <w:insideV w:val="single" w:color="C9D3DD" w:sz="4"/>
        </w:tblBorders>
      </w:tblPr>
      <w:tblGrid>
        <w:gridCol w:w="2600"/>
        <w:gridCol w:w="7146"/>
      </w:tblGrid>
      <w:tr>
        <w:trPr>
          <w:tblHeader w:val="false"/>
        </w:trPr>
        <w:tc>
          <w:tcPr>
            <w:tcW w:type="dxa" w:w="26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Company</w:t>
            </w:r>
          </w:p>
        </w:tc>
        <w:tc>
          <w:tcPr>
            <w:tcW w:type="dxa" w:w="71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Ceter Technologies Limited</w:t>
            </w:r>
          </w:p>
        </w:tc>
      </w:tr>
      <w:tr>
        <w:trPr>
          <w:tblHeader w:val="false"/>
        </w:trPr>
        <w:tc>
          <w:tcPr>
            <w:tcW w:type="dxa" w:w="26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Physical address</w:t>
            </w:r>
          </w:p>
        </w:tc>
        <w:tc>
          <w:tcPr>
            <w:tcW w:type="dxa" w:w="71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to be completed  ]</w:t>
            </w:r>
          </w:p>
        </w:tc>
      </w:tr>
      <w:tr>
        <w:trPr>
          <w:tblHeader w:val="false"/>
        </w:trPr>
        <w:tc>
          <w:tcPr>
            <w:tcW w:type="dxa" w:w="26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Postal address</w:t>
            </w:r>
          </w:p>
        </w:tc>
        <w:tc>
          <w:tcPr>
            <w:tcW w:type="dxa" w:w="71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  to be completed  ]</w:t>
            </w:r>
          </w:p>
        </w:tc>
      </w:tr>
      <w:tr>
        <w:trPr>
          <w:tblHeader w:val="false"/>
        </w:trPr>
        <w:tc>
          <w:tcPr>
            <w:tcW w:type="dxa" w:w="26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Telephone / WhatsApp</w:t>
            </w:r>
          </w:p>
        </w:tc>
        <w:tc>
          <w:tcPr>
            <w:tcW w:type="dxa" w:w="71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+254 707 143 322</w:t>
            </w:r>
          </w:p>
        </w:tc>
      </w:tr>
      <w:tr>
        <w:trPr>
          <w:tblHeader w:val="false"/>
        </w:trPr>
        <w:tc>
          <w:tcPr>
            <w:tcW w:type="dxa" w:w="26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General email</w:t>
            </w:r>
          </w:p>
        </w:tc>
        <w:tc>
          <w:tcPr>
            <w:tcW w:type="dxa" w:w="71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info@cetertechnologies.com</w:t>
            </w:r>
          </w:p>
        </w:tc>
      </w:tr>
      <w:tr>
        <w:trPr>
          <w:tblHeader w:val="false"/>
        </w:trPr>
        <w:tc>
          <w:tcPr>
            <w:tcW w:type="dxa" w:w="26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Sales &amp; tenders</w:t>
            </w:r>
          </w:p>
        </w:tc>
        <w:tc>
          <w:tcPr>
            <w:tcW w:type="dxa" w:w="71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sales@cetertechnologies.com</w:t>
            </w:r>
          </w:p>
        </w:tc>
      </w:tr>
      <w:tr>
        <w:trPr>
          <w:tblHeader w:val="false"/>
        </w:trPr>
        <w:tc>
          <w:tcPr>
            <w:tcW w:type="dxa" w:w="26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Technical support</w:t>
            </w:r>
          </w:p>
        </w:tc>
        <w:tc>
          <w:tcPr>
            <w:tcW w:type="dxa" w:w="71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support@cetertechnologies.com</w:t>
            </w:r>
          </w:p>
        </w:tc>
      </w:tr>
      <w:tr>
        <w:trPr>
          <w:tblHeader w:val="false"/>
        </w:trPr>
        <w:tc>
          <w:tcPr>
            <w:tcW w:type="dxa" w:w="26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Website</w:t>
            </w:r>
          </w:p>
        </w:tc>
        <w:tc>
          <w:tcPr>
            <w:tcW w:type="dxa" w:w="71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www.cetertechnologies.com</w:t>
            </w:r>
          </w:p>
        </w:tc>
      </w:tr>
      <w:tr>
        <w:trPr>
          <w:tblHeader w:val="false"/>
        </w:trPr>
        <w:tc>
          <w:tcPr>
            <w:tcW w:type="dxa" w:w="2600"/>
            <w:shd w:fill="EEF3F7" w:color="auto" w:val="clear"/>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Social media</w:t>
            </w:r>
          </w:p>
        </w:tc>
        <w:tc>
          <w:tcPr>
            <w:tcW w:type="dxa" w:w="7146"/>
            <w:shd w:fill="EEF3F7" w:color="auto"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@cetertechnologies — Facebook, Instagram, X, TikTok</w:t>
            </w:r>
          </w:p>
        </w:tc>
      </w:tr>
      <w:tr>
        <w:trPr>
          <w:tblHeader w:val="false"/>
        </w:trPr>
        <w:tc>
          <w:tcPr>
            <w:tcW w:type="dxa" w:w="2600"/>
            <w:tcMar>
              <w:top w:type="dxa" w:w="80"/>
              <w:left w:type="dxa" w:w="120"/>
              <w:bottom w:type="dxa" w:w="80"/>
              <w:right w:type="dxa" w:w="120"/>
            </w:tcMar>
            <w:vAlign w:val="center"/>
          </w:tcPr>
          <w:p>
            <w:pPr>
              <w:spacing w:after="0" w:line="264"/>
            </w:pPr>
            <w:r>
              <w:rPr>
                <w:rFonts w:ascii="Calibri" w:cs="Calibri" w:eastAsia="Calibri" w:hAnsi="Calibri"/>
                <w:b/>
                <w:bCs/>
                <w:color w:val="1A1A1A"/>
                <w:sz w:val="20"/>
                <w:szCs w:val="20"/>
              </w:rPr>
              <w:t xml:space="preserve">Working hours</w:t>
            </w:r>
          </w:p>
        </w:tc>
        <w:tc>
          <w:tcPr>
            <w:tcW w:type="dxa" w:w="7146"/>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0"/>
                <w:szCs w:val="20"/>
              </w:rPr>
              <w:t xml:space="preserve">Monday to Friday 8:00 a.m. – 5:30 p.m.; Saturday 9:00 a.m. – 1:00 p.m.</w:t>
            </w:r>
          </w:p>
        </w:tc>
      </w:tr>
    </w:tbl>
    <w:p>
      <w:pPr>
        <w:spacing w:after="120"/>
      </w:pPr>
    </w:p>
    <w:p>
      <w:pPr>
        <w:pBdr>
          <w:top w:val="single" w:color="0F8A80" w:sz="12" w:space="8"/>
        </w:pBdr>
        <w:spacing w:after="80" w:before="400"/>
        <w:jc w:val="center"/>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 cy="438150"/>
                    </a:xfrm>
                    <a:prstGeom prst="rect">
                      <a:avLst/>
                    </a:prstGeom>
                  </pic:spPr>
                </pic:pic>
              </a:graphicData>
            </a:graphic>
          </wp:inline>
        </w:drawing>
      </w:r>
    </w:p>
    <w:p>
      <w:pPr>
        <w:spacing w:after="40"/>
        <w:jc w:val="center"/>
      </w:pPr>
      <w:r>
        <w:rPr>
          <w:rFonts w:ascii="Calibri" w:cs="Calibri" w:eastAsia="Calibri" w:hAnsi="Calibri"/>
          <w:b/>
          <w:bCs/>
          <w:color w:val="0B1F3A"/>
          <w:sz w:val="24"/>
          <w:szCs w:val="24"/>
        </w:rPr>
        <w:t xml:space="preserve">CETER TECHNOLOGIES LIMITED</w:t>
      </w:r>
    </w:p>
    <w:p>
      <w:pPr>
        <w:jc w:val="center"/>
      </w:pPr>
      <w:r>
        <w:rPr>
          <w:rFonts w:ascii="Calibri" w:cs="Calibri" w:eastAsia="Calibri" w:hAnsi="Calibri"/>
          <w:i/>
          <w:iCs/>
          <w:color w:val="0F8A80"/>
          <w:sz w:val="20"/>
          <w:szCs w:val="20"/>
        </w:rPr>
        <w:t xml:space="preserve">Printing solutions that keep your office working.</w:t>
      </w:r>
    </w:p>
    <w:sectPr>
      <w:headerReference w:type="default" r:id="rId7"/>
      <w:headerReference w:type="first" r:id="rId8"/>
      <w:footerReference w:type="default" r:id="rId9"/>
      <w:footerReference w:type="first" r:id="rId10"/>
      <w:pgSz w:w="11906" w:h="16838" w:orient="portrait"/>
      <w:pgMar w:top="1300" w:right="1080" w:bottom="12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6"/>
      </w:pBdr>
      <w:jc w:val="center"/>
    </w:pPr>
    <w:r>
      <w:rPr>
        <w:rFonts w:ascii="Calibri" w:cs="Calibri" w:eastAsia="Calibri" w:hAnsi="Calibri"/>
        <w:color w:val="5A6472"/>
        <w:sz w:val="16"/>
        <w:szCs w:val="16"/>
      </w:rPr>
      <w:t xml:space="preserve">Ceter Technologies Limited  |  Company Profile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D" w:sz="4" w:space="6"/>
      </w:pBdr>
      <w:spacing w:after="60"/>
      <w:jc w:val="left"/>
    </w:pPr>
    <w:r>
      <w:drawing>
        <wp:inline distT="0" distB="0" distL="0" distR="0">
          <wp:extent cx="13144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14450" cy="5048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0F8A8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5abaeb3d5b3ab94143441cbcfe3beb5018de4bd.undefined"/><Relationship Id="rId12" Type="http://schemas.openxmlformats.org/officeDocument/2006/relationships/image" Target="media/1cf330a956058ee1f25b7c03be091beebbfdb10f.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e29d24fe59b6d1cd9f71a513a493bf2dd51c82e.undefined"/></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Ceter Technologies Limited — Company Profile</dc:title>
  <dc:creator>Ceter Technologies Limited</dc:creator>
  <dc:description>Corporate and tender capability profile</dc:description>
  <cp:lastModifiedBy>Un-named</cp:lastModifiedBy>
  <cp:revision>1</cp:revision>
  <dcterms:created xsi:type="dcterms:W3CDTF">2026-08-06T01:18:14.938Z</dcterms:created>
  <dcterms:modified xsi:type="dcterms:W3CDTF">2026-08-06T01:18:14.954Z</dcterms:modified>
</cp:coreProperties>
</file>

<file path=docProps/custom.xml><?xml version="1.0" encoding="utf-8"?>
<Properties xmlns="http://schemas.openxmlformats.org/officeDocument/2006/custom-properties" xmlns:vt="http://schemas.openxmlformats.org/officeDocument/2006/docPropsVTypes"/>
</file>