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1F46" w14:textId="77777777" w:rsidR="009D11F0" w:rsidRPr="009D11F0" w:rsidRDefault="00E220A5" w:rsidP="009D11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D22840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88E84FD" w14:textId="77777777" w:rsidR="009D11F0" w:rsidRPr="009D11F0" w:rsidRDefault="009D11F0" w:rsidP="009D1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1F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🔑</w:t>
      </w:r>
      <w:r w:rsidRPr="009D1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L.E.K.'s GTM &amp; Launch Strategy for Zenflow in a Crowded BPH Market</w:t>
      </w:r>
    </w:p>
    <w:p w14:paraId="6E90BF77" w14:textId="77777777" w:rsidR="009D11F0" w:rsidRPr="009D11F0" w:rsidRDefault="009D11F0" w:rsidP="009D1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Launch Situation Assessment (LSA)</w:t>
      </w:r>
    </w:p>
    <w:p w14:paraId="420E251A" w14:textId="77777777" w:rsidR="009D11F0" w:rsidRPr="009D11F0" w:rsidRDefault="009D11F0" w:rsidP="009D1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Before any GTM strategy is developed, L.E.K. would conduct a comprehensive LSA tailored to Zenflow:</w:t>
      </w:r>
    </w:p>
    <w:p w14:paraId="33B22D70" w14:textId="77777777" w:rsidR="009D11F0" w:rsidRPr="009D11F0" w:rsidRDefault="009D11F0" w:rsidP="009D1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differentiated is Zenflow's mechanism (e.g., minimally invasive, durability, ease-of-use, adverse event profile)?</w:t>
      </w:r>
    </w:p>
    <w:p w14:paraId="5585F71B" w14:textId="77777777" w:rsidR="009D11F0" w:rsidRPr="009D11F0" w:rsidRDefault="009D11F0" w:rsidP="009D1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evidence is needed to support reimbursement and clinician preference?</w:t>
      </w:r>
    </w:p>
    <w:p w14:paraId="0F65A359" w14:textId="77777777" w:rsidR="009D11F0" w:rsidRPr="009D11F0" w:rsidRDefault="009D11F0" w:rsidP="009D1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target patient population (e.g., prostate size, comorbidities, setting of care)?</w:t>
      </w:r>
    </w:p>
    <w:p w14:paraId="49384D52" w14:textId="77777777" w:rsidR="009D11F0" w:rsidRPr="009D11F0" w:rsidRDefault="009D11F0" w:rsidP="009D1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 are the primary decision-makers (urologists, ASC administrators, hospital VACs)?</w:t>
      </w:r>
    </w:p>
    <w:p w14:paraId="0FFB2147" w14:textId="77777777" w:rsidR="009D11F0" w:rsidRPr="009D11F0" w:rsidRDefault="009D11F0" w:rsidP="009D1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This informs clinical, commercial, and organizational readiness strategy.</w:t>
      </w:r>
    </w:p>
    <w:p w14:paraId="30385625" w14:textId="77777777" w:rsidR="009D11F0" w:rsidRPr="009D11F0" w:rsidRDefault="00E220A5" w:rsidP="009D11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030628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C4D8980" w14:textId="77777777" w:rsidR="009D11F0" w:rsidRPr="009D11F0" w:rsidRDefault="009D11F0" w:rsidP="009D1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Differentiated Positioning vs. Entrenched Competitors</w:t>
      </w:r>
    </w:p>
    <w:p w14:paraId="45A0FF51" w14:textId="77777777" w:rsidR="009D11F0" w:rsidRPr="009D11F0" w:rsidRDefault="009D11F0" w:rsidP="009D1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Given the dominance of:</w:t>
      </w:r>
    </w:p>
    <w:p w14:paraId="4C6F9E04" w14:textId="77777777" w:rsidR="009D11F0" w:rsidRPr="009D11F0" w:rsidRDefault="009D11F0" w:rsidP="009D1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UroLift (fast, office-based, limited durability)</w:t>
      </w:r>
    </w:p>
    <w:p w14:paraId="710DE641" w14:textId="77777777" w:rsidR="009D11F0" w:rsidRPr="009D11F0" w:rsidRDefault="009D11F0" w:rsidP="009D1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Rezum (steam, durable but long recovery)</w:t>
      </w:r>
    </w:p>
    <w:p w14:paraId="3D472D8C" w14:textId="77777777" w:rsidR="009D11F0" w:rsidRPr="009D11F0" w:rsidRDefault="009D11F0" w:rsidP="009D1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PROCEPT (Aquablation—capital-intensive, strong clinical data)</w:t>
      </w:r>
    </w:p>
    <w:p w14:paraId="6EAB16EB" w14:textId="77777777" w:rsidR="009D11F0" w:rsidRPr="009D11F0" w:rsidRDefault="009D11F0" w:rsidP="009D1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L.E.K. would:</w:t>
      </w:r>
    </w:p>
    <w:p w14:paraId="349B2504" w14:textId="77777777" w:rsidR="009D11F0" w:rsidRPr="009D11F0" w:rsidRDefault="009D11F0" w:rsidP="009D1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Identify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gaps in clinical utility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, patient satisfaction, or procedural logistics where Zenflow could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 a niche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(e.g., retreatment cases, same-day return to function).</w:t>
      </w:r>
    </w:p>
    <w:p w14:paraId="3EE7D6A8" w14:textId="77777777" w:rsidR="009D11F0" w:rsidRPr="009D11F0" w:rsidRDefault="009D11F0" w:rsidP="009D1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Develop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claims strategy and clinical trial design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that demonstrates superiority or non-inferiority in a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targeted subsegment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22BA74" w14:textId="77777777" w:rsidR="009D11F0" w:rsidRPr="009D11F0" w:rsidRDefault="009D11F0" w:rsidP="009D1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economic modeling tools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to compare cost-per-QALY, retreatment rates, and ASC/hospital cost structures to existing options.</w:t>
      </w:r>
    </w:p>
    <w:p w14:paraId="5257E2A9" w14:textId="77777777" w:rsidR="009D11F0" w:rsidRPr="009D11F0" w:rsidRDefault="00E220A5" w:rsidP="009D11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B40A84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09F442A" w14:textId="77777777" w:rsidR="009D11F0" w:rsidRPr="009D11F0" w:rsidRDefault="009D11F0" w:rsidP="009D1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Customer Segmentation &amp; Early Adopter Targeting</w:t>
      </w:r>
    </w:p>
    <w:p w14:paraId="4906BFC5" w14:textId="77777777" w:rsidR="009D11F0" w:rsidRPr="009D11F0" w:rsidRDefault="009D11F0" w:rsidP="009D1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L.E.K. would segment urology providers based 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3731"/>
        <w:gridCol w:w="3291"/>
      </w:tblGrid>
      <w:tr w:rsidR="009D11F0" w:rsidRPr="009D11F0" w14:paraId="478840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7D178" w14:textId="77777777" w:rsidR="009D11F0" w:rsidRPr="009D11F0" w:rsidRDefault="009D11F0" w:rsidP="009D1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Segment</w:t>
            </w:r>
          </w:p>
        </w:tc>
        <w:tc>
          <w:tcPr>
            <w:tcW w:w="0" w:type="auto"/>
            <w:vAlign w:val="center"/>
            <w:hideMark/>
          </w:tcPr>
          <w:p w14:paraId="182BA776" w14:textId="77777777" w:rsidR="009D11F0" w:rsidRPr="009D11F0" w:rsidRDefault="009D11F0" w:rsidP="009D1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5DC41C8D" w14:textId="77777777" w:rsidR="009D11F0" w:rsidRPr="009D11F0" w:rsidRDefault="009D11F0" w:rsidP="009D1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Implications</w:t>
            </w:r>
          </w:p>
        </w:tc>
      </w:tr>
      <w:tr w:rsidR="009D11F0" w:rsidRPr="009D11F0" w14:paraId="788FFD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AF6C5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Innovator Surgeons</w:t>
            </w:r>
          </w:p>
        </w:tc>
        <w:tc>
          <w:tcPr>
            <w:tcW w:w="0" w:type="auto"/>
            <w:vAlign w:val="center"/>
            <w:hideMark/>
          </w:tcPr>
          <w:p w14:paraId="1279D77C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Early adopters, KOLs, often affiliated with teaching hospitals</w:t>
            </w:r>
          </w:p>
        </w:tc>
        <w:tc>
          <w:tcPr>
            <w:tcW w:w="0" w:type="auto"/>
            <w:vAlign w:val="center"/>
            <w:hideMark/>
          </w:tcPr>
          <w:p w14:paraId="674C6372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Focused pilot sites, co-development of data</w:t>
            </w:r>
          </w:p>
        </w:tc>
      </w:tr>
      <w:tr w:rsidR="009D11F0" w:rsidRPr="009D11F0" w14:paraId="7AD83D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C3532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Volume Community Urologists</w:t>
            </w:r>
          </w:p>
        </w:tc>
        <w:tc>
          <w:tcPr>
            <w:tcW w:w="0" w:type="auto"/>
            <w:vAlign w:val="center"/>
            <w:hideMark/>
          </w:tcPr>
          <w:p w14:paraId="54918D03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efficiency, procedure turnover, economic incentives matter</w:t>
            </w:r>
          </w:p>
        </w:tc>
        <w:tc>
          <w:tcPr>
            <w:tcW w:w="0" w:type="auto"/>
            <w:vAlign w:val="center"/>
            <w:hideMark/>
          </w:tcPr>
          <w:p w14:paraId="6EDBA1BA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 on short procedure time, reimbursement simplicity</w:t>
            </w:r>
          </w:p>
        </w:tc>
      </w:tr>
      <w:tr w:rsidR="009D11F0" w:rsidRPr="009D11F0" w14:paraId="087B6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EE040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ASC Administrators</w:t>
            </w:r>
          </w:p>
        </w:tc>
        <w:tc>
          <w:tcPr>
            <w:tcW w:w="0" w:type="auto"/>
            <w:vAlign w:val="center"/>
            <w:hideMark/>
          </w:tcPr>
          <w:p w14:paraId="53DDE46B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Cost-sensitive, prefer capital-light setups</w:t>
            </w:r>
          </w:p>
        </w:tc>
        <w:tc>
          <w:tcPr>
            <w:tcW w:w="0" w:type="auto"/>
            <w:vAlign w:val="center"/>
            <w:hideMark/>
          </w:tcPr>
          <w:p w14:paraId="0290CFAA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Frame Zenflow as an office-based or low-capex ASC play</w:t>
            </w:r>
          </w:p>
        </w:tc>
      </w:tr>
      <w:tr w:rsidR="009D11F0" w:rsidRPr="009D11F0" w14:paraId="46E41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A1D5F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Hospital VACs</w:t>
            </w:r>
          </w:p>
        </w:tc>
        <w:tc>
          <w:tcPr>
            <w:tcW w:w="0" w:type="auto"/>
            <w:vAlign w:val="center"/>
            <w:hideMark/>
          </w:tcPr>
          <w:p w14:paraId="5C0567AB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Demand strong clinical and economic evidence</w:t>
            </w:r>
          </w:p>
        </w:tc>
        <w:tc>
          <w:tcPr>
            <w:tcW w:w="0" w:type="auto"/>
            <w:vAlign w:val="center"/>
            <w:hideMark/>
          </w:tcPr>
          <w:p w14:paraId="5666F579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VAC dossiers with modeled economic advantages</w:t>
            </w:r>
          </w:p>
        </w:tc>
      </w:tr>
    </w:tbl>
    <w:p w14:paraId="36822BF5" w14:textId="77777777" w:rsidR="009D11F0" w:rsidRPr="009D11F0" w:rsidRDefault="009D11F0" w:rsidP="009D1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Avoid "poisoning the market" by engaging non-ideal first users.</w:t>
      </w:r>
    </w:p>
    <w:p w14:paraId="3ADD38C3" w14:textId="77777777" w:rsidR="009D11F0" w:rsidRPr="009D11F0" w:rsidRDefault="00E220A5" w:rsidP="009D11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A84F13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3D753C0" w14:textId="77777777" w:rsidR="009D11F0" w:rsidRPr="009D11F0" w:rsidRDefault="009D11F0" w:rsidP="009D1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Adoption Playbook Development</w:t>
      </w:r>
    </w:p>
    <w:p w14:paraId="06B4CE76" w14:textId="77777777" w:rsidR="009D11F0" w:rsidRPr="009D11F0" w:rsidRDefault="009D11F0" w:rsidP="009D1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L.E.K. would design specific playbooks by segment:</w:t>
      </w:r>
    </w:p>
    <w:p w14:paraId="616132F2" w14:textId="77777777" w:rsidR="009D11F0" w:rsidRPr="009D11F0" w:rsidRDefault="009D11F0" w:rsidP="009D1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clinicians: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Comparative clinical data, video modules, peer-to-peer KOL events.</w:t>
      </w:r>
    </w:p>
    <w:p w14:paraId="68EC62F3" w14:textId="77777777" w:rsidR="009D11F0" w:rsidRPr="009D11F0" w:rsidRDefault="009D11F0" w:rsidP="009D1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administrators: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Time-to-break-even calculators, patient demand forecasts, procedural throughput metrics.</w:t>
      </w:r>
    </w:p>
    <w:p w14:paraId="4F9CF9D7" w14:textId="77777777" w:rsidR="009D11F0" w:rsidRPr="009D11F0" w:rsidRDefault="009D11F0" w:rsidP="009D1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patients: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Digital awareness tools (e.g., treatment finder, tele-assessment funnel).</w:t>
      </w:r>
    </w:p>
    <w:p w14:paraId="542986B8" w14:textId="77777777" w:rsidR="009D11F0" w:rsidRPr="009D11F0" w:rsidRDefault="009D11F0" w:rsidP="009D1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Zenflow could emulate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PROCEPT's sales funnel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approach (case observations, training, tiered commitments) to avoid free trials and ensure only enthusiastic adopters proceed.</w:t>
      </w:r>
    </w:p>
    <w:p w14:paraId="582223F9" w14:textId="77777777" w:rsidR="009D11F0" w:rsidRPr="009D11F0" w:rsidRDefault="00E220A5" w:rsidP="009D11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9272FC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0CAED36" w14:textId="77777777" w:rsidR="009D11F0" w:rsidRPr="009D11F0" w:rsidRDefault="009D11F0" w:rsidP="009D1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Sales Model Design</w:t>
      </w:r>
    </w:p>
    <w:p w14:paraId="73FAFDB7" w14:textId="77777777" w:rsidR="009D11F0" w:rsidRPr="009D11F0" w:rsidRDefault="009D11F0" w:rsidP="009D1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Based on Zenflow’s target setting (likely office-based and ASC-friendly), L.E.K. would propose:</w:t>
      </w:r>
    </w:p>
    <w:p w14:paraId="7EE45228" w14:textId="77777777" w:rsidR="009D11F0" w:rsidRPr="009D11F0" w:rsidRDefault="009D11F0" w:rsidP="009D1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Lean sales model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with field reps supporting physician training and conversion.</w:t>
      </w:r>
    </w:p>
    <w:p w14:paraId="1830D254" w14:textId="77777777" w:rsidR="009D11F0" w:rsidRPr="009D11F0" w:rsidRDefault="009D11F0" w:rsidP="009D1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inside/outside salesforce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with remote detailing and centralized case scheduling (especially useful in restricted-access environments post-COVID).</w:t>
      </w:r>
    </w:p>
    <w:p w14:paraId="2401957E" w14:textId="77777777" w:rsidR="009D11F0" w:rsidRPr="009D11F0" w:rsidRDefault="009D11F0" w:rsidP="009D1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support team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for early surgeon champions to drive initial procedural success.</w:t>
      </w:r>
    </w:p>
    <w:p w14:paraId="6BD0C65B" w14:textId="77777777" w:rsidR="009D11F0" w:rsidRPr="009D11F0" w:rsidRDefault="009D11F0" w:rsidP="009D1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Sales enablement tools like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economic value calculators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ID EMR flags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should be prioritized.</w:t>
      </w:r>
    </w:p>
    <w:p w14:paraId="43568B1E" w14:textId="77777777" w:rsidR="009D11F0" w:rsidRPr="009D11F0" w:rsidRDefault="00E220A5" w:rsidP="009D11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F620E1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A23D3B0" w14:textId="77777777" w:rsidR="009D11F0" w:rsidRPr="009D11F0" w:rsidRDefault="009D11F0" w:rsidP="009D1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Market Access and Reimbursement</w:t>
      </w:r>
    </w:p>
    <w:p w14:paraId="7B7D0650" w14:textId="77777777" w:rsidR="009D11F0" w:rsidRPr="009D11F0" w:rsidRDefault="009D11F0" w:rsidP="009D1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To counter entrenched reimbursement pathways for UroLift, Rezum, and Aquablation:</w:t>
      </w:r>
    </w:p>
    <w:p w14:paraId="0668232D" w14:textId="77777777" w:rsidR="009D11F0" w:rsidRPr="009D11F0" w:rsidRDefault="009D11F0" w:rsidP="009D1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Parallel path strategy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: Pursue HCPCS/CPT pathway while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building DTC demand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for self-pay (hybrid model).</w:t>
      </w:r>
    </w:p>
    <w:p w14:paraId="641A2F6A" w14:textId="77777777" w:rsidR="009D11F0" w:rsidRPr="009D11F0" w:rsidRDefault="009D11F0" w:rsidP="009D1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Develop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economic dossiers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for MACs and private payers showcasing:</w:t>
      </w:r>
    </w:p>
    <w:p w14:paraId="5B99ECF1" w14:textId="77777777" w:rsidR="009D11F0" w:rsidRPr="009D11F0" w:rsidRDefault="009D11F0" w:rsidP="009D11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Lower retreatment rates</w:t>
      </w:r>
    </w:p>
    <w:p w14:paraId="3B23C7EC" w14:textId="77777777" w:rsidR="009D11F0" w:rsidRPr="009D11F0" w:rsidRDefault="009D11F0" w:rsidP="009D11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Improved patient experience</w:t>
      </w:r>
    </w:p>
    <w:p w14:paraId="66B97190" w14:textId="77777777" w:rsidR="009D11F0" w:rsidRPr="009D11F0" w:rsidRDefault="009D11F0" w:rsidP="009D11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Total cost savings over 12–24 months</w:t>
      </w:r>
    </w:p>
    <w:p w14:paraId="7346906E" w14:textId="77777777" w:rsidR="009D11F0" w:rsidRPr="009D11F0" w:rsidRDefault="009D11F0" w:rsidP="009D1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Zenflow could also follow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below-the-line or hybrid commercialization model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if it offers procedural simplicity and low adverse events.</w:t>
      </w:r>
    </w:p>
    <w:p w14:paraId="751FB41C" w14:textId="77777777" w:rsidR="009D11F0" w:rsidRPr="009D11F0" w:rsidRDefault="00E220A5" w:rsidP="009D11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FC24AF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C4D8271" w14:textId="77777777" w:rsidR="009D11F0" w:rsidRPr="009D11F0" w:rsidRDefault="009D11F0" w:rsidP="009D1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Organizational Alignment &amp; KPI Design</w:t>
      </w:r>
    </w:p>
    <w:p w14:paraId="24921506" w14:textId="77777777" w:rsidR="009D11F0" w:rsidRPr="009D11F0" w:rsidRDefault="009D11F0" w:rsidP="009D1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Align incentives not just to unit sales, but also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utilization, surgeon satisfaction, and retreatment avoidance.</w:t>
      </w:r>
    </w:p>
    <w:p w14:paraId="133D5735" w14:textId="77777777" w:rsidR="009D11F0" w:rsidRPr="009D11F0" w:rsidRDefault="009D11F0" w:rsidP="009D1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Use tailored KPIs: e.g.,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"30-day reintervention rate," "case throughput,"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"ASC payback period."</w:t>
      </w:r>
    </w:p>
    <w:p w14:paraId="33473F6E" w14:textId="77777777" w:rsidR="009D11F0" w:rsidRPr="009D11F0" w:rsidRDefault="009D11F0" w:rsidP="009D1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r w:rsidRPr="009D1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teams stay involved post-installation</w:t>
      </w:r>
      <w:r w:rsidRPr="009D11F0">
        <w:rPr>
          <w:rFonts w:ascii="Times New Roman" w:eastAsia="Times New Roman" w:hAnsi="Times New Roman" w:cs="Times New Roman"/>
          <w:kern w:val="0"/>
          <w14:ligatures w14:val="none"/>
        </w:rPr>
        <w:t xml:space="preserve"> to drive utilization and reference site value.</w:t>
      </w:r>
    </w:p>
    <w:p w14:paraId="4F593B1F" w14:textId="77777777" w:rsidR="009D11F0" w:rsidRPr="009D11F0" w:rsidRDefault="00E220A5" w:rsidP="009D11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BC1AB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D3DFE23" w14:textId="77777777" w:rsidR="009D11F0" w:rsidRPr="009D11F0" w:rsidRDefault="009D11F0" w:rsidP="009D1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1F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9D1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Timeline View (Illustrative)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2071"/>
        <w:gridCol w:w="4251"/>
      </w:tblGrid>
      <w:tr w:rsidR="009D11F0" w:rsidRPr="009D11F0" w14:paraId="456430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B5171" w14:textId="77777777" w:rsidR="009D11F0" w:rsidRPr="009D11F0" w:rsidRDefault="009D11F0" w:rsidP="009D1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A8035E3" w14:textId="77777777" w:rsidR="009D11F0" w:rsidRPr="009D11F0" w:rsidRDefault="009D11F0" w:rsidP="009D1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Months Before Launch</w:t>
            </w:r>
          </w:p>
        </w:tc>
        <w:tc>
          <w:tcPr>
            <w:tcW w:w="0" w:type="auto"/>
            <w:vAlign w:val="center"/>
            <w:hideMark/>
          </w:tcPr>
          <w:p w14:paraId="53A03D80" w14:textId="77777777" w:rsidR="009D11F0" w:rsidRPr="009D11F0" w:rsidRDefault="009D11F0" w:rsidP="009D1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Actions</w:t>
            </w:r>
          </w:p>
        </w:tc>
      </w:tr>
      <w:tr w:rsidR="009D11F0" w:rsidRPr="009D11F0" w14:paraId="6D958B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690E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Clinical validation</w:t>
            </w:r>
          </w:p>
        </w:tc>
        <w:tc>
          <w:tcPr>
            <w:tcW w:w="0" w:type="auto"/>
            <w:vAlign w:val="center"/>
            <w:hideMark/>
          </w:tcPr>
          <w:p w14:paraId="372F09D7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-36 to -24</w:t>
            </w:r>
          </w:p>
        </w:tc>
        <w:tc>
          <w:tcPr>
            <w:tcW w:w="0" w:type="auto"/>
            <w:vAlign w:val="center"/>
            <w:hideMark/>
          </w:tcPr>
          <w:p w14:paraId="22994916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 pivotal trial for claims differentiation</w:t>
            </w:r>
          </w:p>
        </w:tc>
      </w:tr>
      <w:tr w:rsidR="009D11F0" w:rsidRPr="009D11F0" w14:paraId="39C0D1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F51D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Segmentation &amp; early adopter ID</w:t>
            </w:r>
          </w:p>
        </w:tc>
        <w:tc>
          <w:tcPr>
            <w:tcW w:w="0" w:type="auto"/>
            <w:vAlign w:val="center"/>
            <w:hideMark/>
          </w:tcPr>
          <w:p w14:paraId="6E6908D0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-24 to -18</w:t>
            </w:r>
          </w:p>
        </w:tc>
        <w:tc>
          <w:tcPr>
            <w:tcW w:w="0" w:type="auto"/>
            <w:vAlign w:val="center"/>
            <w:hideMark/>
          </w:tcPr>
          <w:p w14:paraId="4E840501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targeting lists, KOL engagement</w:t>
            </w:r>
          </w:p>
        </w:tc>
      </w:tr>
      <w:tr w:rsidR="009D11F0" w:rsidRPr="009D11F0" w14:paraId="08ACB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C494E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Commercial build &amp; pilot</w:t>
            </w:r>
          </w:p>
        </w:tc>
        <w:tc>
          <w:tcPr>
            <w:tcW w:w="0" w:type="auto"/>
            <w:vAlign w:val="center"/>
            <w:hideMark/>
          </w:tcPr>
          <w:p w14:paraId="7F05067B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-18 to -12</w:t>
            </w:r>
          </w:p>
        </w:tc>
        <w:tc>
          <w:tcPr>
            <w:tcW w:w="0" w:type="auto"/>
            <w:vAlign w:val="center"/>
            <w:hideMark/>
          </w:tcPr>
          <w:p w14:paraId="7ED69205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 hiring, early market prep, VAC submission kits</w:t>
            </w:r>
          </w:p>
        </w:tc>
      </w:tr>
      <w:tr w:rsidR="009D11F0" w:rsidRPr="009D11F0" w14:paraId="2BEC51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45808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Launch readiness</w:t>
            </w:r>
          </w:p>
        </w:tc>
        <w:tc>
          <w:tcPr>
            <w:tcW w:w="0" w:type="auto"/>
            <w:vAlign w:val="center"/>
            <w:hideMark/>
          </w:tcPr>
          <w:p w14:paraId="0FD21682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-12 to 0</w:t>
            </w:r>
          </w:p>
        </w:tc>
        <w:tc>
          <w:tcPr>
            <w:tcW w:w="0" w:type="auto"/>
            <w:vAlign w:val="center"/>
            <w:hideMark/>
          </w:tcPr>
          <w:p w14:paraId="09B62669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 playbooks, sales training, DTC rollout</w:t>
            </w:r>
          </w:p>
        </w:tc>
      </w:tr>
      <w:tr w:rsidR="009D11F0" w:rsidRPr="009D11F0" w14:paraId="78A193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FCB63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Post-launch optimization</w:t>
            </w:r>
          </w:p>
        </w:tc>
        <w:tc>
          <w:tcPr>
            <w:tcW w:w="0" w:type="auto"/>
            <w:vAlign w:val="center"/>
            <w:hideMark/>
          </w:tcPr>
          <w:p w14:paraId="0CFA6A16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 to +24</w:t>
            </w:r>
          </w:p>
        </w:tc>
        <w:tc>
          <w:tcPr>
            <w:tcW w:w="0" w:type="auto"/>
            <w:vAlign w:val="center"/>
            <w:hideMark/>
          </w:tcPr>
          <w:p w14:paraId="7DC48EA7" w14:textId="77777777" w:rsidR="009D11F0" w:rsidRPr="009D11F0" w:rsidRDefault="009D11F0" w:rsidP="009D11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11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feedback loops, pricing refinement, expansion</w:t>
            </w:r>
          </w:p>
        </w:tc>
      </w:tr>
    </w:tbl>
    <w:p w14:paraId="69A498D9" w14:textId="77777777" w:rsidR="009D11F0" w:rsidRPr="009D11F0" w:rsidRDefault="00E220A5" w:rsidP="009D11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FE9F1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A88A6B4" w14:textId="77777777" w:rsidR="009D11F0" w:rsidRPr="009D11F0" w:rsidRDefault="009D11F0" w:rsidP="009D1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1F0">
        <w:rPr>
          <w:rFonts w:ascii="Times New Roman" w:eastAsia="Times New Roman" w:hAnsi="Times New Roman" w:cs="Times New Roman"/>
          <w:kern w:val="0"/>
          <w14:ligatures w14:val="none"/>
        </w:rPr>
        <w:t>Would you like a mock GTM launch roadmap slide or a sample VAC dossier outline for Zenflow?</w:t>
      </w:r>
    </w:p>
    <w:p w14:paraId="7441E57F" w14:textId="77777777" w:rsidR="009D11F0" w:rsidRDefault="009D11F0"/>
    <w:sectPr w:rsidR="009D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201C2"/>
    <w:multiLevelType w:val="multilevel"/>
    <w:tmpl w:val="2918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761F8"/>
    <w:multiLevelType w:val="multilevel"/>
    <w:tmpl w:val="8A44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54280"/>
    <w:multiLevelType w:val="multilevel"/>
    <w:tmpl w:val="A8FE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72EE3"/>
    <w:multiLevelType w:val="multilevel"/>
    <w:tmpl w:val="D35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00312"/>
    <w:multiLevelType w:val="multilevel"/>
    <w:tmpl w:val="0F6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C32DC"/>
    <w:multiLevelType w:val="multilevel"/>
    <w:tmpl w:val="B0BE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117E1"/>
    <w:multiLevelType w:val="multilevel"/>
    <w:tmpl w:val="9A56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920119">
    <w:abstractNumId w:val="2"/>
  </w:num>
  <w:num w:numId="2" w16cid:durableId="545263554">
    <w:abstractNumId w:val="5"/>
  </w:num>
  <w:num w:numId="3" w16cid:durableId="1283266891">
    <w:abstractNumId w:val="3"/>
  </w:num>
  <w:num w:numId="4" w16cid:durableId="1437945589">
    <w:abstractNumId w:val="0"/>
  </w:num>
  <w:num w:numId="5" w16cid:durableId="1488324728">
    <w:abstractNumId w:val="4"/>
  </w:num>
  <w:num w:numId="6" w16cid:durableId="206383826">
    <w:abstractNumId w:val="1"/>
  </w:num>
  <w:num w:numId="7" w16cid:durableId="1431122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F0"/>
    <w:rsid w:val="00612532"/>
    <w:rsid w:val="00837CE2"/>
    <w:rsid w:val="009D11F0"/>
    <w:rsid w:val="009F5BDD"/>
    <w:rsid w:val="00E2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4AB"/>
  <w15:chartTrackingRefBased/>
  <w15:docId w15:val="{50388292-A564-2941-8505-47065138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1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1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 Koduri</dc:creator>
  <cp:keywords/>
  <dc:description/>
  <cp:lastModifiedBy>PK Koduri</cp:lastModifiedBy>
  <cp:revision>2</cp:revision>
  <dcterms:created xsi:type="dcterms:W3CDTF">2025-07-31T13:07:00Z</dcterms:created>
  <dcterms:modified xsi:type="dcterms:W3CDTF">2025-07-31T13:07:00Z</dcterms:modified>
</cp:coreProperties>
</file>