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media/image30.png" ContentType="image/png"/>
  <Override PartName="/word/media/image29.png" ContentType="image/png"/>
  <Override PartName="/word/media/image28.png" ContentType="image/png"/>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media/image27.png" ContentType="image/png"/>
  <Override PartName="/word/media/image26.png" ContentType="image/png"/>
  <Override PartName="/word/media/image20.png" ContentType="image/png"/>
  <Override PartName="/word/media/image19.png" ContentType="image/png"/>
  <Override PartName="/word/media/image18.png" ContentType="image/png"/>
  <Override PartName="/word/media/image17.png" ContentType="image/png"/>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sectPr>
          <w:type w:val="nextPage"/>
          <w:pgSz w:h="15840" w:w="12240"/>
          <w:pgMar w:bottom="720" w:footer="0" w:gutter="0" w:header="0" w:left="1440" w:right="1440" w:top="1440"/>
          <w:pgNumType w:fmt="decimal"/>
          <w:formProt w:val="false"/>
          <w:textDirection w:val="lrTb"/>
          <w:docGrid w:charSpace="8192" w:linePitch="360" w:type="default"/>
        </w:sectPr>
        <w:pStyle w:val="style0"/>
        <w:rPr>
          <w:rFonts w:ascii="Trebuchet MS" w:hAnsi="Trebuchet MS"/>
          <w:color w:val="53548A"/>
          <w:sz w:val="56"/>
          <w:szCs w:val="56"/>
        </w:rPr>
      </w:pPr>
      <w:r>
        <w:rPr>
          <w:rFonts w:ascii="Trebuchet MS" w:hAnsi="Trebuchet MS"/>
          <w:color w:val="53548A"/>
          <w:sz w:val="56"/>
          <w:szCs w:val="56"/>
        </w:rPr>
      </w:r>
      <w:r>
        <w:pict>
          <v:rect style="position:absolute;width:468pt;height:202.45pt;margin-top:481.55pt;margin-left:0pt">
            <v:textbox inset="0pt,0pt,0pt,0pt">
              <w:txbxContent>
                <w:tbl>
                  <w:tblPr>
                    <w:tblW w:type="dxa" w:w="9360"/>
                    <w:jc w:val="left"/>
                    <w:tblInd w:type="dxa" w:w="115"/>
                    <w:tblBorders>
                      <w:top w:val="nil"/>
                      <w:left w:val="nil"/>
                      <w:bottom w:val="nil"/>
                      <w:insideH w:val="nil"/>
                      <w:right w:val="nil"/>
                      <w:insideV w:val="nil"/>
                    </w:tblBorders>
                    <w:tblCellMar>
                      <w:top w:type="dxa" w:w="115"/>
                      <w:left w:type="dxa" w:w="115"/>
                      <w:bottom w:type="dxa" w:w="72"/>
                      <w:right w:type="dxa" w:w="115"/>
                    </w:tblCellMar>
                  </w:tblPr>
                  <w:tblGrid>
                    <w:gridCol w:w="1083"/>
                    <w:gridCol w:w="2874"/>
                    <w:gridCol w:w="5403"/>
                  </w:tblGrid>
                  <w:tr>
                    <w:trPr>
                      <w:cantSplit w:val="false"/>
                    </w:trPr>
                    <w:tc>
                      <w:tcPr>
                        <w:tcW w:type="dxa" w:w="1083"/>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0" w:name="__UnoMark__37_2084249823"/>
                        <w:bookmarkStart w:id="1" w:name="__UnoMark__37_2084249823"/>
                        <w:bookmarkEnd w:id="1"/>
                        <w:r>
                          <w:rPr/>
                        </w:r>
                      </w:p>
                    </w:tc>
                    <w:tc>
                      <w:tcPr>
                        <w:tcW w:type="dxa" w:w="2874"/>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color w:val="424456"/>
                          </w:rPr>
                        </w:pPr>
                        <w:bookmarkStart w:id="2" w:name="__UnoMark__39_2084249823"/>
                        <w:bookmarkEnd w:id="2"/>
                        <w:r>
                          <w:rPr>
                            <w:color w:val="424456"/>
                          </w:rPr>
                          <w:t>November 15, 2013</w:t>
                        </w:r>
                      </w:p>
                    </w:tc>
                    <w:tc>
                      <w:tcPr>
                        <w:tcW w:type="dxa" w:w="5403"/>
                        <w:gridSpan w:val="3"/>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3" w:name="__UnoMark__41_2084249823"/>
                        <w:bookmarkStart w:id="4" w:name="__UnoMark__40_2084249823"/>
                        <w:bookmarkStart w:id="5" w:name="__UnoMark__41_2084249823"/>
                        <w:bookmarkStart w:id="6" w:name="__UnoMark__40_2084249823"/>
                        <w:bookmarkEnd w:id="5"/>
                        <w:bookmarkEnd w:id="6"/>
                        <w:r>
                          <w:rPr/>
                        </w:r>
                      </w:p>
                    </w:tc>
                  </w:tr>
                  <w:tr>
                    <w:trPr>
                      <w:cantSplit w:val="false"/>
                    </w:trPr>
                    <w:tc>
                      <w:tcPr>
                        <w:tcW w:type="dxa" w:w="3957"/>
                        <w:gridSpan w:val="2"/>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ict>
                              <v:group alt="Group 59" coordorigin="-4614,-86" coordsize="5561,630" id="shape_0" style="position:absolute;margin-left:-230.7pt;margin-top:-4.3pt;width:278.05pt;height:31.5pt">
                                <v:shapetype id="shapetype_32" coordsize="21600,21600" o:spt="32" path="m,l21600,21600nfe">
                                  <v:stroke joinstyle="miter"/>
                                  <v:path gradientshapeok="t" o:connecttype="rect" textboxrect="0,0,21600,21600"/>
                                </v:shapetype>
                                <v:shape id="shape_0" style="position:absolute;left:-2723;top:-90220;width:2722;height:45197" type="shapetype_32">
                                  <v:wrap v:type="none"/>
                                  <v:fill detectmouseclick="t"/>
                                  <v:stroke color="#438086" endcap="flat" joinstyle="round" weight="19080"/>
                                </v:shape>
                                <v:shape id="shape_0" style="position:absolute;left:-2723;top:-88958;width:2722;height:44566" type="shapetype_32">
                                  <v:wrap v:type="none"/>
                                  <v:fill detectmouseclick="t"/>
                                  <v:stroke color="#438086" endcap="flat" joinstyle="round" weight="38160"/>
                                </v:shape>
                                <v:shape id="shape_0" style="position:absolute;left:-2723;top:-89266;width:2722;height:44720" type="shapetype_32">
                                  <v:wrap v:type="none"/>
                                  <v:fill detectmouseclick="t"/>
                                  <v:stroke color="#438086" endcap="flat" joinstyle="round" weight="6480"/>
                                </v:shape>
                                <v:shape id="shape_0" style="position:absolute;left:-3666;top:-90096;width:3665;height:45135" type="shapetype_32">
                                  <v:wrap v:type="none"/>
                                  <v:fill detectmouseclick="t"/>
                                  <v:stroke color="#438086" endcap="flat" joinstyle="round"/>
                                </v:shape>
                                <v:shape id="shape_0" style="position:absolute;left:-3666;top:-89216;width:3665;height:44695" type="shapetype_32">
                                  <v:wrap v:type="none"/>
                                  <v:fill detectmouseclick="t"/>
                                  <v:stroke color="#438086" endcap="flat" joinstyle="round" weight="3240"/>
                                </v:shape>
                              </v:group>
                            </w:pict>
                          </w:rPr>
                        </w:pPr>
                        <w:bookmarkStart w:id="7" w:name="__UnoMark__42_2084249823"/>
                        <w:bookmarkStart w:id="8" w:name="__UnoMark__43_2084249823"/>
                        <w:bookmarkEnd w:id="7"/>
                        <w:bookmarkEnd w:id="8"/>
                        <w:r>
                          <w:rPr>
                            <w:pict>
                              <v:group alt="Group 59" coordorigin="-4614,-86" coordsize="5561,630" id="shape_0" style="position:absolute;margin-left:-230.7pt;margin-top:-4.3pt;width:278.05pt;height:31.5pt">
                                <v:shapetype id="shapetype_32" coordsize="21600,21600" o:spt="32" path="m,l21600,21600nfe">
                                  <v:stroke joinstyle="miter"/>
                                  <v:path gradientshapeok="t" o:connecttype="rect" textboxrect="0,0,21600,21600"/>
                                </v:shapetype>
                                <v:shape id="shape_0" style="position:absolute;left:-2723;top:-90220;width:2722;height:45197" type="shapetype_32">
                                  <v:wrap v:type="none"/>
                                  <v:fill detectmouseclick="t"/>
                                  <v:stroke color="#438086" endcap="flat" joinstyle="round" weight="19080"/>
                                </v:shape>
                                <v:shape id="shape_0" style="position:absolute;left:-2723;top:-88958;width:2722;height:44566" type="shapetype_32">
                                  <v:wrap v:type="none"/>
                                  <v:fill detectmouseclick="t"/>
                                  <v:stroke color="#438086" endcap="flat" joinstyle="round" weight="38160"/>
                                </v:shape>
                                <v:shape id="shape_0" style="position:absolute;left:-2723;top:-89266;width:2722;height:44720" type="shapetype_32">
                                  <v:wrap v:type="none"/>
                                  <v:fill detectmouseclick="t"/>
                                  <v:stroke color="#438086" endcap="flat" joinstyle="round" weight="6480"/>
                                </v:shape>
                                <v:shape id="shape_0" style="position:absolute;left:-3666;top:-90096;width:3665;height:45135" type="shapetype_32">
                                  <v:wrap v:type="none"/>
                                  <v:fill detectmouseclick="t"/>
                                  <v:stroke color="#438086" endcap="flat" joinstyle="round"/>
                                </v:shape>
                                <v:shape id="shape_0" style="position:absolute;left:-3666;top:-89216;width:3665;height:44695" type="shapetype_32">
                                  <v:wrap v:type="none"/>
                                  <v:fill detectmouseclick="t"/>
                                  <v:stroke color="#438086" endcap="flat" joinstyle="round" weight="3240"/>
                                </v:shape>
                              </v:group>
                            </w:pict>
                          </w:rPr>
                        </w:r>
                      </w:p>
                    </w:tc>
                    <w:tc>
                      <w:tcPr>
                        <w:tcW w:type="dxa" w:w="5403"/>
                        <w:gridSpan w:val="3"/>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9" w:name="__UnoMark__45_2084249823"/>
                        <w:bookmarkStart w:id="10" w:name="__UnoMark__44_2084249823"/>
                        <w:bookmarkStart w:id="11" w:name="__UnoMark__45_2084249823"/>
                        <w:bookmarkStart w:id="12" w:name="__UnoMark__44_2084249823"/>
                        <w:bookmarkEnd w:id="11"/>
                        <w:bookmarkEnd w:id="12"/>
                        <w:r>
                          <w:rPr/>
                        </w:r>
                      </w:p>
                    </w:tc>
                  </w:tr>
                  <w:tr>
                    <w:trPr>
                      <w:trHeight w:hRule="atLeast" w:val="1800"/>
                      <w:cantSplit w:val="false"/>
                    </w:trPr>
                    <w:tc>
                      <w:tcPr>
                        <w:tcW w:type="dxa" w:w="9360"/>
                        <w:gridSpan w:val="5"/>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rFonts w:ascii="Trebuchet MS" w:hAnsi="Trebuchet MS"/>
                            <w:color w:val="3E3E67"/>
                            <w:sz w:val="72"/>
                            <w:szCs w:val="72"/>
                          </w:rPr>
                        </w:pPr>
                        <w:bookmarkStart w:id="13" w:name="__UnoMark__46_2084249823"/>
                        <w:bookmarkEnd w:id="13"/>
                        <w:r>
                          <w:rPr>
                            <w:rFonts w:ascii="Trebuchet MS" w:hAnsi="Trebuchet MS"/>
                            <w:color w:val="3E3E67"/>
                            <w:sz w:val="72"/>
                            <w:szCs w:val="72"/>
                          </w:rPr>
                          <w:t>Report for Week 1</w:t>
                        </w:r>
                      </w:p>
                      <w:p>
                        <w:pPr>
                          <w:pStyle w:val="style0"/>
                          <w:framePr w:h="23" w:hAnchor="margin" w:hRule="exact" w:hSpace="0" w:vAnchor="page" w:vSpace="0" w:w="23" w:wrap="around" w:x="0" w:yAlign="bottom"/>
                          <w:pBdr>
                            <w:top w:val="nil"/>
                            <w:left w:val="nil"/>
                            <w:bottom w:val="nil"/>
                            <w:insideH w:val="nil"/>
                            <w:right w:val="nil"/>
                            <w:insideV w:val="nil"/>
                          </w:pBdr>
                          <w:rPr>
                            <w:i/>
                            <w:color w:val="424456"/>
                            <w:sz w:val="28"/>
                            <w:szCs w:val="28"/>
                          </w:rPr>
                        </w:pPr>
                        <w:bookmarkStart w:id="14" w:name="__UnoMark__47_2084249823"/>
                        <w:bookmarkEnd w:id="14"/>
                        <w:r>
                          <w:rPr>
                            <w:i/>
                            <w:color w:val="424456"/>
                            <w:sz w:val="28"/>
                            <w:szCs w:val="28"/>
                          </w:rPr>
                          <w:t>Introduction to the basics</w:t>
                        </w:r>
                      </w:p>
                    </w:tc>
                  </w:tr>
                  <w:tr>
                    <w:trPr>
                      <w:cantSplit w:val="false"/>
                    </w:trPr>
                    <w:tc>
                      <w:tcPr>
                        <w:tcW w:type="dxa" w:w="1083"/>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15" w:name="__UnoMark__49_2084249823"/>
                        <w:bookmarkStart w:id="16" w:name="__UnoMark__48_2084249823"/>
                        <w:bookmarkStart w:id="17" w:name="__UnoMark__49_2084249823"/>
                        <w:bookmarkStart w:id="18" w:name="__UnoMark__48_2084249823"/>
                        <w:bookmarkEnd w:id="17"/>
                        <w:bookmarkEnd w:id="18"/>
                        <w:r>
                          <w:rPr/>
                        </w:r>
                      </w:p>
                    </w:tc>
                    <w:tc>
                      <w:tcPr>
                        <w:tcW w:type="dxa" w:w="4263"/>
                        <w:gridSpan w:val="2"/>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19" w:name="__UnoMark__51_2084249823"/>
                        <w:bookmarkStart w:id="20" w:name="__UnoMark__50_2084249823"/>
                        <w:bookmarkStart w:id="21" w:name="__UnoMark__51_2084249823"/>
                        <w:bookmarkStart w:id="22" w:name="__UnoMark__50_2084249823"/>
                        <w:bookmarkEnd w:id="21"/>
                        <w:bookmarkEnd w:id="22"/>
                        <w:r>
                          <w:rPr/>
                        </w:r>
                      </w:p>
                    </w:tc>
                    <w:tc>
                      <w:tcPr>
                        <w:tcW w:type="dxa" w:w="4014"/>
                        <w:gridSpan w:val="2"/>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ict>
                              <v:group alt="Group 51" coordorigin="-4661,86" coordsize="8358,695" id="shape_0" style="position:absolute;margin-left:-233.05pt;margin-top:4.3pt;width:417.9pt;height:34.75pt"/>
                            </w:pict>
                          </w:rPr>
                        </w:pPr>
                        <w:bookmarkStart w:id="23" w:name="__UnoMark__52_2084249823"/>
                        <w:bookmarkStart w:id="24" w:name="__UnoMark__53_2084249823"/>
                        <w:bookmarkEnd w:id="23"/>
                        <w:bookmarkEnd w:id="24"/>
                        <w:r>
                          <w:rPr>
                            <w:pict>
                              <v:group alt="Group 51" coordorigin="-4661,86" coordsize="8358,695" id="shape_0" style="position:absolute;margin-left:-233.05pt;margin-top:4.3pt;width:417.9pt;height:34.75pt"/>
                            </w:pict>
                          </w:rPr>
                        </w:r>
                      </w:p>
                    </w:tc>
                  </w:tr>
                  <w:tr>
                    <w:trPr>
                      <w:cantSplit w:val="false"/>
                    </w:trPr>
                    <w:tc>
                      <w:tcPr>
                        <w:tcW w:type="dxa" w:w="1083"/>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25" w:name="__UnoMark__55_2084249823"/>
                        <w:bookmarkStart w:id="26" w:name="__UnoMark__54_2084249823"/>
                        <w:bookmarkStart w:id="27" w:name="__UnoMark__55_2084249823"/>
                        <w:bookmarkStart w:id="28" w:name="__UnoMark__54_2084249823"/>
                        <w:bookmarkEnd w:id="27"/>
                        <w:bookmarkEnd w:id="28"/>
                        <w:r>
                          <w:rPr/>
                        </w:r>
                      </w:p>
                    </w:tc>
                    <w:tc>
                      <w:tcPr>
                        <w:tcW w:type="dxa" w:w="4263"/>
                        <w:gridSpan w:val="2"/>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pPr>
                        <w:bookmarkStart w:id="29" w:name="__UnoMark__57_2084249823"/>
                        <w:bookmarkStart w:id="30" w:name="__UnoMark__56_2084249823"/>
                        <w:bookmarkStart w:id="31" w:name="__UnoMark__57_2084249823"/>
                        <w:bookmarkStart w:id="32" w:name="__UnoMark__56_2084249823"/>
                        <w:bookmarkEnd w:id="31"/>
                        <w:bookmarkEnd w:id="32"/>
                        <w:r>
                          <w:rPr/>
                        </w:r>
                      </w:p>
                    </w:tc>
                    <w:tc>
                      <w:tcPr>
                        <w:tcW w:type="dxa" w:w="2214"/>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color w:val="424456"/>
                          </w:rPr>
                        </w:pPr>
                        <w:r>
                          <w:rPr>
                            <w:color w:val="424456"/>
                          </w:rPr>
                          <w:t>Patrick de Kok</w:t>
                          <w:br/>
                          <w:t>Georgios Methenitis</w:t>
                        </w:r>
                      </w:p>
                    </w:tc>
                    <w:tc>
                      <w:tcPr>
                        <w:tcW w:type="dxa" w:w="1800"/>
                        <w:tcBorders>
                          <w:top w:val="nil"/>
                          <w:left w:val="nil"/>
                          <w:bottom w:val="nil"/>
                          <w:right w:val="nil"/>
                        </w:tcBorders>
                        <w:shd w:fill="auto" w:val="clear"/>
                        <w:vAlign w:val="center"/>
                      </w:tcPr>
                      <w:p>
                        <w:pPr>
                          <w:pStyle w:val="style0"/>
                          <w:framePr w:h="23" w:hAnchor="margin" w:hRule="exact" w:hSpace="0" w:vAnchor="page" w:vSpace="0" w:w="23" w:wrap="around" w:x="0" w:yAlign="bottom"/>
                          <w:pBdr>
                            <w:top w:val="nil"/>
                            <w:left w:val="nil"/>
                            <w:bottom w:val="nil"/>
                            <w:insideH w:val="nil"/>
                            <w:right w:val="nil"/>
                            <w:insideV w:val="nil"/>
                          </w:pBdr>
                          <w:rPr>
                            <w:color w:val="424456"/>
                          </w:rPr>
                        </w:pPr>
                        <w:r>
                          <w:rPr>
                            <w:color w:val="424456"/>
                          </w:rPr>
                          <w:t>5640318</w:t>
                        </w:r>
                      </w:p>
                      <w:p>
                        <w:pPr>
                          <w:pStyle w:val="style0"/>
                          <w:framePr w:h="23" w:hAnchor="margin" w:hRule="exact" w:hSpace="0" w:vAnchor="page" w:vSpace="0" w:w="23" w:wrap="around" w:x="0" w:yAlign="bottom"/>
                          <w:pBdr>
                            <w:top w:val="nil"/>
                            <w:left w:val="nil"/>
                            <w:bottom w:val="nil"/>
                            <w:insideH w:val="nil"/>
                            <w:right w:val="nil"/>
                            <w:insideV w:val="nil"/>
                          </w:pBdr>
                          <w:rPr>
                            <w:color w:val="424456"/>
                          </w:rPr>
                        </w:pPr>
                        <w:r>
                          <w:rPr>
                            <w:color w:val="424456"/>
                          </w:rPr>
                          <w:t>?????????</w:t>
                        </w:r>
                      </w:p>
                    </w:tc>
                  </w:tr>
                </w:tbl>
              </w:txbxContent>
            </v:textbox>
            <w10:wrap type="square"/>
          </v:rect>
        </w:pict>
      </w:r>
    </w:p>
    <w:p>
      <w:pPr>
        <w:sectPr>
          <w:headerReference r:id="rId2" w:type="even"/>
          <w:headerReference r:id="rId3" w:type="default"/>
          <v:group alt="Group 23" coordorigin="-4608,71" coordsize="5549,70" id="shape_0" style="position:absolute;margin-left:-230.4pt;margin-top:3.55pt;width:277.45pt;height:3.5pt">
            <v:shape id="shape_0" style="position:absolute;left:-2723;top:-95358;width:2722;height:47714" type="shapetype_32">
              <v:wrap v:type="none"/>
              <v:fill detectmouseclick="t"/>
              <v:stroke color="#438086" endcap="flat" joinstyle="round" weight="19080"/>
            </v:shape>
            <v:shape id="shape_0" style="position:absolute;left:-3666;top:-95500;width:3665;height:47785" type="shapetype_32">
              <v:wrap v:type="none"/>
              <v:fill detectmouseclick="t"/>
              <v:stroke color="#438086" endcap="flat" joinstyle="round" weight="3240"/>
            </v:shape>
          </v:group>
          <w:footerReference r:id="rId4" w:type="even"/>
          <v:group alt="Group 20" coordorigin="-4608,71" coordsize="5549,70" id="shape_0" style="position:absolute;margin-left:-230.4pt;margin-top:3.55pt;width:277.45pt;height:3.5pt">
            <v:shape id="shape_0" style="position:absolute;left:-2723;top:-127606;width:2722;height:63838" type="shapetype_32">
              <v:wrap v:type="none"/>
              <v:fill detectmouseclick="t"/>
              <v:stroke color="#438086" endcap="flat" joinstyle="round" weight="19080"/>
            </v:shape>
            <v:shape id="shape_0" style="position:absolute;left:-3666;top:-127748;width:3665;height:63909" type="shapetype_32">
              <v:wrap v:type="none"/>
              <v:fill detectmouseclick="t"/>
              <v:stroke color="#438086" endcap="flat" joinstyle="round" weight="3240"/>
            </v:shape>
          </v:group>
          <w:footerReference r:id="rId5" w:type="default"/>
          <w:type w:val="nextPage"/>
          <w:pgSz w:h="15840" w:w="12240"/>
          <w:pgMar w:bottom="1440" w:footer="720" w:gutter="0" w:header="720" w:left="1440" w:right="1440" w:top="1440"/>
          <w:pgNumType w:fmt="decimal"/>
          <w:formProt w:val="false"/>
          <w:textDirection w:val="lrTb"/>
          <w:docGrid w:charSpace="8192" w:linePitch="360" w:type="default"/>
        </w:sectPr>
        <w:pStyle w:val="style71"/>
        <w:pageBreakBefore/>
        <w:rPr/>
      </w:pPr>
      <w:bookmarkStart w:id="33" w:name="_GoBack"/>
      <w:bookmarkEnd w:id="33"/>
      <w:r>
        <w:rPr/>
        <w:t>Report for Week 1</w:t>
      </w:r>
    </w:p>
    <w:p>
      <w:pPr>
        <w:pStyle w:val="style72"/>
        <w:rPr>
          <w:i w:val="false"/>
          <w:color w:val="53548A"/>
          <w:sz w:val="20"/>
          <w:szCs w:val="20"/>
        </w:rPr>
      </w:pPr>
      <w:r>
        <w:rPr/>
        <w:t>Introduction to the basics</w:t>
      </w:r>
      <w:r>
        <w:rPr>
          <w:i w:val="false"/>
          <w:color w:val="53548A"/>
          <w:sz w:val="20"/>
          <w:szCs w:val="20"/>
        </w:rPr>
        <w:br/>
      </w:r>
      <w:r>
        <w:rPr>
          <w:i w:val="false"/>
          <w:color w:val="53548A"/>
          <w:sz w:val="20"/>
          <w:szCs w:val="20"/>
        </w:rPr>
        <w:t>Note: For this assignment, we have chosen not to use Canopy. We work directly with Python, as we have some experience with this language already. Therefor it might be possible that certain GUI elements look slightly different.</w:t>
      </w:r>
    </w:p>
    <w:p>
      <w:pPr>
        <w:pStyle w:val="style1"/>
        <w:rPr/>
      </w:pPr>
      <w:r>
        <w:rPr/>
        <w:t>Step A</w:t>
      </w:r>
    </w:p>
    <w:p>
      <w:pPr>
        <w:pStyle w:val="style0"/>
        <w:rPr/>
      </w:pPr>
      <w:r>
        <w:rPr/>
        <w:t xml:space="preserve">We have been able to run the </w:t>
      </w:r>
      <w:r>
        <w:rPr>
          <w:rFonts w:ascii="Monospace" w:hAnsi="Monospace"/>
        </w:rPr>
        <w:t>main_script_week1.py</w:t>
      </w:r>
      <w:r>
        <w:rPr/>
        <w:t xml:space="preserve"> file without any syntax errors. This required removing the line</w:t>
      </w:r>
    </w:p>
    <w:p>
      <w:pPr>
        <w:pStyle w:val="style0"/>
        <w:rPr>
          <w:rFonts w:ascii="Monospace" w:hAnsi="Monospace"/>
        </w:rPr>
      </w:pPr>
      <w:r>
        <w:rPr>
          <w:rFonts w:ascii="Monospace" w:hAnsi="Monospace"/>
        </w:rPr>
        <w:t>cd “CHANGE THIS PATH TO YOUR WORKING DIRECTORY $main_dir/python/week1”</w:t>
      </w:r>
    </w:p>
    <w:p>
      <w:pPr>
        <w:pStyle w:val="style0"/>
        <w:rPr/>
      </w:pPr>
      <w:r>
        <w:rPr/>
        <w:t>as this is not proper Python syntax. When the Python session is started in the same directory as where the script resides, the current working directory is already set correctly.</w:t>
      </w:r>
    </w:p>
    <w:p>
      <w:pPr>
        <w:pStyle w:val="style0"/>
        <w:rPr/>
      </w:pPr>
      <w:r>
        <w:rPr/>
        <w:t xml:space="preserve">The data we are going to use is located in the </w:t>
      </w:r>
      <w:r>
        <w:rPr>
          <w:rFonts w:ascii="Monospace" w:hAnsi="Monospace"/>
        </w:rPr>
        <w:t>data/objects/flowers</w:t>
      </w:r>
      <w:r>
        <w:rPr/>
        <w:t xml:space="preserve"> folder, two folders up from the current working directory.</w:t>
      </w:r>
    </w:p>
    <w:p>
      <w:pPr>
        <w:pStyle w:val="style1"/>
        <w:rPr/>
      </w:pPr>
      <w:r>
        <w:rPr/>
        <w:t>Step B</w:t>
      </w:r>
    </w:p>
    <w:p>
      <w:pPr>
        <w:pStyle w:val="style0"/>
        <w:rPr/>
      </w:pPr>
      <w:r>
        <w:rPr/>
        <w:t xml:space="preserve">Now we know how to locate the images, we can load them and display them to the user. As an example, </w:t>
      </w:r>
      <w:r>
        <w:rPr>
          <w:rFonts w:ascii="Monospace" w:hAnsi="Monospace"/>
          <w:position w:val="0"/>
          <w:sz w:val="20"/>
          <w:vertAlign w:val="baseline"/>
        </w:rPr>
        <w:t>.../.../data/objects/flowers/1.jpg</w:t>
      </w:r>
      <w:r>
        <w:rPr/>
        <w:t xml:space="preserve"> is displayed in Figure 1. </w:t>
      </w:r>
      <w:r>
        <w:rPr/>
        <w:t xml:space="preserve">This requires the usage of </w:t>
      </w:r>
      <w:r>
        <w:rPr>
          <w:rFonts w:ascii="Monospace" w:hAnsi="Monospace"/>
        </w:rPr>
        <w:t>matplotlib.pyplot.imshow(image)</w:t>
      </w:r>
      <w:r>
        <w:rPr/>
        <w:t xml:space="preserve"> function. The function reads a 2D or 3D numpy.array object and displays it as an image.</w:t>
      </w:r>
    </w:p>
    <w:p>
      <w:pPr>
        <w:pStyle w:val="style0"/>
        <w:rPr>
          <w:i w:val="false"/>
          <w:iCs w:val="false"/>
        </w:rPr>
      </w:pPr>
      <w:r>
        <w:rPr>
          <w:i w:val="false"/>
          <w:iCs w:val="false"/>
        </w:rPr>
        <w:t xml:space="preserve">When we count the number of elements in the first layer of the array, we obtain the number of rows the image has. Each of the first layers' elements should have another array, representing a column position at that row. All these nested arrays should have the same length, as it would be strange to have an image with fringed edges. These nested arrays most often contain either a scalar value for single-channel images, such as gray-scale or depth map images, or a triple of scalars which is appropriate for RGB, HSV and other three-channel representations. </w:t>
      </w:r>
    </w:p>
    <w:p>
      <w:pPr>
        <w:pStyle w:val="style0"/>
        <w:rPr>
          <w:i w:val="false"/>
          <w:iCs w:val="false"/>
        </w:rPr>
      </w:pPr>
      <w:r>
        <w:rPr>
          <w:i w:val="false"/>
          <w:iCs w:val="false"/>
        </w:rPr>
        <w:t>Inspection shows that the image of Figure 1 contains 1024 rows and 684 columns. As imshow automatically interprets three-channel images as RGB and the image does seem to represent something from nature, it most probably is in the RGB color space.</w:t>
      </w:r>
    </w:p>
    <w:p>
      <w:pPr>
        <w:pStyle w:val="style94"/>
        <w:jc w:val="left"/>
        <w:rPr>
          <w:b w:val="false"/>
          <w:bCs w:val="false"/>
          <w:i w:val="false"/>
          <w:iCs w:val="false"/>
        </w:rPr>
      </w:pPr>
      <w:r>
        <w:rPr>
          <w:b/>
          <w:bCs/>
          <w:i w:val="false"/>
          <w:iCs w:val="false"/>
        </w:rPr>
        <w:t>Figure 1:</w:t>
        <w:drawing>
          <wp:anchor allowOverlap="1" behindDoc="0" distB="0" distL="0" distR="0" distT="0" layoutInCell="1" locked="0" relativeHeight="55" simplePos="0">
            <wp:simplePos x="0" y="0"/>
            <wp:positionH relativeFrom="column">
              <wp:posOffset>0</wp:posOffset>
            </wp:positionH>
            <wp:positionV relativeFrom="paragraph">
              <wp:posOffset>0</wp:posOffset>
            </wp:positionV>
            <wp:extent cx="5943600" cy="447929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6"/>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i w:val="false"/>
          <w:iCs w:val="false"/>
        </w:rPr>
        <w:t xml:space="preserve"> Shown is the first object from the </w:t>
      </w:r>
      <w:r>
        <w:rPr>
          <w:rFonts w:ascii="Monospace" w:hAnsi="Monospace"/>
          <w:b w:val="false"/>
          <w:bCs w:val="false"/>
          <w:i w:val="false"/>
          <w:iCs w:val="false"/>
        </w:rPr>
        <w:t>flowers</w:t>
      </w:r>
      <w:r>
        <w:rPr>
          <w:b w:val="false"/>
          <w:bCs w:val="false"/>
          <w:i w:val="false"/>
          <w:iCs w:val="false"/>
        </w:rPr>
        <w:t xml:space="preserve"> data set.</w:t>
      </w:r>
    </w:p>
    <w:p>
      <w:pPr>
        <w:pStyle w:val="style1"/>
        <w:rPr/>
      </w:pPr>
      <w:r>
        <w:rPr/>
        <w:t>Step C</w:t>
      </w:r>
    </w:p>
    <w:p>
      <w:pPr>
        <w:pStyle w:val="style0"/>
        <w:rPr/>
      </w:pPr>
      <w:r>
        <w:rPr/>
        <w:t xml:space="preserve">One common used image representation which is easy to compare, is the combined histogram of color channels. For each possible value per color channel, the frequency of that value is counted in the image. This value-frequency pair is stored. </w:t>
      </w:r>
      <w:r>
        <w:rPr/>
        <w:t xml:space="preserve">On the end, the frequencies are normalized, such that all frequencies sum up to 1. In this way, the histogram of an image with many pixels is very similar to that of the same image with a lower resolution. With these single channel histograms we </w:t>
      </w:r>
      <w:r>
        <w:rPr/>
        <w:t xml:space="preserve">can see easily the amount of light and dark pixels </w:t>
      </w:r>
      <w:r>
        <w:rPr/>
        <w:t>per color</w:t>
      </w:r>
      <w:r>
        <w:rPr/>
        <w:t>. Each such histogram contains 256 different values (bins). Because all color channels are important, we combine these to a single histogram of 768 bins, where the single channel histograms are concatenated.</w:t>
      </w:r>
    </w:p>
    <w:p>
      <w:pPr>
        <w:pStyle w:val="style0"/>
        <w:rPr/>
      </w:pPr>
      <w:r>
        <w:rPr/>
        <w:t>The relative pixel value frequencies (so seeing each triple as a unique value in the image) does not generalize enough over the image. This would result in very low frequencies. If someone takes a picture from the same object from the same position, but only with a slight difference in colors (because of the moving Sun, clouds or something else), these values will be different and the histogram will be quite different.</w:t>
      </w:r>
    </w:p>
    <w:p>
      <w:pPr>
        <w:pStyle w:val="style94"/>
        <w:rPr>
          <w:b w:val="false"/>
          <w:bCs w:val="false"/>
        </w:rPr>
      </w:pPr>
      <w:r>
        <w:rPr>
          <w:b/>
          <w:bCs/>
        </w:rPr>
        <w:t>Figure 2:</w:t>
        <w:drawing>
          <wp:anchor allowOverlap="1" behindDoc="0" distB="0" distL="0" distR="0" distT="0" layoutInCell="1" locked="0" relativeHeight="53" simplePos="0">
            <wp:simplePos x="0" y="0"/>
            <wp:positionH relativeFrom="column">
              <wp:posOffset>0</wp:posOffset>
            </wp:positionH>
            <wp:positionV relativeFrom="paragraph">
              <wp:posOffset>0</wp:posOffset>
            </wp:positionV>
            <wp:extent cx="5943600" cy="447929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7"/>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Relative color channel frequencies of Figure 1. Bin labels 0 to 256 correspond to the relative frequency of the red values 0 to 256 in the image, labels 256 to 512 correspond to the relative frequency of the green values 0 to 256, and labels 512 to 768 correspond to the relative frequency of blue values 0 to 256.</w:t>
      </w:r>
    </w:p>
    <w:p>
      <w:pPr>
        <w:pStyle w:val="style1"/>
        <w:rPr/>
      </w:pPr>
      <w:r>
        <w:rPr/>
        <w:t>Step D</w:t>
      </w:r>
    </w:p>
    <w:p>
      <w:pPr>
        <w:pStyle w:val="style0"/>
        <w:rPr/>
      </w:pPr>
      <w:r>
        <w:rPr/>
        <w:t xml:space="preserve">To compare the image representations, </w:t>
      </w:r>
      <w:r>
        <w:rPr/>
        <w:t>one</w:t>
      </w:r>
      <w:r>
        <w:rPr/>
        <w:t xml:space="preserve"> can apply different distance measures. We have implemented five different distance measures. For two histograms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t xml:space="preserve"> with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i</m:t>
        </m:r>
        <m:r>
          <w:rPr>
            <w:rFonts w:ascii="Cambria Math" w:hAnsi="Cambria Math"/>
          </w:rPr>
          <m:t xml:space="preserve">&lt;</m:t>
        </m:r>
        <m:r>
          <w:rPr>
            <w:rFonts w:ascii="Cambria Math" w:hAnsi="Cambria Math"/>
          </w:rPr>
          <m:t xml:space="preserve">n</m:t>
        </m:r>
      </m:oMath>
      <w:r>
        <w:rPr/>
        <w:t>bins, we have the following distance measures:</w:t>
      </w:r>
    </w:p>
    <w:p>
      <w:pPr>
        <w:pStyle w:val="style0"/>
        <w:numPr>
          <w:ilvl w:val="0"/>
          <w:numId w:val="2"/>
        </w:numPr>
        <w:rPr>
          <w:rStyle w:val="style63"/>
          <w:i w:val="false"/>
          <w:iCs w:val="false"/>
        </w:rPr>
      </w:pPr>
      <w:r>
        <w:rPr/>
        <w:t xml:space="preserve">Euclidean distance: </w:t>
      </w:r>
      <w:r>
        <w:rPr>
          <w:i w:val="false"/>
          <w:iCs w:val="false"/>
        </w:rPr>
      </w:r>
      <m:oMath xmlns:m="http://schemas.openxmlformats.org/officeDocument/2006/math">
        <m:sSub>
          <m:e>
            <m:r>
              <w:rPr>
                <w:rFonts w:ascii="Cambria Math" w:hAnsi="Cambria Math"/>
              </w:rPr>
              <m:t xml:space="preserve">d</m:t>
            </m:r>
          </m:e>
          <m:sub>
            <m:r>
              <w:rPr>
                <w:rFonts w:ascii="Cambria Math" w:hAnsi="Cambria Math"/>
              </w:rPr>
              <m:t xml:space="preserve">E</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bHide m:val="1"/>
            <m:supHide m:val="1"/>
          </m:naryPr>
          <m:sub/>
          <m:sup/>
          <m:e>
            <m:sSup>
              <m:e>
                <m:d>
                  <m:dPr>
                    <m:begChr m:val="("/>
                    <m:endChr m:val=")"/>
                  </m:dPr>
                  <m:e>
                    <m:f>
                      <m:num>
                        <m:sSub>
                          <m:e>
                            <m:r>
                              <w:rPr>
                                <w:rFonts w:ascii="Cambria Math" w:hAnsi="Cambria Math"/>
                              </w:rPr>
                              <m:t xml:space="preserve">x</m:t>
                            </m:r>
                          </m:e>
                          <m:sub>
                            <m:r>
                              <w:rPr>
                                <w:rFonts w:ascii="Cambria Math" w:hAnsi="Cambria Math"/>
                              </w:rPr>
                              <m:t xml:space="preserve">i</m:t>
                            </m:r>
                          </m:sub>
                        </m:sSub>
                      </m:num>
                      <m:den>
                        <m:sSub>
                          <m:e>
                            <m:r>
                              <w:rPr>
                                <w:rFonts w:ascii="Cambria Math" w:hAnsi="Cambria Math"/>
                              </w:rPr>
                              <m:t xml:space="preserve">x</m:t>
                            </m:r>
                          </m:e>
                          <m:sub>
                            <m:rad>
                              <m:radPr>
                                <m:degHide m:val="1"/>
                              </m:radPr>
                              <m:deg/>
                              <m:e/>
                            </m:rad>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i</m:t>
                            </m:r>
                          </m:sub>
                        </m:sSub>
                      </m:num>
                      <m:den>
                        <m:sSub>
                          <m:e>
                            <m:r>
                              <w:rPr>
                                <w:rFonts w:ascii="Cambria Math" w:hAnsi="Cambria Math"/>
                              </w:rPr>
                              <m:t xml:space="preserve">y</m:t>
                            </m:r>
                          </m:e>
                          <m:sub>
                            <m:rad>
                              <m:radPr>
                                <m:degHide m:val="1"/>
                              </m:radPr>
                              <m:deg/>
                              <m:e/>
                            </m:rad>
                          </m:sub>
                        </m:sSub>
                      </m:den>
                    </m:f>
                  </m:e>
                </m:d>
              </m:e>
              <m:sup>
                <m:r>
                  <w:rPr>
                    <w:rFonts w:ascii="Cambria Math" w:hAnsi="Cambria Math"/>
                  </w:rPr>
                  <m:t xml:space="preserve">2</m:t>
                </m:r>
              </m:sup>
            </m:sSup>
          </m:e>
        </m:nary>
      </m:oMath>
      <w:r>
        <w:rPr>
          <w:i w:val="false"/>
          <w:iCs w:val="false"/>
        </w:rPr>
        <w:t xml:space="preserve">where </w:t>
      </w:r>
      <w:r>
        <w:rPr>
          <w:i w:val="false"/>
          <w:iCs w:val="false"/>
        </w:rPr>
      </w:r>
      <m:oMath xmlns:m="http://schemas.openxmlformats.org/officeDocument/2006/math">
        <m:sSub>
          <m:e>
            <m:r>
              <w:rPr>
                <w:rFonts w:ascii="Cambria Math" w:hAnsi="Cambria Math"/>
              </w:rPr>
              <m:t xml:space="preserve">h</m:t>
            </m:r>
          </m:e>
          <m:sub>
            <m:rad>
              <m:radPr>
                <m:degHide m:val="1"/>
              </m:radPr>
              <m:deg/>
              <m:e/>
            </m:rad>
          </m:sub>
        </m:sSub>
        <m:r>
          <w:rPr>
            <w:rFonts w:ascii="Cambria Math" w:hAnsi="Cambria Math"/>
          </w:rPr>
          <m:t xml:space="preserve">=</m:t>
        </m:r>
        <m:rad>
          <m:radPr>
            <m:degHide m:val="1"/>
          </m:radPr>
          <m:deg/>
          <m:e>
            <m:nary>
              <m:naryPr>
                <m:chr m:val="∑"/>
                <m:subHide m:val="1"/>
                <m:supHide m:val="1"/>
              </m:naryPr>
              <m:sub/>
              <m:sup/>
              <m:e>
                <m:sSubSup>
                  <m:e>
                    <m:r>
                      <w:rPr>
                        <w:rFonts w:ascii="Cambria Math" w:hAnsi="Cambria Math"/>
                      </w:rPr>
                      <m:t xml:space="preserve">h</m:t>
                    </m:r>
                  </m:e>
                  <m:sub>
                    <m:r>
                      <w:rPr>
                        <w:rFonts w:ascii="Cambria Math" w:hAnsi="Cambria Math"/>
                      </w:rPr>
                      <m:t xml:space="preserve">i</m:t>
                    </m:r>
                  </m:sub>
                  <m:sup>
                    <m:r>
                      <w:rPr>
                        <w:rFonts w:ascii="Cambria Math" w:hAnsi="Cambria Math"/>
                      </w:rPr>
                      <m:t xml:space="preserve">2</m:t>
                    </m:r>
                  </m:sup>
                </m:sSubSup>
              </m:e>
            </m:nary>
          </m:e>
        </m:rad>
      </m:oMath>
      <w:r>
        <w:rPr>
          <w:rStyle w:val="style63"/>
          <w:i w:val="false"/>
          <w:iCs w:val="false"/>
        </w:rPr>
        <w:footnoteReference w:id="2"/>
      </w:r>
    </w:p>
    <w:p>
      <w:pPr>
        <w:pStyle w:val="style0"/>
        <w:numPr>
          <w:ilvl w:val="0"/>
          <w:numId w:val="2"/>
        </w:numPr>
        <w:rPr>
          <w:i w:val="false"/>
          <w:iCs w:val="false"/>
        </w:rPr>
      </w:pPr>
      <w:r>
        <w:rPr>
          <w:i w:val="false"/>
          <w:iCs w:val="false"/>
        </w:rPr>
      </w:r>
      <m:oMath xmlns:m="http://schemas.openxmlformats.org/officeDocument/2006/math">
        <m:sSub>
          <m:e>
            <m:r>
              <w:rPr>
                <w:rFonts w:ascii="Cambria Math" w:hAnsi="Cambria Math"/>
              </w:rPr>
              <m:t xml:space="preserve">ℓ</m:t>
            </m:r>
          </m:e>
          <m:sub>
            <m:r>
              <w:rPr>
                <w:rFonts w:ascii="Cambria Math" w:hAnsi="Cambria Math"/>
              </w:rPr>
              <m:t xml:space="preserve">2</m:t>
            </m:r>
          </m:sub>
        </m:sSub>
      </m:oMath>
      <w:r>
        <w:rPr>
          <w:i w:val="false"/>
          <w:iCs w:val="false"/>
        </w:rPr>
        <w:t>distance:</w:t>
      </w:r>
      <w:r>
        <w:rPr>
          <w:i w:val="false"/>
          <w:iCs w:val="false"/>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bHide m:val="1"/>
            <m:supHide m:val="1"/>
          </m:naryPr>
          <m:sub/>
          <m:sup/>
          <m:e>
            <m:f>
              <m:num>
                <m:sSub>
                  <m:e>
                    <m:r>
                      <w:rPr>
                        <w:rFonts w:ascii="Cambria Math" w:hAnsi="Cambria Math"/>
                      </w:rPr>
                      <m:t xml:space="preserve">x</m:t>
                    </m:r>
                  </m:e>
                  <m:sub>
                    <m:r>
                      <w:rPr>
                        <w:rFonts w:ascii="Cambria Math" w:hAnsi="Cambria Math"/>
                      </w:rPr>
                      <m:t xml:space="preserve">i</m:t>
                    </m:r>
                  </m:sub>
                </m:sSub>
              </m:num>
              <m:den>
                <m:sSub>
                  <m:e>
                    <m:r>
                      <w:rPr>
                        <w:rFonts w:ascii="Cambria Math" w:hAnsi="Cambria Math"/>
                      </w:rPr>
                      <m:t xml:space="preserve">x</m:t>
                    </m:r>
                  </m:e>
                  <m:sub>
                    <m:rad>
                      <m:radPr>
                        <m:degHide m:val="1"/>
                      </m:radPr>
                      <m:deg/>
                      <m:e/>
                    </m:rad>
                  </m:sub>
                </m:sSub>
              </m:den>
            </m:f>
          </m:e>
        </m:nary>
        <m:f>
          <m:num>
            <m:sSub>
              <m:e>
                <m:r>
                  <w:rPr>
                    <w:rFonts w:ascii="Cambria Math" w:hAnsi="Cambria Math"/>
                  </w:rPr>
                  <m:t xml:space="preserve">y</m:t>
                </m:r>
              </m:e>
              <m:sub>
                <m:r>
                  <w:rPr>
                    <w:rFonts w:ascii="Cambria Math" w:hAnsi="Cambria Math"/>
                  </w:rPr>
                  <m:t xml:space="preserve">i</m:t>
                </m:r>
              </m:sub>
            </m:sSub>
          </m:num>
          <m:den>
            <m:sSub>
              <m:e>
                <m:r>
                  <w:rPr>
                    <w:rFonts w:ascii="Cambria Math" w:hAnsi="Cambria Math"/>
                  </w:rPr>
                  <m:t xml:space="preserve">y</m:t>
                </m:r>
              </m:e>
              <m:sub>
                <m:rad>
                  <m:radPr>
                    <m:degHide m:val="1"/>
                  </m:radPr>
                  <m:deg/>
                  <m:e/>
                </m:rad>
              </m:sub>
            </m:sSub>
          </m:den>
        </m:f>
      </m:oMath>
      <w:r>
        <w:rPr>
          <w:i w:val="false"/>
          <w:iCs w:val="false"/>
        </w:rPr>
        <w:t xml:space="preserve">where </w:t>
      </w:r>
      <w:r>
        <w:rPr>
          <w:i w:val="false"/>
          <w:iCs w:val="false"/>
        </w:rPr>
      </w:r>
      <m:oMath xmlns:m="http://schemas.openxmlformats.org/officeDocument/2006/math">
        <m:sSub>
          <m:e>
            <m:r>
              <w:rPr>
                <w:rFonts w:ascii="Cambria Math" w:hAnsi="Cambria Math"/>
              </w:rPr>
              <m:t xml:space="preserve">h</m:t>
            </m:r>
          </m:e>
          <m:sub>
            <m:rad>
              <m:radPr>
                <m:degHide m:val="1"/>
              </m:radPr>
              <m:deg/>
              <m:e/>
            </m:rad>
          </m:sub>
        </m:sSub>
        <m:r>
          <w:rPr>
            <w:rFonts w:ascii="Cambria Math" w:hAnsi="Cambria Math"/>
          </w:rPr>
          <m:t xml:space="preserve">=</m:t>
        </m:r>
        <m:rad>
          <m:radPr>
            <m:degHide m:val="1"/>
          </m:radPr>
          <m:deg/>
          <m:e>
            <m:nary>
              <m:naryPr>
                <m:chr m:val="∑"/>
                <m:subHide m:val="1"/>
                <m:supHide m:val="1"/>
              </m:naryPr>
              <m:sub/>
              <m:sup/>
              <m:e>
                <m:sSubSup>
                  <m:e>
                    <m:r>
                      <w:rPr>
                        <w:rFonts w:ascii="Cambria Math" w:hAnsi="Cambria Math"/>
                      </w:rPr>
                      <m:t xml:space="preserve">h</m:t>
                    </m:r>
                  </m:e>
                  <m:sub>
                    <m:r>
                      <w:rPr>
                        <w:rFonts w:ascii="Cambria Math" w:hAnsi="Cambria Math"/>
                      </w:rPr>
                      <m:t xml:space="preserve">i</m:t>
                    </m:r>
                  </m:sub>
                  <m:sup>
                    <m:r>
                      <w:rPr>
                        <w:rFonts w:ascii="Cambria Math" w:hAnsi="Cambria Math"/>
                      </w:rPr>
                      <m:t xml:space="preserve">2</m:t>
                    </m:r>
                  </m:sup>
                </m:sSubSup>
              </m:e>
            </m:nary>
          </m:e>
        </m:rad>
      </m:oMath>
    </w:p>
    <w:p>
      <w:pPr>
        <w:pStyle w:val="style0"/>
        <w:numPr>
          <w:ilvl w:val="0"/>
          <w:numId w:val="2"/>
        </w:numPr>
        <w:rPr>
          <w:i w:val="false"/>
          <w:iCs w:val="false"/>
        </w:rPr>
      </w:pPr>
      <w:r>
        <w:rPr>
          <w:i w:val="false"/>
          <w:iCs w:val="false"/>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val="false"/>
          <w:iCs w:val="false"/>
        </w:rPr>
        <w:t>distance:</w:t>
      </w:r>
      <w:r>
        <w:rPr>
          <w:i w:val="false"/>
          <w:iCs w:val="false"/>
        </w:rPr>
      </w:r>
      <m:oMath xmlns:m="http://schemas.openxmlformats.org/officeDocument/2006/math">
        <m:sSub>
          <m:e>
            <m:r>
              <w:rPr>
                <w:rFonts w:ascii="Cambria Math" w:hAnsi="Cambria Math"/>
              </w:rPr>
              <m:t xml:space="preserve">d</m:t>
            </m:r>
          </m:e>
          <m:sub>
            <m:sSup>
              <m:e>
                <m:r>
                  <w:rPr>
                    <w:rFonts w:ascii="Cambria Math" w:hAnsi="Cambria Math"/>
                  </w:rPr>
                  <m:t xml:space="preserve">χ</m:t>
                </m:r>
              </m:e>
              <m:sup>
                <m:r>
                  <w:rPr>
                    <w:rFonts w:ascii="Cambria Math" w:hAnsi="Cambria Math"/>
                  </w:rPr>
                  <m:t xml:space="preserve">2</m:t>
                </m:r>
              </m:sup>
            </m:sSup>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nary>
              <m:naryPr>
                <m:chr m:val="∑"/>
                <m:subHide m:val="1"/>
                <m:supHide m:val="1"/>
              </m:naryPr>
              <m:sub/>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sup>
                    <m:r>
                      <w:rPr>
                        <w:rFonts w:ascii="Cambria Math" w:hAnsi="Cambria Math"/>
                      </w:rPr>
                      <m:t xml:space="preserve">2</m:t>
                    </m:r>
                  </m:sup>
                </m:sSup>
              </m:e>
            </m:nary>
          </m:num>
          <m:den>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den>
        </m:f>
      </m:oMath>
    </w:p>
    <w:p>
      <w:pPr>
        <w:pStyle w:val="style0"/>
        <w:numPr>
          <w:ilvl w:val="0"/>
          <w:numId w:val="2"/>
        </w:numPr>
        <w:rPr>
          <w:i w:val="false"/>
          <w:iCs w:val="false"/>
        </w:rPr>
      </w:pPr>
      <w:r>
        <w:rPr>
          <w:i w:val="false"/>
          <w:iCs w:val="false"/>
        </w:rPr>
        <w:t xml:space="preserve">Histogram </w:t>
      </w:r>
      <w:r>
        <w:rPr>
          <w:i w:val="false"/>
          <w:iCs w:val="false"/>
        </w:rPr>
        <w:t xml:space="preserve">intersection </w:t>
      </w:r>
      <w:r>
        <w:rPr>
          <w:i w:val="false"/>
          <w:iCs w:val="false"/>
        </w:rPr>
        <w:t>distance:</w:t>
      </w:r>
      <w:r>
        <w:rPr>
          <w:i w:val="false"/>
          <w:iCs w:val="false"/>
        </w:rPr>
      </w:r>
      <m:oMath xmlns:m="http://schemas.openxmlformats.org/officeDocument/2006/math">
        <m:sSub>
          <m:e>
            <m:r>
              <w:rPr>
                <w:rFonts w:ascii="Cambria Math" w:hAnsi="Cambria Math"/>
              </w:rPr>
              <m:t xml:space="preserve">d</m:t>
            </m:r>
          </m:e>
          <m:sub>
            <m:r>
              <w:rPr>
                <w:rFonts w:ascii="Cambria Math" w:hAnsi="Cambria Math"/>
              </w:rPr>
              <m:t xml:space="preserve">h</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bHide m:val="1"/>
            <m:supHide m:val="1"/>
          </m:naryPr>
          <m:sub/>
          <m:sup/>
          <m:e>
            <m:r>
              <w:rPr>
                <w:rFonts w:ascii="Cambria Math" w:hAnsi="Cambria Math"/>
              </w:rPr>
              <m:t xml:space="preserve">min</m:t>
            </m:r>
          </m:e>
        </m:nary>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p>
    <w:p>
      <w:pPr>
        <w:pStyle w:val="style0"/>
        <w:numPr>
          <w:ilvl w:val="0"/>
          <w:numId w:val="2"/>
        </w:numPr>
        <w:rPr>
          <w:i w:val="false"/>
          <w:iCs w:val="false"/>
        </w:rPr>
      </w:pPr>
      <w:r>
        <w:rPr>
          <w:i w:val="false"/>
          <w:iCs w:val="false"/>
        </w:rPr>
        <w:t>Helli</w:t>
      </w:r>
      <w:r>
        <w:rPr>
          <w:i w:val="false"/>
          <w:iCs w:val="false"/>
        </w:rPr>
        <w:t>n</w:t>
      </w:r>
      <w:r>
        <w:rPr>
          <w:i w:val="false"/>
          <w:iCs w:val="false"/>
        </w:rPr>
        <w:t>ger distance:</w:t>
      </w:r>
      <w:r>
        <w:rPr>
          <w:i w:val="false"/>
          <w:iCs w:val="false"/>
        </w:rPr>
      </w:r>
      <m:oMath xmlns:m="http://schemas.openxmlformats.org/officeDocument/2006/math">
        <m:sSub>
          <m:e>
            <m:r>
              <w:rPr>
                <w:rFonts w:ascii="Cambria Math" w:hAnsi="Cambria Math"/>
              </w:rPr>
              <m:t xml:space="preserve">d</m:t>
            </m:r>
          </m:e>
          <m:sub>
            <m:r>
              <w:rPr>
                <w:rFonts w:ascii="Cambria Math" w:hAnsi="Cambria Math"/>
              </w:rPr>
              <m:t xml:space="preserve">H</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bHide m:val="1"/>
            <m:supHide m:val="1"/>
          </m:naryPr>
          <m:sub/>
          <m:sup/>
          <m:e>
            <m:rad>
              <m:radPr>
                <m:degHide m:val="1"/>
              </m:radPr>
              <m:deg/>
              <m:e>
                <m:sSub>
                  <m:e>
                    <m:r>
                      <w:rPr>
                        <w:rFonts w:ascii="Cambria Math" w:hAnsi="Cambria Math"/>
                      </w:rPr>
                      <m:t xml:space="preserve">x</m:t>
                    </m:r>
                  </m:e>
                  <m:sub>
                    <m:r>
                      <w:rPr>
                        <w:rFonts w:ascii="Cambria Math" w:hAnsi="Cambria Math"/>
                      </w:rPr>
                      <m:t xml:space="preserve">i</m:t>
                    </m:r>
                  </m:sub>
                </m:sSub>
              </m:e>
            </m:rad>
          </m:e>
        </m:nary>
        <m:rad>
          <m:radPr>
            <m:degHide m:val="1"/>
          </m:radPr>
          <m:deg/>
          <m:e>
            <m:sSub>
              <m:e>
                <m:r>
                  <w:rPr>
                    <w:rFonts w:ascii="Cambria Math" w:hAnsi="Cambria Math"/>
                  </w:rPr>
                  <m:t xml:space="preserve">y</m:t>
                </m:r>
              </m:e>
              <m:sub>
                <m:r>
                  <w:rPr>
                    <w:rFonts w:ascii="Cambria Math" w:hAnsi="Cambria Math"/>
                  </w:rPr>
                  <m:t xml:space="preserve">i</m:t>
                </m:r>
              </m:sub>
            </m:sSub>
          </m:e>
        </m:rad>
      </m:oMath>
    </w:p>
    <w:p>
      <w:pPr>
        <w:pStyle w:val="style0"/>
        <w:jc w:val="left"/>
        <w:rPr>
          <w:i w:val="false"/>
          <w:iCs w:val="false"/>
        </w:rPr>
      </w:pPr>
      <w:r>
        <w:rPr>
          <w:i w:val="false"/>
          <w:iCs w:val="false"/>
        </w:rPr>
        <w:t xml:space="preserve">Note that for </w:t>
      </w:r>
      <w:r>
        <w:rPr>
          <w:i w:val="false"/>
          <w:iCs w:val="false"/>
        </w:rPr>
      </w:r>
      <m:oMath xmlns:m="http://schemas.openxmlformats.org/officeDocument/2006/math">
        <m:sSub>
          <m:e>
            <m:r>
              <w:rPr>
                <w:rFonts w:ascii="Cambria Math" w:hAnsi="Cambria Math"/>
              </w:rPr>
              <m:t xml:space="preserve">d</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d</m:t>
            </m:r>
          </m:e>
          <m:sub>
            <m:sSup>
              <m:e>
                <m:r>
                  <w:rPr>
                    <w:rFonts w:ascii="Cambria Math" w:hAnsi="Cambria Math"/>
                  </w:rPr>
                  <m:t xml:space="preserve">χ</m:t>
                </m:r>
              </m:e>
              <m:sup>
                <m:r>
                  <w:rPr>
                    <w:rFonts w:ascii="Cambria Math" w:hAnsi="Cambria Math"/>
                  </w:rPr>
                  <m:t xml:space="preserve">2</m:t>
                </m:r>
              </m:sup>
            </m:sSup>
          </m:sub>
        </m:sSub>
      </m:oMath>
      <w:r>
        <w:rPr>
          <w:i w:val="false"/>
          <w:iCs w:val="false"/>
        </w:rPr>
        <w:t xml:space="preserve"> </w:t>
      </w:r>
      <w:r>
        <w:rPr>
          <w:i w:val="false"/>
          <w:iCs w:val="false"/>
        </w:rPr>
        <w:t>lower outcomes indicate that</w:t>
      </w:r>
      <w:r>
        <w:rPr>
          <w:i w:val="false"/>
          <w:iCs w:val="false"/>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i w:val="false"/>
          <w:iCs w:val="false"/>
        </w:rPr>
        <w:t xml:space="preserve">are more similar (“more nearby” in the space of histograms with the given distance measure as inner product), but for </w:t>
      </w:r>
      <w:r>
        <w:rPr>
          <w:i w:val="false"/>
          <w:iCs w:val="false"/>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oMath>
      <w:r>
        <w:rPr>
          <w:i w:val="false"/>
          <w:iCs w:val="false"/>
        </w:rPr>
        <w:t xml:space="preserve">more similar objects have higher outcomes. Actually, </w:t>
      </w:r>
      <w:r>
        <w:rPr>
          <w:i w:val="false"/>
          <w:iCs w:val="false"/>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oMath>
      <w:r>
        <w:rPr>
          <w:i w:val="false"/>
          <w:iCs w:val="false"/>
        </w:rPr>
        <w:t xml:space="preserve">are not distance measures (one rule to be a true distance measure </w:t>
      </w:r>
      <w:r>
        <w:rPr>
          <w:i w:val="false"/>
          <w:iCs w:val="false"/>
        </w:rPr>
      </w:r>
      <m:oMath xmlns:m="http://schemas.openxmlformats.org/officeDocument/2006/math">
        <m:r>
          <w:rPr>
            <w:rFonts w:ascii="Cambria Math" w:hAnsi="Cambria Math"/>
          </w:rPr>
          <m:t xml:space="preserve">d</m:t>
        </m:r>
      </m:oMath>
      <w:r>
        <w:rPr>
          <w:i w:val="false"/>
          <w:iCs w:val="false"/>
        </w:rPr>
        <w:t xml:space="preserve">is that the distance of a vector to itself is </w:t>
      </w:r>
      <w:r>
        <w:rPr>
          <w:i w:val="false"/>
          <w:iCs w:val="false"/>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x</m:t>
            </m:r>
          </m:e>
        </m:d>
        <m:r>
          <w:rPr>
            <w:rFonts w:ascii="Cambria Math" w:hAnsi="Cambria Math"/>
          </w:rPr>
          <m:t xml:space="preserve">=</m:t>
        </m:r>
        <m:r>
          <w:rPr>
            <w:rFonts w:ascii="Cambria Math" w:hAnsi="Cambria Math"/>
          </w:rPr>
          <m:t xml:space="preserve">0</m:t>
        </m:r>
      </m:oMath>
      <w:r>
        <w:rPr>
          <w:i w:val="false"/>
          <w:iCs w:val="false"/>
        </w:rPr>
        <w:t>).</w:t>
      </w:r>
      <w:r>
        <w:rPr>
          <w:i w:val="false"/>
          <w:iCs w:val="false"/>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H</m:t>
            </m:r>
          </m:sub>
        </m:sSub>
      </m:oMath>
      <w:r>
        <w:rPr>
          <w:i w:val="false"/>
          <w:iCs w:val="false"/>
        </w:rPr>
        <w:t xml:space="preserve">are </w:t>
      </w:r>
      <w:r>
        <w:rPr>
          <w:i/>
          <w:iCs/>
        </w:rPr>
        <w:t>similarity measures</w:t>
      </w:r>
      <w:r>
        <w:rPr>
          <w:i w:val="false"/>
          <w:iCs w:val="false"/>
        </w:rPr>
        <w:t>. Any distance measures can easily be transformed to a similarity measure:</w:t>
      </w:r>
    </w:p>
    <w:p>
      <w:pPr>
        <w:pStyle w:val="style0"/>
        <w:jc w:val="center"/>
        <w:rPr>
          <w:i w:val="false"/>
          <w:iCs w:val="false"/>
        </w:rPr>
      </w:pPr>
      <w:r>
        <w:rPr>
          <w:i w:val="false"/>
          <w:iCs w:val="false"/>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x</m:t>
            </m:r>
          </m:e>
        </m:d>
      </m:oMath>
    </w:p>
    <w:p>
      <w:pPr>
        <w:pStyle w:val="style0"/>
        <w:jc w:val="left"/>
        <w:rPr>
          <w:i w:val="false"/>
          <w:iCs w:val="false"/>
        </w:rPr>
      </w:pPr>
      <w:r>
        <w:rPr>
          <w:i w:val="false"/>
          <w:iCs w:val="false"/>
        </w:rPr>
        <w:t>In our code, we have transformed each distance measure in a similarity measure.</w:t>
      </w:r>
    </w:p>
    <w:p>
      <w:pPr>
        <w:pStyle w:val="style1"/>
        <w:rPr/>
      </w:pPr>
      <w:r>
        <w:rPr/>
        <w:t>Step E</w:t>
      </w:r>
    </w:p>
    <w:p>
      <w:pPr>
        <w:pStyle w:val="style0"/>
        <w:rPr/>
      </w:pPr>
      <w:r>
        <w:rPr/>
        <w:t>Ranking the image</w:t>
      </w:r>
      <w:r>
        <w:rPr/>
        <w:t>s</w:t>
      </w:r>
      <w:r>
        <w:rPr/>
        <w:t xml:space="preserve"> for similarity </w:t>
      </w:r>
      <w:r>
        <w:rPr/>
        <w:t xml:space="preserve">to a chosen image </w:t>
      </w:r>
      <w:r>
        <w:rPr/>
        <w:t xml:space="preserve">is now very easy. </w:t>
      </w:r>
      <w:r>
        <w:rPr/>
        <w:t xml:space="preserve">First, we </w:t>
      </w:r>
      <w:r>
        <w:rPr/>
        <w:t xml:space="preserve">have to compute the </w:t>
      </w:r>
      <w:r>
        <w:rPr/>
        <w:t xml:space="preserve">combined </w:t>
      </w:r>
      <w:r>
        <w:rPr/>
        <w:t xml:space="preserve">histogram of each image in the data set. </w:t>
      </w:r>
      <w:r>
        <w:rPr/>
        <w:t>Then, compute the similarity of each image with the chosen image. Sort all images in descending order with respect to their similarity with the chosen image. The first image on your list is most similar to the provided query image.</w:t>
      </w:r>
    </w:p>
    <w:p>
      <w:pPr>
        <w:pStyle w:val="style0"/>
        <w:rPr>
          <w:shd w:fill="FF0000" w:val="clear"/>
        </w:rPr>
      </w:pPr>
      <w:r>
        <w:rPr/>
        <w:t>T</w:t>
      </w:r>
      <w:r>
        <w:rPr/>
        <w:t xml:space="preserve">his has been done for each similarity measure with query images </w:t>
      </w:r>
      <w:r>
        <w:rPr>
          <w:rFonts w:ascii="Monospace" w:hAnsi="Monospace"/>
        </w:rPr>
        <w:t>5.jpg</w:t>
      </w:r>
      <w:r>
        <w:rPr/>
        <w:t xml:space="preserve">, </w:t>
      </w:r>
      <w:r>
        <w:rPr>
          <w:rFonts w:ascii="Monospace" w:hAnsi="Monospace"/>
        </w:rPr>
        <w:t>10.jpg</w:t>
      </w:r>
      <w:r>
        <w:rPr/>
        <w:t xml:space="preserve"> and </w:t>
      </w:r>
      <w:r>
        <w:rPr>
          <w:rFonts w:ascii="Monospace" w:hAnsi="Monospace"/>
        </w:rPr>
        <w:t>15.jpg</w:t>
      </w:r>
      <w:r>
        <w:rPr/>
        <w:t xml:space="preserve">. The results summarized in Table 1. </w:t>
      </w:r>
      <w:r>
        <w:rPr/>
        <w:t>Corresponding images are included in Appendix A.</w:t>
      </w:r>
      <w:r>
        <w:rPr/>
        <w:t xml:space="preserve"> </w:t>
      </w:r>
      <w:r>
        <w:rPr>
          <w:shd w:fill="FF0000" w:val="clear"/>
        </w:rPr>
        <w:t>More t</w:t>
      </w:r>
      <w:r>
        <w:rPr>
          <w:shd w:fill="FF0000" w:val="clear"/>
        </w:rPr>
        <w:t>ext on results?</w:t>
      </w:r>
    </w:p>
    <w:tbl>
      <w:tblPr>
        <w:tblW w:type="dxa" w:w="9360"/>
        <w:jc w:val="left"/>
        <w:tblInd w:type="dxa" w:w="55"/>
        <w:tblBorders>
          <w:top w:color="000000" w:space="0" w:sz="2" w:val="single"/>
          <w:left w:color="000000" w:space="0" w:sz="2" w:val="single"/>
          <w:bottom w:color="000000" w:space="0" w:sz="2" w:val="single"/>
          <w:insideH w:color="000000" w:space="0" w:sz="2" w:val="single"/>
          <w:right w:val="nil"/>
          <w:insideV w:val="nil"/>
        </w:tblBorders>
        <w:tblCellMar>
          <w:top w:type="dxa" w:w="55"/>
          <w:left w:type="dxa" w:w="54"/>
          <w:bottom w:type="dxa" w:w="55"/>
          <w:right w:type="dxa" w:w="55"/>
        </w:tblCellMar>
      </w:tblPr>
      <w:tblGrid>
        <w:gridCol w:w="1337"/>
        <w:gridCol w:w="1337"/>
        <w:gridCol w:w="1337"/>
        <w:gridCol w:w="1337"/>
        <w:gridCol w:w="1337"/>
        <w:gridCol w:w="1337"/>
        <w:gridCol w:w="1338"/>
      </w:tblGrid>
      <w:tr>
        <w:trPr>
          <w:tblHeader w:val="true"/>
          <w:trHeight w:hRule="exact" w:val="454"/>
          <w:cantSplit w:val="false"/>
        </w:trPr>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Query id</w:t>
            </w:r>
          </w:p>
        </w:tc>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Sim. meas.</w:t>
            </w:r>
          </w:p>
        </w:tc>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Rank 1</w:t>
            </w:r>
          </w:p>
        </w:tc>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Rank 2</w:t>
            </w:r>
          </w:p>
        </w:tc>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Rank 3</w:t>
            </w:r>
          </w:p>
        </w:tc>
        <w:tc>
          <w:tcPr>
            <w:tcW w:type="dxa" w:w="1337"/>
            <w:tcBorders>
              <w:top w:color="000000" w:space="0" w:sz="2" w:val="single"/>
              <w:left w:color="000000" w:space="0" w:sz="2" w:val="single"/>
              <w:bottom w:color="000000" w:space="0" w:sz="2" w:val="single"/>
              <w:right w:val="nil"/>
            </w:tcBorders>
            <w:shd w:fill="auto" w:val="clear"/>
            <w:tcMar>
              <w:left w:type="dxa" w:w="54"/>
            </w:tcMar>
          </w:tcPr>
          <w:p>
            <w:pPr>
              <w:pStyle w:val="style95"/>
              <w:rPr>
                <w:b/>
                <w:bCs/>
              </w:rPr>
            </w:pPr>
            <w:r>
              <w:rPr>
                <w:b/>
                <w:bCs/>
              </w:rPr>
              <w:t>Rank 4</w:t>
            </w:r>
          </w:p>
        </w:tc>
        <w:tc>
          <w:tcPr>
            <w:tcW w:type="dxa" w:w="1338"/>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95"/>
              <w:rPr>
                <w:b/>
                <w:bCs/>
              </w:rPr>
            </w:pPr>
            <w:r>
              <w:rPr>
                <w:b/>
                <w:bCs/>
              </w:rPr>
              <w:t>Rank 5</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E</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53</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37</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54</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53</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37</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54</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p>
                    <m:e>
                      <m:r>
                        <w:rPr>
                          <w:rFonts w:ascii="Cambria Math" w:hAnsi="Cambria Math"/>
                        </w:rPr>
                        <m:t xml:space="preserve">χ</m:t>
                      </m:r>
                    </m:e>
                    <m:sup>
                      <m:r>
                        <w:rPr>
                          <w:rFonts w:ascii="Cambria Math" w:hAnsi="Cambria Math"/>
                        </w:rPr>
                        <m:t xml:space="preserve">2</m:t>
                      </m:r>
                    </m:sup>
                  </m:sSup>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54</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57</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56</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56</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54</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51</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56</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54</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27</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E</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60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54</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60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54</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p>
                    <m:e>
                      <m:r>
                        <w:rPr>
                          <w:rFonts w:ascii="Cambria Math" w:hAnsi="Cambria Math"/>
                        </w:rPr>
                        <m:t xml:space="preserve">χ</m:t>
                      </m:r>
                    </m:e>
                    <m:sup>
                      <m:r>
                        <w:rPr>
                          <w:rFonts w:ascii="Cambria Math" w:hAnsi="Cambria Math"/>
                        </w:rPr>
                        <m:t xml:space="preserve">2</m:t>
                      </m:r>
                    </m:sup>
                  </m:sSup>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60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35</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60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43</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60</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43</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30</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E</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12</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18</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31</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b>
                    <m:e>
                      <m:r>
                        <w:rPr>
                          <w:rFonts w:ascii="Cambria Math" w:hAnsi="Cambria Math"/>
                        </w:rPr>
                        <m:t xml:space="preserve">ℓ</m:t>
                      </m:r>
                    </m:e>
                    <m:sub>
                      <m:r>
                        <w:rPr>
                          <w:rFonts w:ascii="Cambria Math" w:hAnsi="Cambria Math"/>
                        </w:rPr>
                        <m:t xml:space="preserve">2</m:t>
                      </m:r>
                    </m:sub>
                  </m:sSub>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12</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18</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31</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sSup>
                    <m:e>
                      <m:r>
                        <w:rPr>
                          <w:rFonts w:ascii="Cambria Math" w:hAnsi="Cambria Math"/>
                        </w:rPr>
                        <m:t xml:space="preserve">χ</m:t>
                      </m:r>
                    </m:e>
                    <m:sup>
                      <m:r>
                        <w:rPr>
                          <w:rFonts w:ascii="Cambria Math" w:hAnsi="Cambria Math"/>
                        </w:rPr>
                        <m:t xml:space="preserve">2</m:t>
                      </m:r>
                    </m:sup>
                  </m:sSup>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18</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31</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19</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18</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20</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31</w:t>
            </w:r>
          </w:p>
        </w:tc>
      </w:tr>
      <w:tr>
        <w:trPr>
          <w:trHeight w:hRule="exact" w:val="454"/>
          <w:cantSplit w:val="false"/>
        </w:trPr>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r>
            <m:oMath xmlns:m="http://schemas.openxmlformats.org/officeDocument/2006/math">
              <m:sSub>
                <m:e>
                  <m:r>
                    <w:rPr>
                      <w:rFonts w:ascii="Cambria Math" w:hAnsi="Cambria Math"/>
                    </w:rPr>
                    <m:t xml:space="preserve">d</m:t>
                  </m:r>
                </m:e>
                <m:sub>
                  <m:r>
                    <w:rPr>
                      <w:rFonts w:ascii="Cambria Math" w:hAnsi="Cambria Math"/>
                    </w:rPr>
                    <m:t xml:space="preserve">H</m:t>
                  </m:r>
                </m:sub>
              </m:sSub>
            </m:oMath>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15</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27</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12</w:t>
            </w:r>
          </w:p>
        </w:tc>
        <w:tc>
          <w:tcPr>
            <w:tcW w:type="dxa" w:w="1337"/>
            <w:tcBorders>
              <w:top w:val="nil"/>
              <w:left w:color="000000" w:space="0" w:sz="2" w:val="single"/>
              <w:bottom w:color="000000" w:space="0" w:sz="2" w:val="single"/>
              <w:right w:val="nil"/>
            </w:tcBorders>
            <w:shd w:fill="auto" w:val="clear"/>
            <w:tcMar>
              <w:left w:type="dxa" w:w="54"/>
            </w:tcMar>
          </w:tcPr>
          <w:p>
            <w:pPr>
              <w:pStyle w:val="style94"/>
              <w:rPr/>
            </w:pPr>
            <w:r>
              <w:rPr/>
              <w:t>54</w:t>
            </w:r>
          </w:p>
        </w:tc>
        <w:tc>
          <w:tcPr>
            <w:tcW w:type="dxa" w:w="1338"/>
            <w:tcBorders>
              <w:top w:val="nil"/>
              <w:left w:color="000000" w:space="0" w:sz="2" w:val="single"/>
              <w:bottom w:color="000000" w:space="0" w:sz="2" w:val="single"/>
              <w:right w:color="000000" w:space="0" w:sz="2" w:val="single"/>
            </w:tcBorders>
            <w:shd w:fill="auto" w:val="clear"/>
            <w:tcMar>
              <w:left w:type="dxa" w:w="54"/>
            </w:tcMar>
          </w:tcPr>
          <w:p>
            <w:pPr>
              <w:pStyle w:val="style94"/>
              <w:rPr/>
            </w:pPr>
            <w:r>
              <w:rPr/>
              <w:t>18</w:t>
            </w:r>
          </w:p>
        </w:tc>
      </w:tr>
    </w:tbl>
    <w:p>
      <w:pPr>
        <w:pStyle w:val="style0"/>
        <w:rPr>
          <w:b w:val="false"/>
          <w:bCs w:val="false"/>
        </w:rPr>
      </w:pPr>
      <w:r>
        <w:rPr>
          <w:b/>
          <w:bCs/>
        </w:rPr>
        <w:t>Table 1:</w:t>
      </w:r>
      <w:r>
        <w:rPr>
          <w:b w:val="false"/>
          <w:bCs w:val="false"/>
        </w:rPr>
        <w:t xml:space="preserve"> Overview of image ids similar to the query under the provided similarity measure. </w:t>
      </w:r>
    </w:p>
    <w:p>
      <w:pPr>
        <w:pStyle w:val="style1"/>
        <w:rPr>
          <w:b w:val="false"/>
          <w:bCs w:val="false"/>
        </w:rPr>
      </w:pPr>
      <w:r>
        <w:rPr>
          <w:b w:val="false"/>
          <w:bCs w:val="false"/>
        </w:rPr>
        <w:t>Step F</w:t>
      </w:r>
    </w:p>
    <w:p>
      <w:pPr>
        <w:pStyle w:val="style0"/>
        <w:rPr>
          <w:b w:val="false"/>
          <w:bCs w:val="false"/>
          <w:shd w:fill="FF0000" w:val="clear"/>
        </w:rPr>
      </w:pPr>
      <w:r>
        <w:rPr>
          <w:b w:val="false"/>
          <w:bCs w:val="false"/>
          <w:shd w:fill="FF0000" w:val="clear"/>
        </w:rPr>
        <w:t>More text...</w:t>
      </w:r>
    </w:p>
    <w:p>
      <w:pPr>
        <w:pStyle w:val="style0"/>
        <w:rPr>
          <w:shd w:fill="FF0000" w:val="clear"/>
        </w:rPr>
      </w:pPr>
      <w:r>
        <w:rPr>
          <w:shd w:fill="FF0000" w:val="clear"/>
        </w:rPr>
      </w:r>
    </w:p>
    <w:p>
      <w:pPr>
        <w:pStyle w:val="style1"/>
        <w:pageBreakBefore/>
        <w:rPr>
          <w:b w:val="false"/>
          <w:bCs w:val="false"/>
        </w:rPr>
      </w:pPr>
      <w:r>
        <w:rPr>
          <w:b w:val="false"/>
          <w:bCs w:val="false"/>
        </w:rPr>
        <w:t>Appendix A: Similar images</w:t>
      </w:r>
    </w:p>
    <w:p>
      <w:pPr>
        <w:pStyle w:val="style0"/>
        <w:rPr>
          <w:b w:val="false"/>
          <w:bCs w:val="false"/>
        </w:rPr>
      </w:pPr>
      <w:r>
        <w:rPr>
          <w:b/>
          <w:bCs/>
        </w:rPr>
        <w:t xml:space="preserve">Figure A.1: </w:t>
        <w:drawing>
          <wp:anchor allowOverlap="1" behindDoc="0" distB="0" distL="0" distR="0" distT="0" layoutInCell="1" locked="0" relativeHeight="56" simplePos="0">
            <wp:simplePos x="0" y="0"/>
            <wp:positionH relativeFrom="column">
              <wp:posOffset>0</wp:posOffset>
            </wp:positionH>
            <wp:positionV relativeFrom="paragraph">
              <wp:posOffset>0</wp:posOffset>
            </wp:positionV>
            <wp:extent cx="5943600" cy="447929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8"/>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Similar images to 5 under the Euclidean and l2 measure.</w:t>
      </w:r>
    </w:p>
    <w:p>
      <w:pPr>
        <w:pStyle w:val="style0"/>
        <w:rPr>
          <w:b w:val="false"/>
          <w:bCs w:val="false"/>
        </w:rPr>
      </w:pPr>
      <w:r>
        <w:rPr>
          <w:b/>
          <w:bCs/>
        </w:rPr>
        <w:t>Figure A.2:</w:t>
        <w:drawing>
          <wp:anchor allowOverlap="1" behindDoc="0" distB="0" distL="0" distR="0" distT="0" layoutInCell="1" locked="0" relativeHeight="57" simplePos="0">
            <wp:simplePos x="0" y="0"/>
            <wp:positionH relativeFrom="column">
              <wp:posOffset>0</wp:posOffset>
            </wp:positionH>
            <wp:positionV relativeFrom="paragraph">
              <wp:posOffset>0</wp:posOffset>
            </wp:positionV>
            <wp:extent cx="5943600" cy="447929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9"/>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5 under chi2 measure.</w:t>
      </w:r>
    </w:p>
    <w:p>
      <w:pPr>
        <w:pStyle w:val="style0"/>
        <w:rPr>
          <w:b w:val="false"/>
          <w:bCs w:val="false"/>
        </w:rPr>
      </w:pPr>
      <w:r>
        <w:rPr>
          <w:b/>
          <w:bCs/>
        </w:rPr>
        <w:t>Figure A.3:</w:t>
        <w:drawing>
          <wp:anchor allowOverlap="1" behindDoc="0" distB="0" distL="0" distR="0" distT="0" layoutInCell="1" locked="0" relativeHeight="58" simplePos="0">
            <wp:simplePos x="0" y="0"/>
            <wp:positionH relativeFrom="column">
              <wp:posOffset>0</wp:posOffset>
            </wp:positionH>
            <wp:positionV relativeFrom="paragraph">
              <wp:posOffset>0</wp:posOffset>
            </wp:positionV>
            <wp:extent cx="5943600" cy="447929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10"/>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5 under histogram measure.</w:t>
      </w:r>
    </w:p>
    <w:p>
      <w:pPr>
        <w:pStyle w:val="style0"/>
        <w:rPr>
          <w:b w:val="false"/>
          <w:bCs w:val="false"/>
        </w:rPr>
      </w:pPr>
      <w:r>
        <w:rPr>
          <w:b/>
          <w:bCs/>
        </w:rPr>
        <w:t>Figure A.4:</w:t>
        <w:drawing>
          <wp:anchor allowOverlap="1" behindDoc="0" distB="0" distL="0" distR="0" distT="0" layoutInCell="1" locked="0" relativeHeight="59" simplePos="0">
            <wp:simplePos x="0" y="0"/>
            <wp:positionH relativeFrom="column">
              <wp:posOffset>0</wp:posOffset>
            </wp:positionH>
            <wp:positionV relativeFrom="paragraph">
              <wp:posOffset>0</wp:posOffset>
            </wp:positionV>
            <wp:extent cx="5943600" cy="4479290"/>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11"/>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5 under Hellinger measure.</w:t>
      </w:r>
    </w:p>
    <w:p>
      <w:pPr>
        <w:pStyle w:val="style0"/>
        <w:pageBreakBefore/>
        <w:rPr>
          <w:b w:val="false"/>
          <w:bCs w:val="false"/>
        </w:rPr>
      </w:pPr>
      <w:r>
        <w:rPr>
          <w:b/>
          <w:bCs/>
        </w:rPr>
        <w:t>Figure A.5:</w:t>
        <w:drawing>
          <wp:anchor allowOverlap="1" behindDoc="0" distB="0" distL="0" distR="0" distT="0" layoutInCell="1" locked="0" relativeHeight="60" simplePos="0">
            <wp:simplePos x="0" y="0"/>
            <wp:positionH relativeFrom="column">
              <wp:posOffset>0</wp:posOffset>
            </wp:positionH>
            <wp:positionV relativeFrom="paragraph">
              <wp:posOffset>0</wp:posOffset>
            </wp:positionV>
            <wp:extent cx="5943600" cy="4479290"/>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2"/>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10 under Euclidean and l2 measure.</w:t>
      </w:r>
    </w:p>
    <w:p>
      <w:pPr>
        <w:pStyle w:val="style0"/>
        <w:pageBreakBefore/>
        <w:rPr>
          <w:b w:val="false"/>
          <w:bCs w:val="false"/>
        </w:rPr>
      </w:pPr>
      <w:r>
        <w:rPr>
          <w:b/>
          <w:bCs/>
        </w:rPr>
        <w:t>Figure A.6:</w:t>
        <w:drawing>
          <wp:anchor allowOverlap="1" behindDoc="0" distB="0" distL="0" distR="0" distT="0" layoutInCell="1" locked="0" relativeHeight="61" simplePos="0">
            <wp:simplePos x="0" y="0"/>
            <wp:positionH relativeFrom="column">
              <wp:posOffset>0</wp:posOffset>
            </wp:positionH>
            <wp:positionV relativeFrom="paragraph">
              <wp:posOffset>0</wp:posOffset>
            </wp:positionV>
            <wp:extent cx="5943600" cy="4479290"/>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3"/>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10 under chi2 measure.</w:t>
      </w:r>
    </w:p>
    <w:p>
      <w:pPr>
        <w:pStyle w:val="style0"/>
        <w:pageBreakBefore/>
        <w:rPr>
          <w:b w:val="false"/>
          <w:bCs w:val="false"/>
        </w:rPr>
      </w:pPr>
      <w:r>
        <w:rPr>
          <w:b/>
          <w:bCs/>
        </w:rPr>
        <w:t>Figure A.7:</w:t>
        <w:drawing>
          <wp:anchor allowOverlap="1" behindDoc="0" distB="0" distL="0" distR="0" distT="0" layoutInCell="1" locked="0" relativeHeight="62" simplePos="0">
            <wp:simplePos x="0" y="0"/>
            <wp:positionH relativeFrom="column">
              <wp:posOffset>0</wp:posOffset>
            </wp:positionH>
            <wp:positionV relativeFrom="paragraph">
              <wp:posOffset>0</wp:posOffset>
            </wp:positionV>
            <wp:extent cx="5943600" cy="447929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4"/>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val="false"/>
          <w:bCs w:val="false"/>
        </w:rPr>
        <w:t xml:space="preserve"> Similar images to 10 under histogram measure.</w:t>
      </w:r>
    </w:p>
    <w:p>
      <w:pPr>
        <w:pStyle w:val="style0"/>
        <w:pageBreakBefore/>
        <w:rPr>
          <w:b w:val="false"/>
          <w:bCs w:val="false"/>
        </w:rPr>
      </w:pPr>
      <w:r>
        <w:rPr>
          <w:b/>
          <w:bCs/>
        </w:rPr>
        <w:t>Figure A.</w:t>
        <w:drawing>
          <wp:anchor allowOverlap="1" behindDoc="0" distB="0" distL="0" distR="0" distT="0" layoutInCell="1" locked="0" relativeHeight="63" simplePos="0">
            <wp:simplePos x="0" y="0"/>
            <wp:positionH relativeFrom="column">
              <wp:posOffset>0</wp:posOffset>
            </wp:positionH>
            <wp:positionV relativeFrom="paragraph">
              <wp:posOffset>0</wp:posOffset>
            </wp:positionV>
            <wp:extent cx="5943600" cy="4479290"/>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5"/>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bCs/>
        </w:rPr>
        <w:t>8</w:t>
      </w:r>
      <w:r>
        <w:rPr>
          <w:b/>
          <w:bCs/>
        </w:rPr>
        <w:t>:</w:t>
      </w:r>
      <w:r>
        <w:rPr>
          <w:b w:val="false"/>
          <w:bCs w:val="false"/>
        </w:rPr>
        <w:t xml:space="preserve"> Similar images to </w:t>
      </w:r>
      <w:r>
        <w:rPr>
          <w:b w:val="false"/>
          <w:bCs w:val="false"/>
        </w:rPr>
        <w:t>10</w:t>
      </w:r>
      <w:r>
        <w:rPr>
          <w:b w:val="false"/>
          <w:bCs w:val="false"/>
        </w:rPr>
        <w:t xml:space="preserve"> under </w:t>
      </w:r>
      <w:r>
        <w:rPr>
          <w:b w:val="false"/>
          <w:bCs w:val="false"/>
        </w:rPr>
        <w:t xml:space="preserve">Hellinger </w:t>
      </w:r>
      <w:r>
        <w:rPr>
          <w:b w:val="false"/>
          <w:bCs w:val="false"/>
        </w:rPr>
        <w:t>measure.</w:t>
      </w:r>
    </w:p>
    <w:p>
      <w:pPr>
        <w:pStyle w:val="style0"/>
        <w:pageBreakBefore/>
        <w:rPr>
          <w:b w:val="false"/>
          <w:bCs w:val="false"/>
        </w:rPr>
      </w:pPr>
      <w:r>
        <w:rPr>
          <w:b/>
          <w:bCs/>
        </w:rPr>
        <w:t>Figure A.</w:t>
        <w:drawing>
          <wp:anchor allowOverlap="1" behindDoc="0" distB="0" distL="0" distR="0" distT="0" layoutInCell="1" locked="0" relativeHeight="64" simplePos="0">
            <wp:simplePos x="0" y="0"/>
            <wp:positionH relativeFrom="column">
              <wp:posOffset>0</wp:posOffset>
            </wp:positionH>
            <wp:positionV relativeFrom="paragraph">
              <wp:posOffset>0</wp:posOffset>
            </wp:positionV>
            <wp:extent cx="5943600" cy="447929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6"/>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bCs/>
        </w:rPr>
        <w:t>9</w:t>
      </w:r>
      <w:r>
        <w:rPr>
          <w:b/>
          <w:bCs/>
        </w:rPr>
        <w:t>:</w:t>
      </w:r>
      <w:r>
        <w:rPr>
          <w:b w:val="false"/>
          <w:bCs w:val="false"/>
        </w:rPr>
        <w:t xml:space="preserve"> Similar images to </w:t>
      </w:r>
      <w:r>
        <w:rPr>
          <w:b w:val="false"/>
          <w:bCs w:val="false"/>
        </w:rPr>
        <w:t>1</w:t>
      </w:r>
      <w:r>
        <w:rPr>
          <w:b w:val="false"/>
          <w:bCs w:val="false"/>
        </w:rPr>
        <w:t xml:space="preserve">5 under </w:t>
      </w:r>
      <w:r>
        <w:rPr>
          <w:b w:val="false"/>
          <w:bCs w:val="false"/>
        </w:rPr>
        <w:t xml:space="preserve">Euclidean and l2 </w:t>
      </w:r>
      <w:r>
        <w:rPr>
          <w:b w:val="false"/>
          <w:bCs w:val="false"/>
        </w:rPr>
        <w:t>measure.</w:t>
      </w:r>
    </w:p>
    <w:p>
      <w:pPr>
        <w:pStyle w:val="style0"/>
        <w:pageBreakBefore/>
        <w:rPr>
          <w:b w:val="false"/>
          <w:bCs w:val="false"/>
        </w:rPr>
      </w:pPr>
      <w:r>
        <w:rPr>
          <w:b/>
          <w:bCs/>
        </w:rPr>
        <w:t>Figure A.</w:t>
        <w:drawing>
          <wp:anchor allowOverlap="1" behindDoc="0" distB="0" distL="0" distR="0" distT="0" layoutInCell="1" locked="0" relativeHeight="65" simplePos="0">
            <wp:simplePos x="0" y="0"/>
            <wp:positionH relativeFrom="column">
              <wp:posOffset>0</wp:posOffset>
            </wp:positionH>
            <wp:positionV relativeFrom="paragraph">
              <wp:posOffset>0</wp:posOffset>
            </wp:positionV>
            <wp:extent cx="5943600" cy="4479290"/>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7"/>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bCs/>
        </w:rPr>
        <w:t>10</w:t>
      </w:r>
      <w:r>
        <w:rPr>
          <w:b/>
          <w:bCs/>
        </w:rPr>
        <w:t>:</w:t>
      </w:r>
      <w:r>
        <w:rPr>
          <w:b w:val="false"/>
          <w:bCs w:val="false"/>
        </w:rPr>
        <w:t xml:space="preserve"> Similar images to </w:t>
      </w:r>
      <w:r>
        <w:rPr>
          <w:b w:val="false"/>
          <w:bCs w:val="false"/>
        </w:rPr>
        <w:t>15</w:t>
      </w:r>
      <w:r>
        <w:rPr>
          <w:b w:val="false"/>
          <w:bCs w:val="false"/>
        </w:rPr>
        <w:t xml:space="preserve"> under chi2 measure.</w:t>
      </w:r>
    </w:p>
    <w:p>
      <w:pPr>
        <w:pStyle w:val="style0"/>
        <w:pageBreakBefore/>
        <w:rPr>
          <w:b w:val="false"/>
          <w:bCs w:val="false"/>
        </w:rPr>
      </w:pPr>
      <w:r>
        <w:rPr>
          <w:b/>
          <w:bCs/>
        </w:rPr>
        <w:t>Figure A.</w:t>
        <w:drawing>
          <wp:anchor allowOverlap="1" behindDoc="0" distB="0" distL="0" distR="0" distT="0" layoutInCell="1" locked="0" relativeHeight="66" simplePos="0">
            <wp:simplePos x="0" y="0"/>
            <wp:positionH relativeFrom="column">
              <wp:posOffset>0</wp:posOffset>
            </wp:positionH>
            <wp:positionV relativeFrom="paragraph">
              <wp:posOffset>0</wp:posOffset>
            </wp:positionV>
            <wp:extent cx="5943600" cy="447929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8"/>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bCs/>
        </w:rPr>
        <w:t>11</w:t>
      </w:r>
      <w:r>
        <w:rPr>
          <w:b/>
          <w:bCs/>
        </w:rPr>
        <w:t>:</w:t>
      </w:r>
      <w:r>
        <w:rPr>
          <w:b w:val="false"/>
          <w:bCs w:val="false"/>
        </w:rPr>
        <w:t xml:space="preserve"> Similar images to </w:t>
      </w:r>
      <w:r>
        <w:rPr>
          <w:b w:val="false"/>
          <w:bCs w:val="false"/>
        </w:rPr>
        <w:t>1</w:t>
      </w:r>
      <w:r>
        <w:rPr>
          <w:b w:val="false"/>
          <w:bCs w:val="false"/>
        </w:rPr>
        <w:t xml:space="preserve">5 under </w:t>
      </w:r>
      <w:r>
        <w:rPr>
          <w:b w:val="false"/>
          <w:bCs w:val="false"/>
        </w:rPr>
        <w:t xml:space="preserve">histogram </w:t>
      </w:r>
      <w:r>
        <w:rPr>
          <w:b w:val="false"/>
          <w:bCs w:val="false"/>
        </w:rPr>
        <w:t>measure.</w:t>
      </w:r>
    </w:p>
    <w:p>
      <w:pPr>
        <w:pStyle w:val="style0"/>
        <w:pageBreakBefore/>
        <w:rPr>
          <w:b w:val="false"/>
          <w:bCs w:val="false"/>
        </w:rPr>
      </w:pPr>
      <w:r>
        <w:rPr>
          <w:b/>
          <w:bCs/>
        </w:rPr>
        <w:t>Figure A.</w:t>
        <w:drawing>
          <wp:anchor allowOverlap="1" behindDoc="0" distB="0" distL="0" distR="0" distT="0" layoutInCell="1" locked="0" relativeHeight="67" simplePos="0">
            <wp:simplePos x="0" y="0"/>
            <wp:positionH relativeFrom="column">
              <wp:posOffset>0</wp:posOffset>
            </wp:positionH>
            <wp:positionV relativeFrom="paragraph">
              <wp:posOffset>0</wp:posOffset>
            </wp:positionV>
            <wp:extent cx="5943600" cy="4479290"/>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9"/>
                    <a:srcRect/>
                    <a:stretch>
                      <a:fillRect/>
                    </a:stretch>
                  </pic:blipFill>
                  <pic:spPr bwMode="auto">
                    <a:xfrm>
                      <a:off x="0" y="0"/>
                      <a:ext cx="5943600" cy="4479290"/>
                    </a:xfrm>
                    <a:prstGeom prst="rect">
                      <a:avLst/>
                    </a:prstGeom>
                    <a:noFill/>
                    <a:ln w="9525">
                      <a:noFill/>
                      <a:miter lim="800000"/>
                      <a:headEnd/>
                      <a:tailEnd/>
                    </a:ln>
                  </pic:spPr>
                </pic:pic>
              </a:graphicData>
            </a:graphic>
          </wp:anchor>
        </w:drawing>
      </w:r>
      <w:r>
        <w:rPr>
          <w:b/>
          <w:bCs/>
        </w:rPr>
        <w:t>1</w:t>
      </w:r>
      <w:r>
        <w:rPr>
          <w:b/>
          <w:bCs/>
        </w:rPr>
        <w:t>2:</w:t>
      </w:r>
      <w:r>
        <w:rPr>
          <w:b w:val="false"/>
          <w:bCs w:val="false"/>
        </w:rPr>
        <w:t xml:space="preserve"> Similar images to </w:t>
      </w:r>
      <w:r>
        <w:rPr>
          <w:b w:val="false"/>
          <w:bCs w:val="false"/>
        </w:rPr>
        <w:t>1</w:t>
      </w:r>
      <w:r>
        <w:rPr>
          <w:b w:val="false"/>
          <w:bCs w:val="false"/>
        </w:rPr>
        <w:t xml:space="preserve">5 under </w:t>
      </w:r>
      <w:r>
        <w:rPr>
          <w:b w:val="false"/>
          <w:bCs w:val="false"/>
        </w:rPr>
        <w:t xml:space="preserve">Hellinger </w:t>
      </w:r>
      <w:r>
        <w:rPr>
          <w:b w:val="false"/>
          <w:bCs w:val="false"/>
        </w:rPr>
        <w:t>measure.</w:t>
      </w:r>
    </w:p>
    <w:sectPr>
      <w:headerReference r:id="rId20" w:type="even"/>
      <w:headerReference r:id="rId21" w:type="default"/>
      <v:group alt="Group 23" coordorigin="-4608,71" coordsize="5549,70" id="shape_0" style="position:absolute;margin-left:-230.4pt;margin-top:3.55pt;width:277.45pt;height:3.5pt">
        <v:shape id="shape_0" style="position:absolute;left:-2723;top:-95358;width:2722;height:47714" type="shapetype_32">
          <v:wrap v:type="none"/>
          <v:fill detectmouseclick="t"/>
          <v:stroke color="#438086" endcap="flat" joinstyle="round" weight="19080"/>
        </v:shape>
        <v:shape id="shape_0" style="position:absolute;left:-3666;top:-95500;width:3665;height:47785" type="shapetype_32">
          <v:wrap v:type="none"/>
          <v:fill detectmouseclick="t"/>
          <v:stroke color="#438086" endcap="flat" joinstyle="round" weight="3240"/>
        </v:shape>
      </v:group>
      <w:footerReference r:id="rId22" w:type="even"/>
      <v:group alt="Group 20" coordorigin="-4608,71" coordsize="5549,70" id="shape_0" style="position:absolute;margin-left:-230.4pt;margin-top:3.55pt;width:277.45pt;height:3.5pt">
        <v:shape id="shape_0" style="position:absolute;left:-2723;top:-127606;width:2722;height:63838" type="shapetype_32">
          <v:wrap v:type="none"/>
          <v:fill detectmouseclick="t"/>
          <v:stroke color="#438086" endcap="flat" joinstyle="round" weight="19080"/>
        </v:shape>
        <v:shape id="shape_0" style="position:absolute;left:-3666;top:-127748;width:3665;height:63909" type="shapetype_32">
          <v:wrap v:type="none"/>
          <v:fill detectmouseclick="t"/>
          <v:stroke color="#438086" endcap="flat" joinstyle="round" weight="3240"/>
        </v:shape>
      </v:group>
      <w:footerReference r:id="rId23" w:type="default"/>
      <w:footnotePr>
        <w:numFmt w:val="decimal"/>
      </w:footnotePr>
      <w:type w:val="nextPage"/>
      <w:pgSz w:h="15840" w:w="12240"/>
      <w:pgMar w:bottom="1440" w:footer="720" w:gutter="0" w:header="720" w:left="1440" w:right="1440" w:top="1440"/>
      <w:pgNumType w:fmt="decimal"/>
      <w:formProt w:val="false"/>
      <w:textDirection w:val="lrTb"/>
      <w:docGrid w:charSpace="8192"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Georgia">
    <w:charset w:val="01"/>
    <w:family w:val="roman"/>
    <w:pitch w:val="variable"/>
  </w:font>
  <w:font w:name="Trebuchet MS">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Arial">
    <w:charset w:val="01"/>
    <w:family w:val="swiss"/>
    <w:pitch w:val="variable"/>
  </w:font>
  <w:font w:name="Monospace">
    <w:charset w:val="01"/>
    <w:family w:val="auto"/>
    <w:pitch w:val="fixed"/>
  </w:font>
  <w:font w:name="Symbol">
    <w:charset w:val="02"/>
    <w:family w:val="auto"/>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p>
    <w:pPr>
      <w:pStyle w:val="style0"/>
      <w:jc w:val="right"/>
      <w:rPr/>
    </w:pPr>
    <w:r>
      <w:rPr/>
      <w:fldChar w:fldCharType="begin"/>
    </w:r>
    <w:r>
      <w:instrText> PAGE </w:instrText>
    </w:r>
    <w:r>
      <w:fldChar w:fldCharType="separate"/>
    </w:r>
    <w:r>
      <w:t>18</w:t>
    </w:r>
    <w:r>
      <w:fldChar w:fldCharType="end"/>
    </w:r>
    <w:r>
      <w:rPr/>
      <w:t xml:space="preserve"> </w:t>
    </w:r>
    <w:r>
      <w:rPr>
        <w:color w:val="A04DA3"/>
      </w:rPr>
      <w:t></w:t>
    </w:r>
    <w:r>
      <w:rPr/>
      <w:t xml:space="preserve"> </w:t>
    </w:r>
  </w:p>
  <w:p>
    <w:pPr>
      <w:pStyle w:val="style0"/>
      <w:jc w:val="right"/>
      <w:rPr>
        <w:pict/>
      </w:rPr>
    </w:pPr>
    <w:r>
      <w:rPr>
        <w:pict/>
      </w:rPr>
    </w:r>
  </w:p>
  <w:p>
    <w:pPr>
      <w:pStyle w:val="style79"/>
      <w:rPr>
        <w:sz w:val="2"/>
        <w:szCs w:val="2"/>
      </w:rPr>
    </w:pPr>
    <w:r>
      <w:rPr>
        <w:sz w:val="2"/>
        <w:szCs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p>
    <w:pPr>
      <w:pStyle w:val="style0"/>
      <w:jc w:val="right"/>
      <w:rPr/>
    </w:pPr>
    <w:r>
      <w:rPr/>
      <w:fldChar w:fldCharType="begin"/>
    </w:r>
    <w:r>
      <w:instrText> PAGE </w:instrText>
    </w:r>
    <w:r>
      <w:fldChar w:fldCharType="separate"/>
    </w:r>
    <w:r>
      <w:t>17</w:t>
    </w:r>
    <w:r>
      <w:fldChar w:fldCharType="end"/>
    </w:r>
    <w:r>
      <w:rPr/>
      <w:t xml:space="preserve"> </w:t>
    </w:r>
    <w:r>
      <w:rPr>
        <w:color w:val="A04DA3"/>
      </w:rPr>
      <w:t></w:t>
    </w:r>
    <w:r>
      <w:rPr/>
      <w:t xml:space="preserve"> </w:t>
    </w:r>
  </w:p>
  <w:p>
    <w:pPr>
      <w:pStyle w:val="style0"/>
      <w:jc w:val="right"/>
      <w:rPr>
        <w:pict/>
      </w:rPr>
    </w:pPr>
    <w:r>
      <w:rPr>
        <w:pict/>
      </w:rPr>
    </w:r>
  </w:p>
  <w:p>
    <w:pPr>
      <w:pStyle w:val="style79"/>
      <w:rPr>
        <w:sz w:val="2"/>
        <w:szCs w:val="2"/>
      </w:rPr>
    </w:pPr>
    <w:r>
      <w:rPr>
        <w:sz w:val="2"/>
        <w:szCs w:val="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p>
    <w:pPr>
      <w:pStyle w:val="style0"/>
      <w:jc w:val="right"/>
      <w:rPr/>
    </w:pPr>
    <w:r>
      <w:rPr/>
      <w:fldChar w:fldCharType="begin"/>
    </w:r>
    <w:r>
      <w:instrText> PAGE </w:instrText>
    </w:r>
    <w:r>
      <w:fldChar w:fldCharType="separate"/>
    </w:r>
    <w:r>
      <w:t>18</w:t>
    </w:r>
    <w:r>
      <w:fldChar w:fldCharType="end"/>
    </w:r>
    <w:r>
      <w:rPr/>
      <w:t xml:space="preserve"> </w:t>
    </w:r>
    <w:r>
      <w:rPr>
        <w:color w:val="A04DA3"/>
      </w:rPr>
      <w:t></w:t>
    </w:r>
    <w:r>
      <w:rPr/>
      <w:t xml:space="preserve"> </w:t>
    </w:r>
  </w:p>
  <w:p>
    <w:pPr>
      <w:pStyle w:val="style0"/>
      <w:jc w:val="right"/>
      <w:rPr>
        <w:pict/>
      </w:rPr>
    </w:pPr>
    <w:r>
      <w:rPr>
        <w:pict/>
      </w:rPr>
    </w:r>
  </w:p>
  <w:p>
    <w:pPr>
      <w:pStyle w:val="style79"/>
      <w:rPr>
        <w:sz w:val="2"/>
        <w:szCs w:val="2"/>
      </w:rPr>
    </w:pPr>
    <w:r>
      <w:rPr>
        <w:sz w:val="2"/>
        <w:szCs w:val="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r>
  </w:p>
  <w:p>
    <w:pPr>
      <w:pStyle w:val="style0"/>
      <w:jc w:val="right"/>
      <w:rPr/>
    </w:pPr>
    <w:r>
      <w:rPr/>
      <w:fldChar w:fldCharType="begin"/>
    </w:r>
    <w:r>
      <w:instrText> PAGE </w:instrText>
    </w:r>
    <w:r>
      <w:fldChar w:fldCharType="separate"/>
    </w:r>
    <w:r>
      <w:t>17</w:t>
    </w:r>
    <w:r>
      <w:fldChar w:fldCharType="end"/>
    </w:r>
    <w:r>
      <w:rPr/>
      <w:t xml:space="preserve"> </w:t>
    </w:r>
    <w:r>
      <w:rPr>
        <w:color w:val="A04DA3"/>
      </w:rPr>
      <w:t></w:t>
    </w:r>
    <w:r>
      <w:rPr/>
      <w:t xml:space="preserve"> </w:t>
    </w:r>
  </w:p>
  <w:p>
    <w:pPr>
      <w:pStyle w:val="style0"/>
      <w:jc w:val="right"/>
      <w:rPr>
        <w:pict/>
      </w:rPr>
    </w:pPr>
    <w:r>
      <w:rPr>
        <w:pict/>
      </w:rPr>
    </w:r>
  </w:p>
  <w:p>
    <w:pPr>
      <w:pStyle w:val="style79"/>
      <w:rPr>
        <w:sz w:val="2"/>
        <w:szCs w:val="2"/>
      </w:rPr>
    </w:pPr>
    <w:r>
      <w:rPr>
        <w:sz w:val="2"/>
        <w:szCs w:val="2"/>
      </w:rPr>
    </w:r>
  </w:p>
</w:ftr>
</file>

<file path=word/footnotes.xml><?xml version="1.0" encoding="utf-8"?>
<w:footnotes xmlns:r="http://schemas.openxmlformats.org/officeDocument/2006/relationships" xmlns:w="http://schemas.openxmlformats.org/wordprocessingml/2006/main">
  <w:footnote w:id="0" w:type="separator">
    <w:p>
      <w:r>
        <w:separator/>
      </w:r>
    </w:p>
  </w:footnote>
  <w:footnote w:id="1" w:type="continuationSeparator">
    <w:p>
      <w:r>
        <w:continuationSeparator/>
      </w:r>
    </w:p>
  </w:footnote>
  <w:footnote w:id="2">
    <w:p>
      <w:pPr>
        <w:pStyle w:val="style96"/>
        <w:rPr>
          <w:shd w:fill="FF0000" w:val="clear"/>
        </w:rPr>
      </w:pPr>
      <w:r>
        <w:rPr/>
        <w:footnoteRef/>
        <w:tab/>
        <w:t xml:space="preserve">This extra normalizing constant is needed </w:t>
      </w:r>
      <w:r>
        <w:rPr>
          <w:shd w:fill="FF0000" w:val="clear"/>
        </w:rPr>
        <w:t>because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lang w:val="el-GR"/>
      </w:rPr>
      <w:t>de Kok &amp; Methenitis</w:t>
    </w:r>
    <w:pStyle w:val="style74"/>
    <w:top w:val="nil"/>
    <w:left w:val="nil"/>
    <w:bottom w:color="00000A" w:space="0" w:sz="4" w:val="single"/>
    <w:insideH w:color="00000A" w:space="0" w:sz="4" w:val="single"/>
    <w:right w:val="nil"/>
    <w:insideV w:val="nil"/>
    <w:pPr>
      <w:rPr>
        <w:lang w:val="el-GR"/>
      </w:rPr>
    </w:pPr>
  </w:p>
  <w:p>
    <w:pPr>
      <w:pStyle w:val="style7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lang w:val="el-GR"/>
      </w:rPr>
      <w:t>de Kok &amp; Methenitis</w:t>
    </w:r>
    <w:pStyle w:val="style74"/>
    <w:jc w:val="right"/>
    <w:top w:val="nil"/>
    <w:left w:val="nil"/>
    <w:bottom w:color="00000A" w:space="0" w:sz="4" w:val="single"/>
    <w:insideH w:color="00000A" w:space="0" w:sz="4" w:val="single"/>
    <w:right w:val="nil"/>
    <w:insideV w:val="nil"/>
    <w:pPr>
      <w:rPr>
        <w:lang w:val="el-GR"/>
      </w:rPr>
    </w:pPr>
  </w:p>
  <w:p>
    <w:pPr>
      <w:pStyle w:val="style74"/>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lang w:val="el-GR"/>
      </w:rPr>
      <w:t>de Kok &amp; Methenitis</w:t>
    </w:r>
    <w:pStyle w:val="style74"/>
    <w:top w:val="nil"/>
    <w:left w:val="nil"/>
    <w:bottom w:color="00000A" w:space="0" w:sz="4" w:val="single"/>
    <w:insideH w:color="00000A" w:space="0" w:sz="4" w:val="single"/>
    <w:right w:val="nil"/>
    <w:insideV w:val="nil"/>
    <w:pPr>
      <w:rPr>
        <w:lang w:val="el-GR"/>
      </w:rPr>
    </w:pPr>
  </w:p>
  <w:p>
    <w:pPr>
      <w:pStyle w:val="style74"/>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lang w:val="el-GR"/>
      </w:rPr>
      <w:t>de Kok &amp; Methenitis</w:t>
    </w:r>
    <w:pStyle w:val="style74"/>
    <w:jc w:val="right"/>
    <w:top w:val="nil"/>
    <w:left w:val="nil"/>
    <w:bottom w:color="00000A" w:space="0" w:sz="4" w:val="single"/>
    <w:insideH w:color="00000A" w:space="0" w:sz="4" w:val="single"/>
    <w:right w:val="nil"/>
    <w:insideV w:val="nil"/>
    <w:pPr>
      <w:rPr>
        <w:lang w:val="el-GR"/>
      </w:rPr>
    </w:pPr>
  </w:p>
  <w:p>
    <w:pPr>
      <w:pStyle w:val="style74"/>
      <w:rPr/>
    </w:pPr>
    <w:r>
      <w:rPr/>
    </w:r>
  </w:p>
</w:hd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216" w:left="216"/>
      </w:pPr>
      <w:rPr>
        <w:rFonts w:ascii="Symbol" w:cs="Symbol" w:hAnsi="Symbol" w:hint="default"/>
        <w:color w:val="A04DA3"/>
        <w:sz w:val="18"/>
        <w:i w:val="false"/>
        <w:b w:val="false"/>
      </w:rPr>
    </w:lvl>
    <w:lvl w:ilvl="1">
      <w:start w:val="1"/>
      <w:numFmt w:val="bullet"/>
      <w:lvlText w:val=""/>
      <w:lvlJc w:val="left"/>
      <w:pPr>
        <w:ind w:hanging="216" w:left="461"/>
      </w:pPr>
      <w:rPr>
        <w:rFonts w:ascii="Wingdings" w:cs="Wingdings" w:hAnsi="Wingdings" w:hint="default"/>
        <w:color w:val="438086"/>
        <w:sz w:val="12"/>
        <w:i w:val="false"/>
        <w:b w:val="false"/>
      </w:rPr>
    </w:lvl>
    <w:lvl w:ilvl="2">
      <w:start w:val="1"/>
      <w:numFmt w:val="bullet"/>
      <w:lvlText w:val=""/>
      <w:lvlJc w:val="left"/>
      <w:pPr>
        <w:ind w:hanging="216" w:left="706"/>
      </w:pPr>
      <w:rPr>
        <w:rFonts w:ascii="Symbol" w:cs="Symbol" w:hAnsi="Symbol" w:hint="default"/>
        <w:color w:val="53548A"/>
        <w:sz w:val="16"/>
        <w:i w:val="false"/>
        <w:b w:val="false"/>
      </w:rPr>
    </w:lvl>
    <w:lvl w:ilvl="3">
      <w:start w:val="1"/>
      <w:numFmt w:val="bullet"/>
      <w:lvlText w:val=""/>
      <w:lvlJc w:val="left"/>
      <w:pPr>
        <w:ind w:hanging="216" w:left="951"/>
      </w:pPr>
      <w:rPr>
        <w:rFonts w:ascii="Symbol" w:cs="Symbol" w:hAnsi="Symbol" w:hint="default"/>
        <w:color w:val="53548A"/>
        <w:sz w:val="16"/>
        <w:i w:val="false"/>
        <w:b w:val="false"/>
      </w:rPr>
    </w:lvl>
    <w:lvl w:ilvl="4">
      <w:start w:val="1"/>
      <w:numFmt w:val="bullet"/>
      <w:lvlText w:val=""/>
      <w:lvlJc w:val="left"/>
      <w:pPr>
        <w:ind w:hanging="216" w:left="1196"/>
      </w:pPr>
      <w:rPr>
        <w:rFonts w:ascii="Symbol" w:cs="Symbol" w:hAnsi="Symbol" w:hint="default"/>
        <w:color w:val="53548A"/>
        <w:sz w:val="16"/>
      </w:rPr>
    </w:lvl>
    <w:lvl w:ilvl="5">
      <w:start w:val="1"/>
      <w:numFmt w:val="bullet"/>
      <w:lvlText w:val=""/>
      <w:lvlJc w:val="left"/>
      <w:pPr>
        <w:ind w:hanging="216" w:left="1441"/>
      </w:pPr>
      <w:rPr>
        <w:rFonts w:ascii="Symbol" w:cs="Symbol" w:hAnsi="Symbol" w:hint="default"/>
        <w:color w:val="53548A"/>
        <w:sz w:val="16"/>
      </w:rPr>
    </w:lvl>
    <w:lvl w:ilvl="6">
      <w:start w:val="1"/>
      <w:numFmt w:val="bullet"/>
      <w:lvlText w:val=""/>
      <w:lvlJc w:val="left"/>
      <w:pPr>
        <w:ind w:hanging="216" w:left="1686"/>
      </w:pPr>
      <w:rPr>
        <w:rFonts w:ascii="Symbol" w:cs="Symbol" w:hAnsi="Symbol" w:hint="default"/>
        <w:color w:val="53548A"/>
        <w:sz w:val="16"/>
      </w:rPr>
    </w:lvl>
    <w:lvl w:ilvl="7">
      <w:start w:val="1"/>
      <w:numFmt w:val="bullet"/>
      <w:lvlText w:val=""/>
      <w:lvlJc w:val="left"/>
      <w:pPr>
        <w:ind w:hanging="216" w:left="1931"/>
      </w:pPr>
      <w:rPr>
        <w:rFonts w:ascii="Symbol" w:cs="Symbol" w:hAnsi="Symbol" w:hint="default"/>
        <w:color w:val="53548A"/>
        <w:sz w:val="16"/>
      </w:rPr>
    </w:lvl>
    <w:lvl w:ilvl="8">
      <w:start w:val="1"/>
      <w:numFmt w:val="bullet"/>
      <w:lvlText w:val=""/>
      <w:lvlJc w:val="left"/>
      <w:pPr>
        <w:ind w:hanging="216" w:left="2176"/>
      </w:pPr>
      <w:rPr>
        <w:rFonts w:ascii="Symbol" w:cs="Symbol" w:hAnsi="Symbol" w:hint="default"/>
        <w:color w:val="53548A"/>
        <w:sz w:val="16"/>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evenAndOddHeaders/>
  <w:footnotePr>
    <w:numFmt w:val="decimal"/>
    <w:footnote w:id="0"/>
    <w:footnote w:id="1"/>
  </w:footnotePr>
</w:settings>
</file>

<file path=word/styles.xml><?xml version="1.0" encoding="utf-8"?>
<w:styles xmlns:w="http://schemas.openxmlformats.org/wordprocessingml/2006/main">
  <w:style w:styleId="style0" w:type="paragraph">
    <w:name w:val="Normal"/>
    <w:next w:val="style0"/>
    <w:pPr>
      <w:widowControl/>
      <w:suppressAutoHyphens w:val="true"/>
      <w:spacing w:after="200" w:before="0" w:line="276" w:lineRule="auto"/>
      <w:contextualSpacing w:val="false"/>
    </w:pPr>
    <w:rPr>
      <w:rFonts w:ascii="Georgia" w:cs="Georgia" w:eastAsia="DejaVu Sans" w:hAnsi="Georgia"/>
      <w:color w:val="auto"/>
      <w:sz w:val="20"/>
      <w:szCs w:val="20"/>
      <w:lang w:bidi="ar-SA" w:eastAsia="ja-JP" w:val="en-US"/>
    </w:rPr>
  </w:style>
  <w:style w:styleId="style1" w:type="paragraph">
    <w:name w:val="Heading 1"/>
    <w:basedOn w:val="style0"/>
    <w:next w:val="style1"/>
    <w:pPr>
      <w:pBdr>
        <w:top w:val="nil"/>
        <w:left w:val="nil"/>
        <w:bottom w:color="438086" w:space="0" w:sz="4" w:val="single"/>
        <w:insideH w:color="438086" w:space="0" w:sz="4" w:val="single"/>
        <w:right w:val="nil"/>
        <w:insideV w:val="nil"/>
      </w:pBdr>
      <w:spacing w:after="80" w:before="360"/>
      <w:contextualSpacing w:val="false"/>
    </w:pPr>
    <w:rPr>
      <w:rFonts w:ascii="Trebuchet MS" w:hAnsi="Trebuchet MS"/>
      <w:color w:val="438086"/>
      <w:sz w:val="32"/>
      <w:szCs w:val="32"/>
    </w:rPr>
  </w:style>
  <w:style w:styleId="style2" w:type="paragraph">
    <w:name w:val="Heading 2"/>
    <w:basedOn w:val="style0"/>
    <w:next w:val="style2"/>
    <w:pPr>
      <w:spacing w:after="0" w:before="0"/>
      <w:contextualSpacing w:val="false"/>
    </w:pPr>
    <w:rPr>
      <w:rFonts w:ascii="Trebuchet MS" w:hAnsi="Trebuchet MS"/>
      <w:color w:val="438086"/>
      <w:sz w:val="28"/>
      <w:szCs w:val="28"/>
    </w:rPr>
  </w:style>
  <w:style w:styleId="style3" w:type="paragraph">
    <w:name w:val="Heading 3"/>
    <w:basedOn w:val="style0"/>
    <w:next w:val="style3"/>
    <w:pPr>
      <w:spacing w:after="0" w:before="0"/>
      <w:contextualSpacing w:val="false"/>
    </w:pPr>
    <w:rPr>
      <w:rFonts w:ascii="Trebuchet MS" w:hAnsi="Trebuchet MS"/>
      <w:color w:val="438086"/>
      <w:sz w:val="24"/>
      <w:szCs w:val="24"/>
    </w:rPr>
  </w:style>
  <w:style w:styleId="style4" w:type="paragraph">
    <w:name w:val="Heading 4"/>
    <w:basedOn w:val="style0"/>
    <w:next w:val="style4"/>
    <w:pPr>
      <w:spacing w:after="0" w:before="0"/>
      <w:contextualSpacing w:val="false"/>
    </w:pPr>
    <w:rPr>
      <w:rFonts w:ascii="Trebuchet MS" w:hAnsi="Trebuchet MS"/>
      <w:i/>
      <w:color w:val="438086"/>
      <w:sz w:val="22"/>
      <w:szCs w:val="22"/>
    </w:rPr>
  </w:style>
  <w:style w:styleId="style5" w:type="paragraph">
    <w:name w:val="Heading 5"/>
    <w:basedOn w:val="style0"/>
    <w:next w:val="style5"/>
    <w:pPr>
      <w:spacing w:after="0" w:before="0"/>
      <w:contextualSpacing w:val="false"/>
    </w:pPr>
    <w:rPr>
      <w:rFonts w:ascii="Trebuchet MS" w:hAnsi="Trebuchet MS"/>
      <w:b/>
      <w:color w:val="325F64"/>
    </w:rPr>
  </w:style>
  <w:style w:styleId="style6" w:type="paragraph">
    <w:name w:val="Heading 6"/>
    <w:basedOn w:val="style0"/>
    <w:next w:val="style6"/>
    <w:pPr>
      <w:spacing w:after="0" w:before="0"/>
      <w:contextualSpacing w:val="false"/>
    </w:pPr>
    <w:rPr>
      <w:rFonts w:ascii="Trebuchet MS" w:hAnsi="Trebuchet MS"/>
      <w:b/>
      <w:i/>
      <w:color w:val="325F64"/>
    </w:rPr>
  </w:style>
  <w:style w:styleId="style7" w:type="paragraph">
    <w:name w:val="Heading 7"/>
    <w:basedOn w:val="style0"/>
    <w:next w:val="style7"/>
    <w:pPr>
      <w:spacing w:after="0" w:before="0"/>
      <w:contextualSpacing w:val="false"/>
    </w:pPr>
    <w:rPr>
      <w:rFonts w:ascii="Trebuchet MS" w:hAnsi="Trebuchet MS"/>
      <w:b/>
      <w:color w:val="53548A"/>
    </w:rPr>
  </w:style>
  <w:style w:styleId="style8" w:type="paragraph">
    <w:name w:val="Heading 8"/>
    <w:basedOn w:val="style0"/>
    <w:next w:val="style8"/>
    <w:pPr>
      <w:spacing w:after="0" w:before="0"/>
      <w:contextualSpacing w:val="false"/>
    </w:pPr>
    <w:rPr>
      <w:rFonts w:ascii="Trebuchet MS" w:hAnsi="Trebuchet MS"/>
      <w:b/>
      <w:i/>
      <w:color w:val="53548A"/>
    </w:rPr>
  </w:style>
  <w:style w:styleId="style9" w:type="paragraph">
    <w:name w:val="Heading 9"/>
    <w:basedOn w:val="style0"/>
    <w:next w:val="style9"/>
    <w:pPr>
      <w:spacing w:after="0" w:before="0"/>
      <w:contextualSpacing w:val="false"/>
    </w:pPr>
    <w:rPr>
      <w:rFonts w:ascii="Trebuchet MS" w:hAnsi="Trebuchet MS"/>
      <w:b/>
      <w:color w:val="313240"/>
    </w:rPr>
  </w:style>
  <w:style w:styleId="style15" w:type="character">
    <w:name w:val="Default Paragraph Font"/>
    <w:next w:val="style15"/>
    <w:rPr/>
  </w:style>
  <w:style w:styleId="style16" w:type="character">
    <w:name w:val="Title Char"/>
    <w:basedOn w:val="style15"/>
    <w:next w:val="style16"/>
    <w:rPr>
      <w:rFonts w:ascii="Trebuchet MS" w:hAnsi="Trebuchet MS"/>
      <w:color w:val="3E3E67"/>
      <w:sz w:val="56"/>
      <w:szCs w:val="56"/>
      <w:lang w:eastAsia="ja-JP"/>
    </w:rPr>
  </w:style>
  <w:style w:styleId="style17" w:type="character">
    <w:name w:val="Subtitle Char"/>
    <w:basedOn w:val="style15"/>
    <w:next w:val="style17"/>
    <w:rPr>
      <w:i/>
      <w:color w:val="424456"/>
      <w:sz w:val="24"/>
      <w:szCs w:val="24"/>
      <w:lang w:eastAsia="ja-JP"/>
    </w:rPr>
  </w:style>
  <w:style w:styleId="style18" w:type="character">
    <w:name w:val="Intense Emphasis"/>
    <w:basedOn w:val="style15"/>
    <w:next w:val="style18"/>
    <w:rPr>
      <w:rFonts w:ascii="Georgia" w:cs="Georgia" w:hAnsi="Georgia"/>
      <w:b/>
      <w:i/>
      <w:caps/>
      <w:color w:val="438086"/>
      <w:spacing w:val="5"/>
    </w:rPr>
  </w:style>
  <w:style w:styleId="style19" w:type="character">
    <w:name w:val="Heading 1 Char"/>
    <w:basedOn w:val="style15"/>
    <w:next w:val="style19"/>
    <w:rPr>
      <w:rFonts w:ascii="Trebuchet MS" w:hAnsi="Trebuchet MS"/>
      <w:color w:val="438086"/>
      <w:sz w:val="32"/>
      <w:szCs w:val="32"/>
      <w:lang w:eastAsia="ja-JP"/>
    </w:rPr>
  </w:style>
  <w:style w:styleId="style20" w:type="character">
    <w:name w:val="Heading 2 Char"/>
    <w:basedOn w:val="style15"/>
    <w:next w:val="style20"/>
    <w:rPr>
      <w:rFonts w:ascii="Trebuchet MS" w:hAnsi="Trebuchet MS"/>
      <w:color w:val="438086"/>
      <w:sz w:val="28"/>
      <w:szCs w:val="28"/>
      <w:lang w:eastAsia="ja-JP"/>
    </w:rPr>
  </w:style>
  <w:style w:styleId="style21" w:type="character">
    <w:name w:val="Heading 3 Char"/>
    <w:basedOn w:val="style15"/>
    <w:next w:val="style21"/>
    <w:rPr>
      <w:rFonts w:ascii="Trebuchet MS" w:hAnsi="Trebuchet MS"/>
      <w:color w:val="438086"/>
      <w:sz w:val="24"/>
      <w:szCs w:val="24"/>
      <w:lang w:eastAsia="ja-JP"/>
    </w:rPr>
  </w:style>
  <w:style w:styleId="style22" w:type="character">
    <w:name w:val="Heading 4 Char"/>
    <w:basedOn w:val="style15"/>
    <w:next w:val="style22"/>
    <w:rPr>
      <w:rFonts w:ascii="Trebuchet MS" w:hAnsi="Trebuchet MS"/>
      <w:i/>
      <w:color w:val="438086"/>
      <w:lang w:eastAsia="ja-JP"/>
    </w:rPr>
  </w:style>
  <w:style w:styleId="style23" w:type="character">
    <w:name w:val="Heading 5 Char"/>
    <w:basedOn w:val="style15"/>
    <w:next w:val="style23"/>
    <w:rPr>
      <w:rFonts w:ascii="Trebuchet MS" w:hAnsi="Trebuchet MS"/>
      <w:b/>
      <w:color w:val="325F64"/>
      <w:sz w:val="20"/>
      <w:szCs w:val="20"/>
      <w:lang w:eastAsia="ja-JP"/>
    </w:rPr>
  </w:style>
  <w:style w:styleId="style24" w:type="character">
    <w:name w:val="Heading 6 Char"/>
    <w:basedOn w:val="style15"/>
    <w:next w:val="style24"/>
    <w:rPr>
      <w:rFonts w:ascii="Trebuchet MS" w:hAnsi="Trebuchet MS"/>
      <w:b/>
      <w:i/>
      <w:color w:val="325F64"/>
      <w:sz w:val="20"/>
      <w:szCs w:val="20"/>
      <w:lang w:eastAsia="ja-JP"/>
    </w:rPr>
  </w:style>
  <w:style w:styleId="style25" w:type="character">
    <w:name w:val="Heading 7 Char"/>
    <w:basedOn w:val="style15"/>
    <w:next w:val="style25"/>
    <w:rPr>
      <w:rFonts w:ascii="Trebuchet MS" w:hAnsi="Trebuchet MS"/>
      <w:b/>
      <w:color w:val="53548A"/>
      <w:sz w:val="20"/>
      <w:szCs w:val="20"/>
      <w:lang w:eastAsia="ja-JP"/>
    </w:rPr>
  </w:style>
  <w:style w:styleId="style26" w:type="character">
    <w:name w:val="Heading 8 Char"/>
    <w:basedOn w:val="style15"/>
    <w:next w:val="style26"/>
    <w:rPr>
      <w:rFonts w:ascii="Trebuchet MS" w:hAnsi="Trebuchet MS"/>
      <w:b/>
      <w:i/>
      <w:color w:val="53548A"/>
      <w:sz w:val="20"/>
      <w:szCs w:val="20"/>
      <w:lang w:eastAsia="ja-JP"/>
    </w:rPr>
  </w:style>
  <w:style w:styleId="style27" w:type="character">
    <w:name w:val="Heading 9 Char"/>
    <w:basedOn w:val="style15"/>
    <w:next w:val="style27"/>
    <w:rPr>
      <w:rFonts w:ascii="Trebuchet MS" w:hAnsi="Trebuchet MS"/>
      <w:b/>
      <w:color w:val="313240"/>
      <w:sz w:val="20"/>
      <w:szCs w:val="20"/>
      <w:lang w:eastAsia="ja-JP"/>
    </w:rPr>
  </w:style>
  <w:style w:styleId="style28" w:type="character">
    <w:name w:val="Strong Emphasis"/>
    <w:basedOn w:val="style15"/>
    <w:next w:val="style28"/>
    <w:rPr>
      <w:b/>
      <w:bCs/>
    </w:rPr>
  </w:style>
  <w:style w:styleId="style29" w:type="character">
    <w:name w:val="Subtle Emphasis"/>
    <w:basedOn w:val="style15"/>
    <w:next w:val="style29"/>
    <w:rPr>
      <w:rFonts w:ascii="Georgia" w:hAnsi="Georgia"/>
      <w:i/>
      <w:color w:val="006666"/>
    </w:rPr>
  </w:style>
  <w:style w:styleId="style30" w:type="character">
    <w:name w:val="Intense Reference"/>
    <w:basedOn w:val="style15"/>
    <w:next w:val="style30"/>
    <w:rPr>
      <w:rFonts w:ascii="Georgia" w:cs="Times New Roman" w:hAnsi="Georgia"/>
      <w:b/>
      <w:i/>
      <w:caps/>
      <w:color w:val="4E4F89"/>
      <w:spacing w:val="5"/>
    </w:rPr>
  </w:style>
  <w:style w:styleId="style31" w:type="character">
    <w:name w:val="Subtle Reference"/>
    <w:basedOn w:val="style15"/>
    <w:next w:val="style31"/>
    <w:rPr>
      <w:rFonts w:cs="Times New Roman"/>
      <w:i/>
      <w:color w:val="4E4F89"/>
    </w:rPr>
  </w:style>
  <w:style w:styleId="style32" w:type="character">
    <w:name w:val="Emphasis"/>
    <w:next w:val="style32"/>
    <w:rPr>
      <w:rFonts w:ascii="Georgia" w:hAnsi="Georgia"/>
      <w:b/>
      <w:i/>
      <w:iCs/>
      <w:color w:val="438086"/>
      <w:spacing w:val="10"/>
    </w:rPr>
  </w:style>
  <w:style w:styleId="style33" w:type="character">
    <w:name w:val="Book Title"/>
    <w:basedOn w:val="style15"/>
    <w:next w:val="style33"/>
    <w:rPr>
      <w:rFonts w:ascii="Cambria" w:cs="Times New Roman" w:hAnsi="Cambria"/>
      <w:i/>
      <w:color w:val="000000"/>
      <w:sz w:val="20"/>
      <w:szCs w:val="20"/>
    </w:rPr>
  </w:style>
  <w:style w:styleId="style34" w:type="character">
    <w:name w:val="Header Char"/>
    <w:basedOn w:val="style15"/>
    <w:next w:val="style34"/>
    <w:rPr>
      <w:sz w:val="20"/>
      <w:szCs w:val="20"/>
      <w:lang w:eastAsia="ja-JP"/>
    </w:rPr>
  </w:style>
  <w:style w:styleId="style35" w:type="character">
    <w:name w:val="Footer Char"/>
    <w:basedOn w:val="style15"/>
    <w:next w:val="style35"/>
    <w:rPr>
      <w:sz w:val="20"/>
      <w:szCs w:val="20"/>
      <w:lang w:eastAsia="ja-JP"/>
    </w:rPr>
  </w:style>
  <w:style w:styleId="style36" w:type="character">
    <w:name w:val="Placeholder Text"/>
    <w:basedOn w:val="style15"/>
    <w:next w:val="style36"/>
    <w:rPr>
      <w:color w:val="808080"/>
    </w:rPr>
  </w:style>
  <w:style w:styleId="style37" w:type="character">
    <w:name w:val="Balloon Text Char"/>
    <w:basedOn w:val="style15"/>
    <w:next w:val="style37"/>
    <w:rPr>
      <w:rFonts w:ascii="Tahoma" w:cs="Tahoma" w:hAnsi="Tahoma"/>
      <w:sz w:val="16"/>
      <w:szCs w:val="16"/>
      <w:lang w:eastAsia="ja-JP"/>
    </w:rPr>
  </w:style>
  <w:style w:styleId="style38" w:type="character">
    <w:name w:val="Category Char"/>
    <w:basedOn w:val="style15"/>
    <w:next w:val="style38"/>
    <w:rPr>
      <w:rFonts w:cs=""/>
      <w:caps/>
      <w:lang w:eastAsia="ja-JP"/>
    </w:rPr>
  </w:style>
  <w:style w:styleId="style39" w:type="character">
    <w:name w:val="Comments Char"/>
    <w:basedOn w:val="style15"/>
    <w:next w:val="style39"/>
    <w:rPr>
      <w:b/>
      <w:sz w:val="20"/>
      <w:lang w:eastAsia="ja-JP"/>
    </w:rPr>
  </w:style>
  <w:style w:styleId="style40" w:type="character">
    <w:name w:val="Internet Link"/>
    <w:basedOn w:val="style15"/>
    <w:next w:val="style40"/>
    <w:rPr>
      <w:color w:val="67AFBD"/>
      <w:u w:val="single"/>
      <w:lang w:bidi="zxx-" w:eastAsia="zxx-" w:val="zxx-"/>
    </w:rPr>
  </w:style>
  <w:style w:styleId="style41" w:type="character">
    <w:name w:val="ListLabel 1"/>
    <w:next w:val="style41"/>
    <w:rPr>
      <w:rFonts w:cs="Symbol"/>
    </w:rPr>
  </w:style>
  <w:style w:styleId="style42" w:type="character">
    <w:name w:val="ListLabel 2"/>
    <w:next w:val="style42"/>
    <w:rPr>
      <w:rFonts w:cs="Courier New"/>
    </w:rPr>
  </w:style>
  <w:style w:styleId="style43" w:type="character">
    <w:name w:val="ListLabel 3"/>
    <w:next w:val="style43"/>
    <w:rPr>
      <w:rFonts w:cs="Wingdings"/>
    </w:rPr>
  </w:style>
  <w:style w:styleId="style44" w:type="character">
    <w:name w:val="ListLabel 4"/>
    <w:next w:val="style44"/>
    <w:rPr>
      <w:color w:val="325F64"/>
      <w:sz w:val="18"/>
      <w:szCs w:val="18"/>
      <w:u w:val="none"/>
    </w:rPr>
  </w:style>
  <w:style w:styleId="style45" w:type="character">
    <w:name w:val="ListLabel 5"/>
    <w:next w:val="style45"/>
    <w:rPr>
      <w:color w:val="438086"/>
    </w:rPr>
  </w:style>
  <w:style w:styleId="style46" w:type="character">
    <w:name w:val="ListLabel 6"/>
    <w:next w:val="style46"/>
    <w:rPr>
      <w:rFonts w:cs="Wingdings"/>
      <w:color w:val="325F64"/>
      <w:sz w:val="16"/>
      <w:szCs w:val="16"/>
    </w:rPr>
  </w:style>
  <w:style w:styleId="style47" w:type="character">
    <w:name w:val="ListLabel 7"/>
    <w:next w:val="style47"/>
    <w:rPr>
      <w:rFonts w:cs="Wingdings"/>
      <w:color w:val="438086"/>
      <w:sz w:val="16"/>
      <w:szCs w:val="16"/>
    </w:rPr>
  </w:style>
  <w:style w:styleId="style48" w:type="character">
    <w:name w:val="ListLabel 8"/>
    <w:next w:val="style48"/>
    <w:rPr>
      <w:rFonts w:cs="Wingdings"/>
      <w:color w:val="83BBC1"/>
      <w:sz w:val="16"/>
      <w:szCs w:val="16"/>
    </w:rPr>
  </w:style>
  <w:style w:styleId="style49" w:type="character">
    <w:name w:val="ListLabel 9"/>
    <w:next w:val="style49"/>
    <w:rPr>
      <w:rFonts w:cs="Symbol"/>
      <w:color w:val="A04DA3"/>
    </w:rPr>
  </w:style>
  <w:style w:styleId="style50" w:type="character">
    <w:name w:val="ListLabel 10"/>
    <w:next w:val="style50"/>
    <w:rPr>
      <w:rFonts w:cs="Wingdings"/>
      <w:color w:val="438086"/>
      <w:sz w:val="12"/>
      <w:szCs w:val="12"/>
    </w:rPr>
  </w:style>
  <w:style w:styleId="style51" w:type="character">
    <w:name w:val="ListLabel 11"/>
    <w:next w:val="style51"/>
    <w:rPr>
      <w:rFonts w:cs="Symbol"/>
      <w:color w:val="53548A"/>
      <w:sz w:val="16"/>
      <w:szCs w:val="16"/>
    </w:rPr>
  </w:style>
  <w:style w:styleId="style52" w:type="character">
    <w:name w:val="ListLabel 12"/>
    <w:next w:val="style52"/>
    <w:rPr>
      <w:rFonts w:cs="Symbol"/>
      <w:sz w:val="16"/>
      <w:szCs w:val="16"/>
    </w:rPr>
  </w:style>
  <w:style w:styleId="style53" w:type="character">
    <w:name w:val="ListLabel 13"/>
    <w:next w:val="style53"/>
    <w:rPr>
      <w:color w:val="424456"/>
    </w:rPr>
  </w:style>
  <w:style w:styleId="style54" w:type="character">
    <w:name w:val="ListLabel 14"/>
    <w:next w:val="style54"/>
    <w:rPr>
      <w:b w:val="false"/>
      <w:i w:val="false"/>
      <w:color w:val="A04DA3"/>
      <w:sz w:val="18"/>
    </w:rPr>
  </w:style>
  <w:style w:styleId="style55" w:type="character">
    <w:name w:val="ListLabel 15"/>
    <w:next w:val="style55"/>
    <w:rPr>
      <w:b w:val="false"/>
      <w:i w:val="false"/>
      <w:color w:val="438086"/>
      <w:sz w:val="12"/>
    </w:rPr>
  </w:style>
  <w:style w:styleId="style56" w:type="character">
    <w:name w:val="ListLabel 16"/>
    <w:next w:val="style56"/>
    <w:rPr>
      <w:b w:val="false"/>
      <w:i w:val="false"/>
      <w:color w:val="53548A"/>
      <w:sz w:val="16"/>
    </w:rPr>
  </w:style>
  <w:style w:styleId="style57" w:type="character">
    <w:name w:val="ListLabel 17"/>
    <w:next w:val="style57"/>
    <w:rPr>
      <w:color w:val="53548A"/>
      <w:sz w:val="16"/>
    </w:rPr>
  </w:style>
  <w:style w:styleId="style58" w:type="character">
    <w:name w:val="ListLabel 18"/>
    <w:next w:val="style58"/>
    <w:rPr>
      <w:i w:val="false"/>
      <w:color w:val="A04DA3"/>
      <w:sz w:val="20"/>
    </w:rPr>
  </w:style>
  <w:style w:styleId="style59" w:type="character">
    <w:name w:val="ListLabel 19"/>
    <w:next w:val="style59"/>
    <w:rPr>
      <w:b w:val="false"/>
      <w:i w:val="false"/>
      <w:color w:val="438086"/>
      <w:sz w:val="20"/>
    </w:rPr>
  </w:style>
  <w:style w:styleId="style60" w:type="character">
    <w:name w:val="ListLabel 20"/>
    <w:next w:val="style60"/>
    <w:rPr>
      <w:b w:val="false"/>
      <w:i w:val="false"/>
      <w:color w:val="53548A"/>
      <w:sz w:val="20"/>
    </w:rPr>
  </w:style>
  <w:style w:styleId="style61" w:type="character">
    <w:name w:val="Bullets"/>
    <w:next w:val="style61"/>
    <w:rPr>
      <w:rFonts w:ascii="OpenSymbol" w:cs="OpenSymbol" w:eastAsia="OpenSymbol" w:hAnsi="OpenSymbol"/>
    </w:rPr>
  </w:style>
  <w:style w:styleId="style62" w:type="character">
    <w:name w:val="Footnote Characters"/>
    <w:next w:val="style62"/>
    <w:rPr/>
  </w:style>
  <w:style w:styleId="style63" w:type="character">
    <w:name w:val="Footnote Anchor"/>
    <w:next w:val="style63"/>
    <w:rPr>
      <w:vertAlign w:val="superscript"/>
    </w:rPr>
  </w:style>
  <w:style w:styleId="style64" w:type="character">
    <w:name w:val="Endnote Anchor"/>
    <w:next w:val="style64"/>
    <w:rPr>
      <w:vertAlign w:val="superscript"/>
    </w:rPr>
  </w:style>
  <w:style w:styleId="style65" w:type="character">
    <w:name w:val="Endnote Characters"/>
    <w:next w:val="style65"/>
    <w:rPr/>
  </w:style>
  <w:style w:styleId="style66" w:type="paragraph">
    <w:name w:val="Heading"/>
    <w:basedOn w:val="style0"/>
    <w:next w:val="style67"/>
    <w:pPr>
      <w:keepNext/>
      <w:spacing w:after="120" w:before="240"/>
      <w:contextualSpacing w:val="false"/>
    </w:pPr>
    <w:rPr>
      <w:rFonts w:ascii="Arial" w:cs="Lohit Hindi" w:eastAsia="DejaVu Sans" w:hAnsi="Arial"/>
      <w:sz w:val="28"/>
      <w:szCs w:val="28"/>
    </w:rPr>
  </w:style>
  <w:style w:styleId="style67" w:type="paragraph">
    <w:name w:val="Text Body"/>
    <w:basedOn w:val="style0"/>
    <w:next w:val="style67"/>
    <w:pPr>
      <w:spacing w:after="120" w:before="0"/>
      <w:contextualSpacing w:val="false"/>
    </w:pPr>
    <w:rPr/>
  </w:style>
  <w:style w:styleId="style68" w:type="paragraph">
    <w:name w:val="List"/>
    <w:basedOn w:val="style67"/>
    <w:next w:val="style68"/>
    <w:pPr/>
    <w:rPr>
      <w:rFonts w:cs="Lohit Hindi"/>
    </w:rPr>
  </w:style>
  <w:style w:styleId="style69" w:type="paragraph">
    <w:name w:val="Caption"/>
    <w:basedOn w:val="style0"/>
    <w:next w:val="style69"/>
    <w:pPr>
      <w:suppressLineNumbers/>
      <w:spacing w:after="120" w:before="120"/>
      <w:contextualSpacing w:val="false"/>
    </w:pPr>
    <w:rPr>
      <w:rFonts w:cs="Lohit Hindi"/>
      <w:i/>
      <w:iCs/>
      <w:sz w:val="24"/>
      <w:szCs w:val="24"/>
    </w:rPr>
  </w:style>
  <w:style w:styleId="style70" w:type="paragraph">
    <w:name w:val="Index"/>
    <w:basedOn w:val="style0"/>
    <w:next w:val="style70"/>
    <w:pPr>
      <w:suppressLineNumbers/>
    </w:pPr>
    <w:rPr>
      <w:rFonts w:cs="Lohit Hindi"/>
    </w:rPr>
  </w:style>
  <w:style w:styleId="style71" w:type="paragraph">
    <w:name w:val="Title"/>
    <w:basedOn w:val="style0"/>
    <w:next w:val="style71"/>
    <w:pPr>
      <w:spacing w:after="200" w:before="400"/>
      <w:contextualSpacing w:val="false"/>
      <w:jc w:val="left"/>
    </w:pPr>
    <w:rPr>
      <w:rFonts w:ascii="Trebuchet MS" w:hAnsi="Trebuchet MS"/>
      <w:color w:val="3E3E67"/>
      <w:sz w:val="56"/>
      <w:szCs w:val="56"/>
    </w:rPr>
  </w:style>
  <w:style w:styleId="style72" w:type="paragraph">
    <w:name w:val="Subtitle"/>
    <w:basedOn w:val="style0"/>
    <w:next w:val="style72"/>
    <w:pPr>
      <w:spacing w:after="480" w:before="0"/>
      <w:contextualSpacing w:val="false"/>
      <w:jc w:val="left"/>
    </w:pPr>
    <w:rPr>
      <w:i/>
      <w:color w:val="424456"/>
      <w:sz w:val="24"/>
      <w:szCs w:val="24"/>
    </w:rPr>
  </w:style>
  <w:style w:styleId="style73" w:type="paragraph">
    <w:name w:val="Block Text"/>
    <w:basedOn w:val="style0"/>
    <w:next w:val="style73"/>
    <w:pPr>
      <w:pBdr>
        <w:top w:color="53548A" w:space="0" w:sz="2" w:val="single"/>
        <w:left w:color="53548A" w:space="0" w:sz="2" w:val="single"/>
        <w:bottom w:color="53548A" w:space="0" w:sz="2" w:val="single"/>
        <w:insideH w:color="53548A" w:space="0" w:sz="2" w:val="single"/>
        <w:right w:color="53548A" w:space="0" w:sz="2" w:val="single"/>
        <w:insideV w:color="53548A" w:space="0" w:sz="2" w:val="single"/>
      </w:pBdr>
      <w:ind w:hanging="0" w:left="1152" w:right="1152"/>
    </w:pPr>
    <w:rPr>
      <w:rFonts w:cs=""/>
      <w:i/>
      <w:iCs/>
      <w:color w:val="53548A"/>
    </w:rPr>
  </w:style>
  <w:style w:styleId="style74" w:type="paragraph">
    <w:name w:val="Header"/>
    <w:basedOn w:val="style0"/>
    <w:next w:val="style74"/>
    <w:pPr>
      <w:tabs>
        <w:tab w:leader="none" w:pos="4320" w:val="center"/>
        <w:tab w:leader="none" w:pos="8640" w:val="right"/>
      </w:tabs>
    </w:pPr>
    <w:rPr/>
  </w:style>
  <w:style w:styleId="style75" w:type="paragraph">
    <w:name w:val="Footer"/>
    <w:basedOn w:val="style0"/>
    <w:next w:val="style75"/>
    <w:pPr>
      <w:tabs>
        <w:tab w:leader="none" w:pos="4320" w:val="center"/>
        <w:tab w:leader="none" w:pos="8640" w:val="right"/>
      </w:tabs>
    </w:pPr>
    <w:rPr/>
  </w:style>
  <w:style w:styleId="style76" w:type="paragraph">
    <w:name w:val="Normal Indent"/>
    <w:basedOn w:val="style0"/>
    <w:next w:val="style76"/>
    <w:pPr>
      <w:spacing w:after="200" w:before="0"/>
      <w:ind w:hanging="0" w:left="720" w:right="0"/>
      <w:contextualSpacing/>
    </w:pPr>
    <w:rPr/>
  </w:style>
  <w:style w:styleId="style77" w:type="paragraph">
    <w:name w:val="Intense Quote"/>
    <w:basedOn w:val="style0"/>
    <w:next w:val="style77"/>
    <w:pPr>
      <w:pBdr>
        <w:top w:color="438086" w:space="0" w:sz="6" w:val="threeDEngrave"/>
        <w:left w:val="nil"/>
        <w:bottom w:color="438086" w:space="0" w:sz="4" w:val="single"/>
        <w:insideH w:color="438086" w:space="0" w:sz="4" w:val="single"/>
        <w:right w:val="nil"/>
        <w:insideV w:val="nil"/>
      </w:pBdr>
      <w:spacing w:after="360" w:before="360" w:line="324" w:lineRule="auto"/>
      <w:ind w:hanging="0" w:left="1080" w:right="1080"/>
      <w:contextualSpacing w:val="false"/>
    </w:pPr>
    <w:rPr>
      <w:i/>
      <w:color w:val="438086"/>
      <w:sz w:val="22"/>
      <w:szCs w:val="22"/>
    </w:rPr>
  </w:style>
  <w:style w:styleId="style78" w:type="paragraph">
    <w:name w:val="List Paragraph"/>
    <w:basedOn w:val="style0"/>
    <w:next w:val="style78"/>
    <w:pPr>
      <w:spacing w:after="200" w:before="0"/>
      <w:ind w:hanging="0" w:left="720" w:right="0"/>
      <w:contextualSpacing/>
    </w:pPr>
    <w:rPr/>
  </w:style>
  <w:style w:styleId="style79" w:type="paragraph">
    <w:name w:val="No Spacing"/>
    <w:basedOn w:val="style0"/>
    <w:next w:val="style79"/>
    <w:pPr>
      <w:spacing w:after="0" w:before="0" w:line="100" w:lineRule="atLeast"/>
      <w:contextualSpacing w:val="false"/>
    </w:pPr>
    <w:rPr>
      <w:szCs w:val="32"/>
    </w:rPr>
  </w:style>
  <w:style w:styleId="style80" w:type="paragraph">
    <w:name w:val="Balloon Text"/>
    <w:basedOn w:val="style0"/>
    <w:next w:val="style80"/>
    <w:pPr>
      <w:spacing w:after="0" w:before="0" w:line="100" w:lineRule="atLeast"/>
      <w:contextualSpacing w:val="false"/>
    </w:pPr>
    <w:rPr>
      <w:rFonts w:ascii="Tahoma" w:cs="Tahoma" w:hAnsi="Tahoma"/>
      <w:sz w:val="16"/>
      <w:szCs w:val="16"/>
    </w:rPr>
  </w:style>
  <w:style w:styleId="style81" w:type="paragraph">
    <w:name w:val="Header Even"/>
    <w:basedOn w:val="style74"/>
    <w:next w:val="style81"/>
    <w:pPr>
      <w:pBdr>
        <w:top w:val="nil"/>
        <w:left w:val="nil"/>
        <w:bottom w:color="00000A" w:space="0" w:sz="4" w:val="single"/>
        <w:insideH w:color="00000A" w:space="0" w:sz="4" w:val="single"/>
        <w:right w:val="nil"/>
        <w:insideV w:val="nil"/>
      </w:pBdr>
    </w:pPr>
    <w:rPr/>
  </w:style>
  <w:style w:styleId="style82" w:type="paragraph">
    <w:name w:val="Header Odd"/>
    <w:basedOn w:val="style74"/>
    <w:next w:val="style82"/>
    <w:pPr>
      <w:pBdr>
        <w:top w:val="nil"/>
        <w:left w:val="nil"/>
        <w:bottom w:color="00000A" w:space="0" w:sz="4" w:val="single"/>
        <w:insideH w:color="00000A" w:space="0" w:sz="4" w:val="single"/>
        <w:right w:val="nil"/>
        <w:insideV w:val="nil"/>
      </w:pBdr>
      <w:jc w:val="right"/>
    </w:pPr>
    <w:rPr/>
  </w:style>
  <w:style w:styleId="style83" w:type="paragraph">
    <w:name w:val="Bullet 1"/>
    <w:basedOn w:val="style78"/>
    <w:next w:val="style83"/>
    <w:pPr>
      <w:numPr>
        <w:ilvl w:val="0"/>
        <w:numId w:val="1"/>
      </w:numPr>
      <w:spacing w:after="0" w:before="0"/>
      <w:contextualSpacing/>
    </w:pPr>
    <w:rPr/>
  </w:style>
  <w:style w:styleId="style84" w:type="paragraph">
    <w:name w:val="Bullet 2"/>
    <w:basedOn w:val="style78"/>
    <w:next w:val="style84"/>
    <w:pPr>
      <w:numPr>
        <w:ilvl w:val="0"/>
        <w:numId w:val="1"/>
      </w:numPr>
      <w:spacing w:after="0" w:before="0"/>
      <w:contextualSpacing/>
    </w:pPr>
    <w:rPr/>
  </w:style>
  <w:style w:styleId="style85" w:type="paragraph">
    <w:name w:val="Bullet 3"/>
    <w:basedOn w:val="style78"/>
    <w:next w:val="style85"/>
    <w:pPr>
      <w:numPr>
        <w:ilvl w:val="0"/>
        <w:numId w:val="1"/>
      </w:numPr>
      <w:spacing w:after="0" w:before="0"/>
      <w:contextualSpacing/>
    </w:pPr>
    <w:rPr/>
  </w:style>
  <w:style w:styleId="style86" w:type="paragraph">
    <w:name w:val="DefaultPlaceholder_Subject10"/>
    <w:next w:val="style86"/>
    <w:pPr>
      <w:widowControl/>
      <w:suppressAutoHyphens w:val="true"/>
      <w:spacing w:after="200" w:before="0" w:line="276" w:lineRule="auto"/>
      <w:contextualSpacing w:val="false"/>
    </w:pPr>
    <w:rPr>
      <w:rFonts w:ascii="Georgia" w:cs="Georgia" w:eastAsia="DejaVu Sans" w:hAnsi="Georgia"/>
      <w:i/>
      <w:color w:val="424456"/>
      <w:sz w:val="24"/>
      <w:szCs w:val="24"/>
      <w:lang w:bidi="ar-SA" w:eastAsia="en-US" w:val="en-US"/>
    </w:rPr>
  </w:style>
  <w:style w:styleId="style87" w:type="paragraph">
    <w:name w:val="Category"/>
    <w:basedOn w:val="style0"/>
    <w:next w:val="style87"/>
    <w:pPr>
      <w:spacing w:after="0" w:before="0" w:line="100" w:lineRule="atLeast"/>
      <w:contextualSpacing w:val="false"/>
    </w:pPr>
    <w:rPr>
      <w:rFonts w:cs=""/>
      <w:caps/>
      <w:sz w:val="22"/>
      <w:szCs w:val="22"/>
    </w:rPr>
  </w:style>
  <w:style w:styleId="style88" w:type="paragraph">
    <w:name w:val="Comments"/>
    <w:basedOn w:val="style0"/>
    <w:next w:val="style88"/>
    <w:pPr>
      <w:spacing w:after="120" w:before="0" w:line="100" w:lineRule="atLeast"/>
      <w:contextualSpacing w:val="false"/>
    </w:pPr>
    <w:rPr>
      <w:b/>
      <w:szCs w:val="22"/>
    </w:rPr>
  </w:style>
  <w:style w:styleId="style89" w:type="paragraph">
    <w:name w:val="Comments Text"/>
    <w:basedOn w:val="style0"/>
    <w:next w:val="style89"/>
    <w:pPr>
      <w:spacing w:after="120" w:before="0" w:line="288" w:lineRule="auto"/>
      <w:contextualSpacing w:val="false"/>
    </w:pPr>
    <w:rPr>
      <w:szCs w:val="22"/>
    </w:rPr>
  </w:style>
  <w:style w:styleId="style90" w:type="paragraph">
    <w:name w:val="Contents 1"/>
    <w:basedOn w:val="style0"/>
    <w:next w:val="style90"/>
    <w:pPr/>
    <w:rPr>
      <w:rFonts w:cs=""/>
      <w:sz w:val="24"/>
      <w:szCs w:val="24"/>
    </w:rPr>
  </w:style>
  <w:style w:styleId="style91" w:type="paragraph">
    <w:name w:val="Contents 2"/>
    <w:basedOn w:val="style0"/>
    <w:next w:val="style91"/>
    <w:pPr>
      <w:ind w:hanging="0" w:left="240" w:right="0"/>
    </w:pPr>
    <w:rPr>
      <w:rFonts w:cs=""/>
      <w:sz w:val="24"/>
      <w:szCs w:val="24"/>
    </w:rPr>
  </w:style>
  <w:style w:styleId="style92" w:type="paragraph">
    <w:name w:val="Contents 3"/>
    <w:basedOn w:val="style0"/>
    <w:next w:val="style92"/>
    <w:pPr>
      <w:spacing w:after="100" w:before="0"/>
      <w:ind w:hanging="0" w:left="400" w:right="0"/>
      <w:contextualSpacing w:val="false"/>
    </w:pPr>
    <w:rPr/>
  </w:style>
  <w:style w:styleId="style93" w:type="paragraph">
    <w:name w:val="Frame Contents"/>
    <w:basedOn w:val="style0"/>
    <w:next w:val="style93"/>
    <w:pPr/>
    <w:rPr/>
  </w:style>
  <w:style w:styleId="style94" w:type="paragraph">
    <w:name w:val="Table Contents"/>
    <w:basedOn w:val="style0"/>
    <w:next w:val="style94"/>
    <w:pPr/>
    <w:rPr/>
  </w:style>
  <w:style w:styleId="style95" w:type="paragraph">
    <w:name w:val="Table Heading"/>
    <w:basedOn w:val="style94"/>
    <w:next w:val="style95"/>
    <w:pPr/>
    <w:rPr/>
  </w:style>
  <w:style w:styleId="style96" w:type="paragraph">
    <w:name w:val="Footnote"/>
    <w:basedOn w:val="style0"/>
    <w:next w:val="style96"/>
    <w:pPr/>
    <w:rPr/>
  </w:style>
  <w:style w:styleId="style97" w:type="paragraph">
    <w:name w:val="Quotations"/>
    <w:basedOn w:val="style0"/>
    <w:next w:val="style9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image" Target="media/image19.png"/><Relationship Id="rId9" Type="http://schemas.openxmlformats.org/officeDocument/2006/relationships/image" Target="media/image20.png"/><Relationship Id="rId10" Type="http://schemas.openxmlformats.org/officeDocument/2006/relationships/image" Target="media/image21.png"/><Relationship Id="rId11" Type="http://schemas.openxmlformats.org/officeDocument/2006/relationships/image" Target="media/image22.png"/><Relationship Id="rId12" Type="http://schemas.openxmlformats.org/officeDocument/2006/relationships/image" Target="media/image23.png"/><Relationship Id="rId13" Type="http://schemas.openxmlformats.org/officeDocument/2006/relationships/image" Target="media/image24.png"/><Relationship Id="rId14" Type="http://schemas.openxmlformats.org/officeDocument/2006/relationships/image" Target="media/image25.png"/><Relationship Id="rId15" Type="http://schemas.openxmlformats.org/officeDocument/2006/relationships/image" Target="media/image26.png"/><Relationship Id="rId16" Type="http://schemas.openxmlformats.org/officeDocument/2006/relationships/image" Target="media/image27.png"/><Relationship Id="rId17" Type="http://schemas.openxmlformats.org/officeDocument/2006/relationships/image" Target="media/image28.png"/><Relationship Id="rId18" Type="http://schemas.openxmlformats.org/officeDocument/2006/relationships/image" Target="media/image29.png"/><Relationship Id="rId19" Type="http://schemas.openxmlformats.org/officeDocument/2006/relationships/image" Target="media/image30.png"/><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footnotes" Target="footnote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Report (Urban theme)</Template>
  <TotalTime>5</TotalTime>
  <Application>LibreOffice/4.1.2.3$Linux_X86_64 LibreOffice_project/410m0$Build-3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2013-10-20T10:59:00Z</dcterms:created>
  <dc:creator>Names</dc:creator>
  <cp:lastModifiedBy>stratis</cp:lastModifiedBy>
  <dcterms:modified xsi:type="dcterms:W3CDTF">2013-10-20T11:04:00Z</dcterms:modified>
  <cp:revision>3</cp:revision>
  <dc:subject>Introduction to the basics</dc:subject>
  <dc:title>Report for Week 1</dc:title>
</cp:coreProperties>
</file>