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pPr>
      <w:r>
        <w:rPr>
          <w:rFonts w:ascii="Arial" w:hAnsi="Arial" w:eastAsia="Arial"/>
          <w:b/>
          <w:sz w:val="22"/>
        </w:rPr>
        <w:t>Použité metody řešení</w:t>
      </w:r>
    </w:p>
    <w:p>
      <w:pPr>
        <w:spacing w:before="0" w:after="120" w:line="240" w:lineRule="auto"/>
      </w:pPr>
      <w:r>
        <w:rPr>
          <w:rFonts w:ascii="Arial" w:hAnsi="Arial" w:eastAsia="Arial"/>
          <w:b w:val="0"/>
          <w:sz w:val="22"/>
        </w:rPr>
        <w:t>Pro naplnění cílů projektu bude využita dlouhodobá zkušenost fiktivních partnerů Ateliér Elenora Vrbová a Centrum městských adaptací Liora v oblasti návrhu zelené infrastruktury, lehkých střešních souvrství, hospodaření s dešťovou vodou a provozního monitoringu veřejných budov. Pilotní partner Základní škola Jasmínová poskytne reálné provozní prostředí, v němž bude možné ověřit nejen technické parametry řešení, ale také bezpečnost, udržovatelnost a organizační náročnost instalace v objektu s pravidelným školním provozem.</w:t>
      </w:r>
    </w:p>
    <w:p>
      <w:pPr>
        <w:spacing w:before="0" w:after="120" w:line="240" w:lineRule="auto"/>
      </w:pPr>
      <w:r>
        <w:rPr>
          <w:rFonts w:ascii="Arial" w:hAnsi="Arial" w:eastAsia="Arial"/>
          <w:b w:val="0"/>
          <w:sz w:val="22"/>
        </w:rPr>
        <w:t>Budou použity standardní nástroje pro technické a environmentální posouzení: statické předběžné vyhodnocení střechy, tepelně-vlhkostní modelování skladby, hydrologické výpočty retenční kapacity, analýza oslunění a proudění vzduchu nad střešní rovinou, laboratorní testy materiálů a automatizované zpracování senzorových dat. Databáze pro vyhodnocení systému vznikne kombinací nových měření z pilotní instalace, laboratorních zkoušek a strukturované evidence údržby, přičemž každá konstrukční varianta panelu bude popsána jednotným souborem parametrů.</w:t>
      </w:r>
    </w:p>
    <w:p>
      <w:pPr>
        <w:spacing w:before="0" w:after="120" w:line="240" w:lineRule="auto"/>
      </w:pPr>
      <w:r>
        <w:rPr>
          <w:rFonts w:ascii="Arial" w:hAnsi="Arial" w:eastAsia="Arial"/>
          <w:b w:val="0"/>
          <w:sz w:val="22"/>
        </w:rPr>
        <w:t>Navržené řešení je postaveno na formalizovaném vícevrstvém datovém rámci, který reflektuje zásady FAIR (Findable, Accessible, Interoperable, Reusable). Každý typ dat produkovaný laboratorní zkouškou, pilotní instalací nebo provozním měřením je systematicky přiřazen k odpovídající vrstvě:</w:t>
      </w:r>
    </w:p>
    <w:p>
      <w:pPr>
        <w:pStyle w:val="ListBullet"/>
        <w:spacing w:before="0" w:after="0" w:line="240" w:lineRule="auto"/>
        <w:ind w:left="709" w:hanging="255"/>
      </w:pPr>
      <w:r>
        <w:rPr>
          <w:rFonts w:ascii="Arial" w:hAnsi="Arial" w:eastAsia="Arial"/>
          <w:sz w:val="22"/>
        </w:rPr>
        <w:t>Relační vrstva: pro strukturovaná metadata, vstupní parametry panelů, popis testovacích ploch, harmonogram měření, provozní deník a odvozené metriky.</w:t>
      </w:r>
    </w:p>
    <w:p>
      <w:pPr>
        <w:pStyle w:val="ListBullet"/>
        <w:spacing w:before="0" w:after="0" w:line="240" w:lineRule="auto"/>
        <w:ind w:left="709" w:hanging="255"/>
      </w:pPr>
      <w:r>
        <w:rPr>
          <w:rFonts w:ascii="Arial" w:hAnsi="Arial" w:eastAsia="Arial"/>
          <w:sz w:val="22"/>
        </w:rPr>
        <w:t>Objektové úložiště: pro velkoobjemové soubory, fotodokumentaci, výkresy, exporty ze senzorů, záznamy z inspekcí a verze technické dokumentace.</w:t>
      </w:r>
    </w:p>
    <w:p>
      <w:pPr>
        <w:pStyle w:val="ListBullet"/>
        <w:spacing w:before="0" w:after="0" w:line="240" w:lineRule="auto"/>
        <w:ind w:left="709" w:hanging="255"/>
      </w:pPr>
      <w:r>
        <w:rPr>
          <w:rFonts w:ascii="Arial" w:hAnsi="Arial" w:eastAsia="Arial"/>
          <w:sz w:val="22"/>
        </w:rPr>
        <w:t>Vrstva analytických reprezentací (feature store): pro převod provozních a laboratorních výstupů do jednotného formátu použitelného v následných výpočtech, porovnávání variant a doporučování vhodných konfigurací panelu.</w:t>
      </w:r>
    </w:p>
    <w:p>
      <w:pPr>
        <w:spacing w:before="0" w:after="120" w:line="240" w:lineRule="auto"/>
      </w:pPr>
      <w:r>
        <w:rPr>
          <w:rFonts w:ascii="Arial" w:hAnsi="Arial" w:eastAsia="Arial"/>
          <w:b w:val="0"/>
          <w:sz w:val="22"/>
        </w:rPr>
        <w:t>Hierarchie vrstev umožňuje jednoznačné mapování mezi fyzickým panelem, jeho konstrukční skladbou, umístěním na střeše, konkrétním měřicím obdobím a odvozeným hodnocením funkčnosti. Pro každou testovací instanci je v databázi udržován formální záznam o instalaci a provozním běhu. Tento záznam obsahuje:</w:t>
      </w:r>
    </w:p>
    <w:p>
      <w:pPr>
        <w:pStyle w:val="ListBullet"/>
        <w:spacing w:before="0" w:after="0" w:line="240" w:lineRule="auto"/>
        <w:ind w:left="709" w:hanging="255"/>
      </w:pPr>
      <w:r>
        <w:rPr>
          <w:rFonts w:ascii="Arial" w:hAnsi="Arial" w:eastAsia="Arial"/>
          <w:sz w:val="22"/>
        </w:rPr>
        <w:t>identifikátory a časovou známku (datum instalace, datum údržbového zásahu, číslo měřicí zóny, verzi panelu, konfiguraci měřicích zařízení a použitou verzi datového parseru),</w:t>
      </w:r>
    </w:p>
    <w:p>
      <w:pPr>
        <w:pStyle w:val="ListBullet"/>
        <w:spacing w:before="0" w:after="0" w:line="240" w:lineRule="auto"/>
        <w:ind w:left="709" w:hanging="255"/>
      </w:pPr>
      <w:r>
        <w:rPr>
          <w:rFonts w:ascii="Arial" w:hAnsi="Arial" w:eastAsia="Arial"/>
          <w:sz w:val="22"/>
        </w:rPr>
        <w:t>normované vstupní parametry (rozměry panelu, hmotnost v suchém a nasyceném stavu, výšku substrátu, retenční materiál, skladbu vegetace, sklon střechy, orientaci ke světovým stranám a míru zastínění),</w:t>
      </w:r>
    </w:p>
    <w:p>
      <w:pPr>
        <w:pStyle w:val="ListBullet"/>
        <w:spacing w:before="0" w:after="0" w:line="240" w:lineRule="auto"/>
        <w:ind w:left="709" w:hanging="255"/>
      </w:pPr>
      <w:r>
        <w:rPr>
          <w:rFonts w:ascii="Arial" w:hAnsi="Arial" w:eastAsia="Arial"/>
          <w:sz w:val="22"/>
        </w:rPr>
        <w:t>výsledkové charakteristiky (agregované ukazatele povrchové teploty, vlhkosti retenční vrstvy, odtoku po srážkové události, vitality vegetace a četnosti servisních zásahů),</w:t>
      </w:r>
    </w:p>
    <w:p>
      <w:pPr>
        <w:pStyle w:val="ListBullet"/>
        <w:spacing w:before="0" w:after="0" w:line="240" w:lineRule="auto"/>
        <w:ind w:left="709" w:hanging="255"/>
      </w:pPr>
      <w:r>
        <w:rPr>
          <w:rFonts w:ascii="Arial" w:hAnsi="Arial" w:eastAsia="Arial"/>
          <w:sz w:val="22"/>
        </w:rPr>
        <w:t>topologický popis testovací plochy a registr dostupných měřených polí, včetně vazby na referenční plochu střechy bez vegetačního souvrství.</w:t>
      </w:r>
    </w:p>
    <w:p>
      <w:pPr>
        <w:spacing w:before="0" w:after="120" w:line="240" w:lineRule="auto"/>
      </w:pPr>
      <w:r>
        <w:rPr>
          <w:rFonts w:ascii="Arial" w:hAnsi="Arial" w:eastAsia="Arial"/>
          <w:b w:val="0"/>
          <w:sz w:val="22"/>
        </w:rPr>
        <w:t>Tento popis je konstruován tak, aby umožňoval strojovou interpretaci napříč variantními experimenty a aby byl způsobilý k vyhledávání podle technického, environmentálního i provozního kritéria. Jedna zóna střechy tak může být vyhledána podle typu panelu, podle období sucha, podle použitých rostlinných druhů nebo podle rozdílu povrchové teploty vůči referenční ploše.</w:t>
      </w:r>
    </w:p>
    <w:p>
      <w:pPr>
        <w:spacing w:before="0" w:after="120" w:line="240" w:lineRule="auto"/>
      </w:pPr>
      <w:r>
        <w:rPr>
          <w:rFonts w:ascii="Arial" w:hAnsi="Arial" w:eastAsia="Arial"/>
          <w:b w:val="0"/>
          <w:sz w:val="22"/>
        </w:rPr>
        <w:t>Objemná provozní data, zejména fotodokumentace vegetačního vývoje, časové řady ze senzorů, technické výkresy a exporty z měřicích zařízení, budou ukládána prostřednictvím objektového úložiště, které umožňuje:</w:t>
      </w:r>
    </w:p>
    <w:p>
      <w:pPr>
        <w:pStyle w:val="ListBullet"/>
        <w:spacing w:before="0" w:after="0" w:line="240" w:lineRule="auto"/>
        <w:ind w:left="709" w:hanging="255"/>
      </w:pPr>
      <w:r>
        <w:rPr>
          <w:rFonts w:ascii="Arial" w:hAnsi="Arial" w:eastAsia="Arial"/>
          <w:sz w:val="22"/>
        </w:rPr>
        <w:t>adresovatelné ukládání artefaktů pod standardizovaným klíčem (UUID/URI),</w:t>
      </w:r>
    </w:p>
    <w:p>
      <w:pPr>
        <w:pStyle w:val="ListBullet"/>
        <w:spacing w:before="0" w:after="0" w:line="240" w:lineRule="auto"/>
        <w:ind w:left="709" w:hanging="255"/>
      </w:pPr>
      <w:r>
        <w:rPr>
          <w:rFonts w:ascii="Arial" w:hAnsi="Arial" w:eastAsia="Arial"/>
          <w:sz w:val="22"/>
        </w:rPr>
        <w:t>spravování integrity a verzí (kontrolní součet, velikost souboru, datum uložení, vazba na záznam testovací plochy),</w:t>
      </w:r>
    </w:p>
    <w:p>
      <w:pPr>
        <w:pStyle w:val="ListBullet"/>
        <w:spacing w:before="0" w:after="0" w:line="240" w:lineRule="auto"/>
        <w:ind w:left="709" w:hanging="255"/>
      </w:pPr>
      <w:r>
        <w:rPr>
          <w:rFonts w:ascii="Arial" w:hAnsi="Arial" w:eastAsia="Arial"/>
          <w:sz w:val="22"/>
        </w:rPr>
        <w:t>oddělení velkých souborů od databázové vrstvy, čímž se zajistí rychlá odezva na metadata dotazy i při dlouhodobém ukládání víceletých měření.</w:t>
      </w:r>
    </w:p>
    <w:p>
      <w:pPr>
        <w:spacing w:before="0" w:after="120" w:line="240" w:lineRule="auto"/>
      </w:pPr>
      <w:r>
        <w:rPr>
          <w:rFonts w:ascii="Arial" w:hAnsi="Arial" w:eastAsia="Arial"/>
          <w:b w:val="0"/>
          <w:sz w:val="22"/>
        </w:rPr>
        <w:t>Zpracování dat probíhá pomocí definované pipeline, která zahrnuje:</w:t>
      </w:r>
    </w:p>
    <w:p>
      <w:pPr>
        <w:pStyle w:val="ListBullet"/>
        <w:spacing w:before="0" w:after="0" w:line="240" w:lineRule="auto"/>
        <w:ind w:left="709" w:hanging="255"/>
      </w:pPr>
      <w:r>
        <w:rPr>
          <w:rFonts w:ascii="Arial" w:hAnsi="Arial" w:eastAsia="Arial"/>
          <w:sz w:val="22"/>
        </w:rPr>
        <w:t>Načtení výstupních souborů ze senzorového rozhraní a získání systematického přehledu dostupných měřených veličin.</w:t>
      </w:r>
    </w:p>
    <w:p>
      <w:pPr>
        <w:pStyle w:val="ListBullet"/>
        <w:spacing w:before="0" w:after="0" w:line="240" w:lineRule="auto"/>
        <w:ind w:left="709" w:hanging="255"/>
      </w:pPr>
      <w:r>
        <w:rPr>
          <w:rFonts w:ascii="Arial" w:hAnsi="Arial" w:eastAsia="Arial"/>
          <w:sz w:val="22"/>
        </w:rPr>
        <w:t>Extrakci strukturních a výsledkových metadat s využitím jednotného datového schématu (typ panelu, typ retenční vrstvy, typ vegetace, interval měření, jednotky veličin a chybové příznaky).</w:t>
      </w:r>
    </w:p>
    <w:p>
      <w:pPr>
        <w:pStyle w:val="ListBullet"/>
        <w:spacing w:before="0" w:after="0" w:line="240" w:lineRule="auto"/>
        <w:ind w:left="709" w:hanging="255"/>
      </w:pPr>
      <w:r>
        <w:rPr>
          <w:rFonts w:ascii="Arial" w:hAnsi="Arial" w:eastAsia="Arial"/>
          <w:sz w:val="22"/>
        </w:rPr>
        <w:t>Výpočet numerických deskriptorů – deterministické operátory aplikované nad časovými řadami a periodickou fotodokumentací, například extrémy, denní průměry, rychlost vysychání, kumulativní retence a index vitality vegetace.</w:t>
      </w:r>
    </w:p>
    <w:p>
      <w:pPr>
        <w:pStyle w:val="ListBullet"/>
        <w:spacing w:before="0" w:after="0" w:line="240" w:lineRule="auto"/>
        <w:ind w:left="709" w:hanging="255"/>
      </w:pPr>
      <w:r>
        <w:rPr>
          <w:rFonts w:ascii="Arial" w:hAnsi="Arial" w:eastAsia="Arial"/>
          <w:sz w:val="22"/>
        </w:rPr>
        <w:t>Integraci doprovodných technických a provozních vstupů z konfiguračních souborů; formát parseru je definován tak, aby poskytoval deterministický výstup bez ohledu na pořadí a varianty vstupů.</w:t>
      </w:r>
    </w:p>
    <w:p>
      <w:pPr>
        <w:pStyle w:val="ListBullet"/>
        <w:spacing w:before="0" w:after="0" w:line="240" w:lineRule="auto"/>
        <w:ind w:left="709" w:hanging="255"/>
      </w:pPr>
      <w:r>
        <w:rPr>
          <w:rFonts w:ascii="Arial" w:hAnsi="Arial" w:eastAsia="Arial"/>
          <w:sz w:val="22"/>
        </w:rPr>
        <w:t>Zápis souhrnné informace: metadata do relační vrstvy, binární data do objektového úložiště, metriky a analytické reprezentace do specializovaných tabulek a vyhledávacího indexu.</w:t>
      </w:r>
    </w:p>
    <w:p>
      <w:pPr>
        <w:spacing w:before="0" w:after="120" w:line="240" w:lineRule="auto"/>
      </w:pPr>
      <w:r>
        <w:rPr>
          <w:rFonts w:ascii="Arial" w:hAnsi="Arial" w:eastAsia="Arial"/>
          <w:b w:val="0"/>
          <w:sz w:val="22"/>
        </w:rPr>
        <w:t>Získaná data jsou transformována do jednotných vektorových reprezentací. Postup zahrnuje:</w:t>
      </w:r>
    </w:p>
    <w:p>
      <w:pPr>
        <w:pStyle w:val="ListBullet"/>
        <w:spacing w:before="0" w:after="0" w:line="240" w:lineRule="auto"/>
        <w:ind w:left="709" w:hanging="255"/>
      </w:pPr>
      <w:r>
        <w:rPr>
          <w:rFonts w:ascii="Arial" w:hAnsi="Arial" w:eastAsia="Arial"/>
          <w:sz w:val="22"/>
        </w:rPr>
        <w:t>normalizované zahrnutí vstupních parametrů konstrukční varianty panelu,</w:t>
      </w:r>
    </w:p>
    <w:p>
      <w:pPr>
        <w:pStyle w:val="ListBullet"/>
        <w:spacing w:before="0" w:after="0" w:line="240" w:lineRule="auto"/>
        <w:ind w:left="709" w:hanging="255"/>
      </w:pPr>
      <w:r>
        <w:rPr>
          <w:rFonts w:ascii="Arial" w:hAnsi="Arial" w:eastAsia="Arial"/>
          <w:sz w:val="22"/>
        </w:rPr>
        <w:t>extrahované agregáty z teplotních, vlhkostních a srážkových měření,</w:t>
      </w:r>
    </w:p>
    <w:p>
      <w:pPr>
        <w:pStyle w:val="ListBullet"/>
        <w:spacing w:before="0" w:after="0" w:line="240" w:lineRule="auto"/>
        <w:ind w:left="709" w:hanging="255"/>
      </w:pPr>
      <w:r>
        <w:rPr>
          <w:rFonts w:ascii="Arial" w:hAnsi="Arial" w:eastAsia="Arial"/>
          <w:sz w:val="22"/>
        </w:rPr>
        <w:t>redukované popisy komplexních distribucí, například délku suchých period, četnost překročení teplotního prahu nebo stabilitu vegetace během vegetační sezóny.</w:t>
      </w:r>
    </w:p>
    <w:p>
      <w:pPr>
        <w:spacing w:before="0" w:after="120" w:line="240" w:lineRule="auto"/>
      </w:pPr>
      <w:r>
        <w:rPr>
          <w:rFonts w:ascii="Arial" w:hAnsi="Arial" w:eastAsia="Arial"/>
          <w:b w:val="0"/>
          <w:sz w:val="22"/>
        </w:rPr>
        <w:t>Feature store slouží jako formální mezivrstva mezi laboratorními zkouškami, pilotním provozem a analytickým aparátem. Vytváří konzistentní přístupový bod, díky němuž odpadá problém s nejednotnou interpretací mezi vyhodnocením jednotlivých sezón a následným návrhem nových variant panelu. Projekt bude vyžadovat podporu metod pro doporučování konstrukčních variant a vícekriteriální optimalizaci. Výběr a úprava nástrojů bude provedena s ohledem na charakter dat, počet kritérií a provozní omezení školních budov. V úvahu budou brány jednoduché statistické regrese, stromové modely pro surrogate modeling, bayesovské optimalizační přístupy a evoluční algoritmy pro vyhledávání Pareto front mezi retenční kapacitou, hmotností, tepelným efektem, cenou a nároky na údržbu.</w:t>
      </w:r>
    </w:p>
    <w:p>
      <w:pPr>
        <w:spacing w:before="0" w:after="120" w:line="240" w:lineRule="auto"/>
      </w:pPr>
      <w:r>
        <w:rPr>
          <w:rFonts w:ascii="Arial" w:hAnsi="Arial" w:eastAsia="Arial"/>
          <w:b w:val="0"/>
          <w:sz w:val="22"/>
        </w:rPr>
        <w:t>Pilotní část projektu bude realizována na vybrané části střechy Základní školy Jasmínová. Testovací pole bude rozděleno na několik zón s rozdílnou skladbou panelů, výškou substrátu a vegetační směsí. Součástí bude referenční plocha bez vegetačního souvrství, která umožní vyhodnotit rozdíl v povrchových teplotách, rychlosti odtoku a tepelném zatížení nejvyššího podlaží. V laboratorní části budou ověřeny zejména nasákavost, vysychání, hmotnost v nasyceném stavu, mechanická odolnost při manipulaci a stabilita vegetační vrstvy při opakovaném teplotním stresu.</w:t>
      </w:r>
    </w:p>
    <w:p>
      <w:pPr>
        <w:spacing w:before="0" w:after="120" w:line="240" w:lineRule="auto"/>
      </w:pPr>
      <w:r>
        <w:rPr>
          <w:rFonts w:ascii="Arial" w:hAnsi="Arial" w:eastAsia="Arial"/>
          <w:b w:val="0"/>
          <w:sz w:val="22"/>
        </w:rPr>
        <w:t>Protože projekt probíhá v prostředí školy, bude technické řešení doplněno provozním a etickým rámcem. Senzory budou sledovat pouze stav prostředí a funkčnost panelů, nikoli pohyb nebo chování osob. Fotodokumentace bude pořizována tak, aby nezachycovala identifikovatelné žáky ani zaměstnance. Instalace, údržba a měření budou plánovány mimo hlavní výukový provoz nebo v předem odsouhlasených časových oknech.</w:t>
      </w:r>
    </w:p>
    <w:p>
      <w:pPr>
        <w:spacing w:before="0" w:after="120" w:line="240" w:lineRule="auto"/>
      </w:pPr>
      <w:r>
        <w:rPr>
          <w:rFonts w:ascii="Arial" w:hAnsi="Arial" w:eastAsia="Arial"/>
          <w:b w:val="0"/>
          <w:sz w:val="22"/>
        </w:rPr>
        <w:t>Výsledkem bude funkční vzorek modulárního vegetačního panelu, ověřený v laboratorních podmínkách a následně v reálném provozu školní budovy. Nový systém bude testován jako opakovatelná sada technických, provozních a datových postupů, nikoli pouze jako jednorázová realizace zelené střechy. Tím se optimalizují náklady i čas budoucího zavádění obdobných adaptačních opatření na dalších veřejných objektech.</w:t>
      </w:r>
    </w:p>
    <w:p>
      <w:pPr>
        <w:spacing w:before="0" w:after="160" w:line="240" w:lineRule="auto"/>
      </w:pPr>
      <w:r>
        <w:rPr>
          <w:rFonts w:ascii="Arial" w:hAnsi="Arial" w:eastAsia="Arial"/>
          <w:b/>
          <w:sz w:val="22"/>
        </w:rPr>
        <w:t>Současný stav poznání</w:t>
      </w:r>
    </w:p>
    <w:p>
      <w:pPr>
        <w:spacing w:before="0" w:after="120" w:line="240" w:lineRule="auto"/>
      </w:pPr>
      <w:r>
        <w:rPr>
          <w:rFonts w:ascii="Arial" w:hAnsi="Arial" w:eastAsia="Arial"/>
          <w:b w:val="0"/>
          <w:sz w:val="22"/>
        </w:rPr>
        <w:t>(Obecně lze říct, že v oblasti adaptace měst na změnu klimatu je velký zájem o zelené střechy, modrozelenou infrastrukturu a opatření snižující přehřívání budov. Navzdory tomu není modulární návrh zelených střech pro školní budovy, propojený s provozním monitoringem a formalizovaným datovým rámcem, zatím běžnou praxí.)</w:t>
      </w:r>
    </w:p>
    <w:p>
      <w:pPr>
        <w:spacing w:before="0" w:after="120" w:line="240" w:lineRule="auto"/>
      </w:pPr>
      <w:r>
        <w:rPr>
          <w:rFonts w:ascii="Arial" w:hAnsi="Arial" w:eastAsia="Arial"/>
          <w:b w:val="0"/>
          <w:sz w:val="22"/>
        </w:rPr>
        <w:t>Zelené střechy jsou v odborné literatuře i v technické praxi popisovány jako opatření schopné kombinovat několik funkcí: zadržení a zpomalení odtoku dešťové vody, snížení povrchové teploty střešní konstrukce, zvýšení podílu zeleně v husté zástavbě a vytvoření doplňkových biotopů pro městské organismy. Přehledové práce ukazují, že konkrétní účinnost je výrazně závislá na tloušťce substrátu, retenční vrstvě, typu vegetace, sklonu střechy, místním klimatu a způsobu údržby [1], [2].</w:t>
      </w:r>
    </w:p>
    <w:p>
      <w:pPr>
        <w:spacing w:before="0" w:after="120" w:line="240" w:lineRule="auto"/>
      </w:pPr>
      <w:r>
        <w:rPr>
          <w:rFonts w:ascii="Arial" w:hAnsi="Arial" w:eastAsia="Arial"/>
          <w:b w:val="0"/>
          <w:sz w:val="22"/>
        </w:rPr>
        <w:t>V praxi jsou zelené střechy nejčastěji navrhovány jako individuální stavební souvrství. Tento přístup umožňuje optimalizovat skladbu pro konkrétní budovu, ale zároveň komplikuje rychlé opakované nasazení na větším počtu veřejných objektů. U školních budov se navíc přidávají požadavky na bezpečný provoz, omezené možnosti pohybu na střeše, minimální zásahy během výuky, jasně definovanou odpovědnost za údržbu a předvídatelnost nákladů. Právě tyto aspekty nejsou v běžných technických nebo architektonických studiích vždy sledovány se stejnou vahou jako hydrologický nebo estetický efekt.</w:t>
      </w:r>
    </w:p>
    <w:p>
      <w:pPr>
        <w:spacing w:before="0" w:after="120" w:line="240" w:lineRule="auto"/>
      </w:pPr>
      <w:r>
        <w:rPr>
          <w:rFonts w:ascii="Arial" w:hAnsi="Arial" w:eastAsia="Arial"/>
          <w:b w:val="0"/>
          <w:sz w:val="22"/>
        </w:rPr>
        <w:t>Výzkum v oblasti zelených střech se dlouhodobě zaměřuje zejména na:</w:t>
      </w:r>
    </w:p>
    <w:p>
      <w:pPr>
        <w:pStyle w:val="ListBullet"/>
        <w:spacing w:before="0" w:after="0" w:line="240" w:lineRule="auto"/>
        <w:ind w:left="709" w:hanging="255"/>
      </w:pPr>
      <w:r>
        <w:rPr>
          <w:rFonts w:ascii="Arial" w:hAnsi="Arial" w:eastAsia="Arial"/>
          <w:sz w:val="22"/>
        </w:rPr>
        <w:t>retenční schopnost vegetačních souvrství a omezení špičkových odtoků,</w:t>
      </w:r>
    </w:p>
    <w:p>
      <w:pPr>
        <w:pStyle w:val="ListBullet"/>
        <w:spacing w:before="0" w:after="0" w:line="240" w:lineRule="auto"/>
        <w:ind w:left="709" w:hanging="255"/>
      </w:pPr>
      <w:r>
        <w:rPr>
          <w:rFonts w:ascii="Arial" w:hAnsi="Arial" w:eastAsia="Arial"/>
          <w:sz w:val="22"/>
        </w:rPr>
        <w:t>tepelnou ochranu budov a snížení povrchových teplot střešních konstrukcí,</w:t>
      </w:r>
    </w:p>
    <w:p>
      <w:pPr>
        <w:pStyle w:val="ListBullet"/>
        <w:spacing w:before="0" w:after="0" w:line="240" w:lineRule="auto"/>
        <w:ind w:left="709" w:hanging="255"/>
      </w:pPr>
      <w:r>
        <w:rPr>
          <w:rFonts w:ascii="Arial" w:hAnsi="Arial" w:eastAsia="Arial"/>
          <w:sz w:val="22"/>
        </w:rPr>
        <w:t>vliv tloušťky substrátu, drenážní vrstvy a složení vegetace na přežívání rostlin,</w:t>
      </w:r>
    </w:p>
    <w:p>
      <w:pPr>
        <w:pStyle w:val="ListBullet"/>
        <w:spacing w:before="0" w:after="0" w:line="240" w:lineRule="auto"/>
        <w:ind w:left="709" w:hanging="255"/>
      </w:pPr>
      <w:r>
        <w:rPr>
          <w:rFonts w:ascii="Arial" w:hAnsi="Arial" w:eastAsia="Arial"/>
          <w:sz w:val="22"/>
        </w:rPr>
        <w:t>možnosti využití recyklovaných a minerálních materiálů ve skladbě substrátů,</w:t>
      </w:r>
    </w:p>
    <w:p>
      <w:pPr>
        <w:pStyle w:val="ListBullet"/>
        <w:spacing w:before="0" w:after="0" w:line="240" w:lineRule="auto"/>
        <w:ind w:left="709" w:hanging="255"/>
      </w:pPr>
      <w:r>
        <w:rPr>
          <w:rFonts w:ascii="Arial" w:hAnsi="Arial" w:eastAsia="Arial"/>
          <w:sz w:val="22"/>
        </w:rPr>
        <w:t>biodiverzitní potenciál střech a jejich vazbu na okolní městskou zeleň,</w:t>
      </w:r>
    </w:p>
    <w:p>
      <w:pPr>
        <w:pStyle w:val="ListBullet"/>
        <w:spacing w:before="0" w:after="0" w:line="240" w:lineRule="auto"/>
        <w:ind w:left="709" w:hanging="255"/>
      </w:pPr>
      <w:r>
        <w:rPr>
          <w:rFonts w:ascii="Arial" w:hAnsi="Arial" w:eastAsia="Arial"/>
          <w:sz w:val="22"/>
        </w:rPr>
        <w:t>ekonomické přínosy a náklady v životním cyklu budovy.</w:t>
      </w:r>
    </w:p>
    <w:p>
      <w:pPr>
        <w:spacing w:before="0" w:after="120" w:line="240" w:lineRule="auto"/>
      </w:pPr>
      <w:r>
        <w:rPr>
          <w:rFonts w:ascii="Arial" w:hAnsi="Arial" w:eastAsia="Arial"/>
          <w:b w:val="0"/>
          <w:sz w:val="22"/>
        </w:rPr>
        <w:t>Hydrologická literatura ukazuje, že zelené střechy jsou jedním z nástrojů městského hospodaření s dešťovou vodou. Jejich účinnost je však proměnlivá a u větších srážkových událostí se snižuje v závislosti na nasycení souvrství, hloubce substrátu a časovém odstupu od předchozího deště. Z tohoto důvodu je pro projekt klíčové nesledovat pouze deklarovanou retenční kapacitu panelu, ale také reálnou odezvu po srážkových epizodách, rychlost vysychání a obnovu retenční kapacity mezi jednotlivými událostmi [1], [2].</w:t>
      </w:r>
    </w:p>
    <w:p>
      <w:pPr>
        <w:spacing w:before="0" w:after="120" w:line="240" w:lineRule="auto"/>
      </w:pPr>
      <w:r>
        <w:rPr>
          <w:rFonts w:ascii="Arial" w:hAnsi="Arial" w:eastAsia="Arial"/>
          <w:b w:val="0"/>
          <w:sz w:val="22"/>
        </w:rPr>
        <w:t>Tepelný efekt zelených střech je dán kombinací stínění, evapotranspirace, tepelné setrvačnosti a změny povrchových vlastností střešní roviny. Dosavadní studie potvrzují význam zelených a reflexních střešních technologií pro omezování městského tepelného ostrova, avšak výsledný dopad je citlivý na měřítko, typ střechy, vegetační kryt, dostupnost vody a charakter okolní zástavby [3]. Z hlediska školních budov je proto podstatné měřit nejen povrchovou teplotu panelu, ale také teplotní odezvu v nejvyšším podlaží a chování systému během dlouhých období bez srážek.</w:t>
      </w:r>
    </w:p>
    <w:p>
      <w:pPr>
        <w:spacing w:before="0" w:after="120" w:line="240" w:lineRule="auto"/>
      </w:pPr>
      <w:r>
        <w:rPr>
          <w:rFonts w:ascii="Arial" w:hAnsi="Arial" w:eastAsia="Arial"/>
          <w:b w:val="0"/>
          <w:sz w:val="22"/>
        </w:rPr>
        <w:t>Biodiverzitní přínos zelených střech je v literatuře hodnocen pozitivně, avšak současně je zdůrazňováno, že střešní biotopy nemohou plně nahradit komplexní přírodní stanoviště. Systematický přehled Wang et al. uvádí, že většina empirických studií se zaměřovala především na rostliny a členovce a že další výzkum by měl lépe sledovat prostorové vazby mezi jednotlivými střechami a dalšími zelenými plochami ve městě [4]. Projekt proto chápe biodiverzitu jako doplňkový, nikoli jediný cíl a soustředí se na měřitelnou provozní funkčnost systému.</w:t>
      </w:r>
    </w:p>
    <w:p>
      <w:pPr>
        <w:spacing w:before="0" w:after="120" w:line="240" w:lineRule="auto"/>
      </w:pPr>
      <w:r>
        <w:rPr>
          <w:rFonts w:ascii="Arial" w:hAnsi="Arial" w:eastAsia="Arial"/>
          <w:b w:val="0"/>
          <w:sz w:val="22"/>
        </w:rPr>
        <w:t>Samostatnou oblastí jsou modulární zelené střechy. Jejich principem je rozdělení vegetačního souvrství do samostatných kazet nebo panelů, které lze předpěstovat, převážet, instalovat a v případě potřeby vyměňovat. Modulární řešení může zkrátit dobu instalace a usnadnit servis, ale zároveň vyžaduje přesné řešení návaznosti mezi panely, odvodnění, stability při větru, hmotnosti v nasyceném stavu a ochrany hydroizolace. Literatura k modulárním systémům se často soustředí na stavební princip a potenciál rychlejší realizace, méně však na dlouhodobou datovou validaci v prostředí školních budov [5].</w:t>
      </w:r>
    </w:p>
    <w:p>
      <w:pPr>
        <w:spacing w:before="0" w:after="120" w:line="240" w:lineRule="auto"/>
      </w:pPr>
      <w:r>
        <w:rPr>
          <w:rFonts w:ascii="Arial" w:hAnsi="Arial" w:eastAsia="Arial"/>
          <w:b w:val="0"/>
          <w:sz w:val="22"/>
        </w:rPr>
        <w:t>V České republice existují technická doporučení pro návrh, provádění a údržbu vegetačních střech, která sjednocují terminologii, popisují vrstvy souvrství a uvádějí požadavky na materiály a provoz [8]. Tato doporučení jsou důležitým výchozím bodem, ale neřeší sama o sobě automatizované vyhodnocování provozních dat, variantní návrh panelů ani rozhodovací rámec pro městské zřizovatele škol. Navržený projekt se tedy nepokouší nahrazovat technické standardy, ale doplňuje je o měřicí, datovou a metodickou vrstvu.</w:t>
      </w:r>
    </w:p>
    <w:p>
      <w:pPr>
        <w:spacing w:before="0" w:after="120" w:line="240" w:lineRule="auto"/>
      </w:pPr>
      <w:r>
        <w:rPr>
          <w:rFonts w:ascii="Arial" w:hAnsi="Arial" w:eastAsia="Arial"/>
          <w:b w:val="0"/>
          <w:sz w:val="22"/>
        </w:rPr>
        <w:t>Významné práce v oblasti zelených střech, retenční funkce, modulárních systémů a biodiverzity:</w:t>
      </w:r>
    </w:p>
    <w:p>
      <w:pPr>
        <w:spacing w:before="0" w:after="120" w:line="240" w:lineRule="auto"/>
      </w:pPr>
      <w:r>
        <w:rPr>
          <w:rFonts w:ascii="Arial" w:hAnsi="Arial" w:eastAsia="Arial"/>
          <w:b w:val="0"/>
          <w:sz w:val="22"/>
        </w:rPr>
        <w:t>Monteiro, C. M., Mendes, A. M. &amp; Santos, C. (2023) Green Roofs as an Urban NbS Strategy for Rainwater Retention: Influencing Factors—A Review. Water, 15(15), 2787. doi:10.3390/w15152787.</w:t>
      </w:r>
    </w:p>
    <w:p>
      <w:pPr>
        <w:spacing w:before="0" w:after="120" w:line="240" w:lineRule="auto"/>
      </w:pPr>
      <w:r>
        <w:rPr>
          <w:rFonts w:ascii="Arial" w:hAnsi="Arial" w:eastAsia="Arial"/>
          <w:b w:val="0"/>
          <w:sz w:val="22"/>
        </w:rPr>
        <w:t>Shahmohammad, M., Hosseinzadeh, M., Dvorak, B., Bordbar, F., Shahmohammadmirab, H. &amp; Aghamohammadi, N. (2022) Sustainable green roofs: a comprehensive review of influential factors. Environmental Science and Pollution Research, 29(52), 78228–78254. doi:10.1007/s11356-022-23405-x.</w:t>
      </w:r>
    </w:p>
    <w:p>
      <w:pPr>
        <w:spacing w:before="0" w:after="120" w:line="240" w:lineRule="auto"/>
      </w:pPr>
      <w:r>
        <w:rPr>
          <w:rFonts w:ascii="Arial" w:hAnsi="Arial" w:eastAsia="Arial"/>
          <w:b w:val="0"/>
          <w:sz w:val="22"/>
        </w:rPr>
        <w:t>Santamouris, M. (2014) Cooling the cities—A review of reflective and green roof mitigation technologies to fight heat island and improve comfort in urban environments. Solar Energy, 103, 682–703. doi:10.1016/j.solener.2012.07.003.</w:t>
      </w:r>
    </w:p>
    <w:p>
      <w:pPr>
        <w:spacing w:before="0" w:after="120" w:line="240" w:lineRule="auto"/>
      </w:pPr>
      <w:r>
        <w:rPr>
          <w:rFonts w:ascii="Arial" w:hAnsi="Arial" w:eastAsia="Arial"/>
          <w:b w:val="0"/>
          <w:sz w:val="22"/>
        </w:rPr>
        <w:t>Wang, L., Wang, H., Wang, Y., Che, Y., Ge, Z. &amp; Mao, L. (2022) The relationship between green roofs and urban biodiversity: a systematic review. Biodiversity and Conservation, 31(7), 1771–1796. doi:10.1007/s10531-022-02436-3.</w:t>
      </w:r>
    </w:p>
    <w:p>
      <w:pPr>
        <w:spacing w:before="0" w:after="120" w:line="240" w:lineRule="auto"/>
      </w:pPr>
      <w:r>
        <w:rPr>
          <w:rFonts w:ascii="Arial" w:hAnsi="Arial" w:eastAsia="Arial"/>
          <w:b w:val="0"/>
          <w:sz w:val="22"/>
        </w:rPr>
        <w:t>Hejl, M., Mohapl, M. &amp; Bříza, L. (2020) Modular Green Roofs and their Usage in the World. International Journal of Engineering Research in Africa, 47, 103–108. doi:10.4028/www.scientific.net/JERA.47.103.</w:t>
      </w:r>
    </w:p>
    <w:p>
      <w:pPr>
        <w:spacing w:before="0" w:after="120" w:line="240" w:lineRule="auto"/>
      </w:pPr>
      <w:r>
        <w:rPr>
          <w:rFonts w:ascii="Arial" w:hAnsi="Arial" w:eastAsia="Arial"/>
          <w:b w:val="0"/>
          <w:sz w:val="22"/>
        </w:rPr>
        <w:t>Manso, M., Teotónio, I., Silva, C. M. &amp; Cruz, C. O. (2021) Green roof and green wall benefits and costs: A review of the quantitative evidence. Renewable and Sustainable Energy Reviews, 135, 110111. doi:10.1016/j.rser.2020.110111.</w:t>
      </w:r>
    </w:p>
    <w:p>
      <w:pPr>
        <w:spacing w:before="0" w:after="160" w:line="240" w:lineRule="auto"/>
      </w:pPr>
      <w:r>
        <w:rPr>
          <w:rFonts w:ascii="Arial" w:hAnsi="Arial" w:eastAsia="Arial"/>
          <w:b/>
          <w:sz w:val="22"/>
        </w:rPr>
        <w:t>Vymezení se k obdobným projektům a řešením</w:t>
      </w:r>
    </w:p>
    <w:p>
      <w:pPr>
        <w:spacing w:before="0" w:after="120" w:line="240" w:lineRule="auto"/>
      </w:pPr>
      <w:r>
        <w:rPr>
          <w:rFonts w:ascii="Arial" w:hAnsi="Arial" w:eastAsia="Arial"/>
          <w:b w:val="0"/>
          <w:sz w:val="22"/>
        </w:rPr>
        <w:t>V rámci fiktivního Ateliéru Elenora Vrbová neexistují takové projekty, ke kterým by bylo nutné se vymezit z hlediska duplicitního výzkumu. Dosavadní činnost ateliéru se v tomto modelovém návrhu soustředila na architektonické začlenění zeleně do veřejných prostranství, návrhy školních dvorů a koncepční studie modrozelené infrastruktury. Nebyl však realizován projekt, který by spojoval vývoj modulárního vegetačního panelu, pilotní instalaci na školní střeše, systematické měření mikroklimatu a formalizovanou datovou infrastrukturu pro opakované zavádění řešení.</w:t>
      </w:r>
    </w:p>
    <w:p>
      <w:pPr>
        <w:spacing w:before="0" w:after="120" w:line="240" w:lineRule="auto"/>
      </w:pPr>
      <w:r>
        <w:rPr>
          <w:rFonts w:ascii="Arial" w:hAnsi="Arial" w:eastAsia="Arial"/>
          <w:b w:val="0"/>
          <w:sz w:val="22"/>
        </w:rPr>
        <w:t>Centrum městských adaptací Liora má zkušenosti s měřením městského tepelného ostrova, analýzou propustných povrchů a návrhem adaptačních opatření v uličním prostoru. Tyto aktivity se ale týkaly zejména veřejných prostranství, parků, školních zahrad a opatření na úrovni terénu. Projekty týkající se samotného střešního pláště školních budov, modulárních vegetačních kazet a jejich vícekriteriálního datového vyhodnocení dosud v rámci centra neexistují.</w:t>
      </w:r>
    </w:p>
    <w:p>
      <w:pPr>
        <w:spacing w:before="0" w:after="120" w:line="240" w:lineRule="auto"/>
      </w:pPr>
      <w:r>
        <w:rPr>
          <w:rFonts w:ascii="Arial" w:hAnsi="Arial" w:eastAsia="Arial"/>
          <w:b w:val="0"/>
          <w:sz w:val="22"/>
        </w:rPr>
        <w:t>Z hlediska průmyslu v České republice i ve světě existují komerční systémy extenzivních zelených střech, předpěstovaných vegetačních rohoží a modulárních kazet. Tato řešení jsou obvykle nabízena jako stavební nebo realizační produkt. Zákazník získává technickou skladbu, instalační postup a někdy základní údržbový návod. Méně často je však součástí dodávky dlouhodobý výzkumný monitoring, srovnání s referenční plochou, otevřený datový model, validace v prostředí školy a metodika pro rozhodování městského zřizovatele.</w:t>
      </w:r>
    </w:p>
    <w:p>
      <w:pPr>
        <w:spacing w:before="0" w:after="120" w:line="240" w:lineRule="auto"/>
      </w:pPr>
      <w:r>
        <w:rPr>
          <w:rFonts w:ascii="Arial" w:hAnsi="Arial" w:eastAsia="Arial"/>
          <w:b w:val="0"/>
          <w:sz w:val="22"/>
        </w:rPr>
        <w:t>Využití zelených střech jako adaptačního opatření je v současnosti rozšířenou praxí a je podpořeno odbornou literaturou i technickými doporučeními. Existující přístupy však obvykle pracují s konkrétní budovou nebo s obecným popisem přínosů. Oproti tomu prezentovaný projekt se zaměřuje na opakovatelnost: jak navrhnout panel tak, aby jej bylo možné použít na více školních objektech, jak standardizovat měření a jak vytvořit rozhodovací rámec pro výběr varianty podle únosnosti střechy, cílové retence, údržby a nákladů.</w:t>
      </w:r>
    </w:p>
    <w:p>
      <w:pPr>
        <w:spacing w:before="0" w:after="120" w:line="240" w:lineRule="auto"/>
      </w:pPr>
      <w:r>
        <w:rPr>
          <w:rFonts w:ascii="Arial" w:hAnsi="Arial" w:eastAsia="Arial"/>
          <w:b w:val="0"/>
          <w:sz w:val="22"/>
        </w:rPr>
        <w:t>Oproti standardním extenzivním zeleným střechám se projekt odlišuje především modulárním pojetím a možností postupné instalace. Panel je chápán jako stavebně-provozní jednotka, kterou lze samostatně evidovat, měřit, servisovat a v případě potřeby vyměnit. Tím se snižuje riziko, že porucha nebo nevyhovující vegetační vývoj v jedné části střechy ovlivní celé řešení. Zároveň je možné testovat více variant současně a po vyhodnocení vybrat skladbu vhodnou pro další budovy.</w:t>
      </w:r>
    </w:p>
    <w:p>
      <w:pPr>
        <w:spacing w:before="0" w:after="120" w:line="240" w:lineRule="auto"/>
      </w:pPr>
      <w:r>
        <w:rPr>
          <w:rFonts w:ascii="Arial" w:hAnsi="Arial" w:eastAsia="Arial"/>
          <w:b w:val="0"/>
          <w:sz w:val="22"/>
        </w:rPr>
        <w:t>Oproti běžným komerčním modulárním systémům je zásadní rozdíl v práci s daty. Projekt nebude vyhodnocovat pouze výsledný vzhled nebo deklarovanou retenční kapacitu. Bude systematicky sledovat povrchovou teplotu, vlhkost retenční vrstvy, rychlost vysychání, četnost zásahů údržby, vitalitu vegetace a rozdíl oproti referenční střešní ploše. Tato data budou ukládána v jednotné struktuře a převáděna do analytických reprezentací, které umožní srovnání mezi roky, typy panelů a provozními podmínkami.</w:t>
      </w:r>
    </w:p>
    <w:p>
      <w:pPr>
        <w:spacing w:before="0" w:after="120" w:line="240" w:lineRule="auto"/>
      </w:pPr>
      <w:r>
        <w:rPr>
          <w:rFonts w:ascii="Arial" w:hAnsi="Arial" w:eastAsia="Arial"/>
          <w:b w:val="0"/>
          <w:sz w:val="22"/>
        </w:rPr>
        <w:t>Oproti projektům zaměřeným na školní zahrady a přírodní učebny se navržené řešení soustředí na střešní rovinu jako málo využitý adaptační prostor. Školní zahrady pracují s pobytovým a vzdělávacím prostorem v úrovni terénu, zatímco tento projekt řeší obálku budovy, tepelnou zátěž horních podlaží a odtok dešťové vody ze střechy. Oba přístupy se mohou doplňovat, ale nejsou zaměnitelné.</w:t>
      </w:r>
    </w:p>
    <w:p>
      <w:pPr>
        <w:spacing w:before="0" w:after="120" w:line="240" w:lineRule="auto"/>
      </w:pPr>
      <w:r>
        <w:rPr>
          <w:rFonts w:ascii="Arial" w:hAnsi="Arial" w:eastAsia="Arial"/>
          <w:b w:val="0"/>
          <w:sz w:val="22"/>
        </w:rPr>
        <w:t>Oproti projektům zaměřeným pouze na hospodaření s dešťovou vodou se projekt vymezuje širším vícekriteriálním pohledem. Retence je důležitým parametrem, ale není jediným cílem. Panel musí být současně lehký, bezpečný, udržovatelný, cenově přijatelný a přiměřeně odolný vůči suchu. Proto bude vyhodnocení pracovat s Pareto přístupem, který umožní hledat kompromis mezi více cíli namísto výběru jedné varianty podle jediného ukazatele.</w:t>
      </w:r>
    </w:p>
    <w:p>
      <w:pPr>
        <w:spacing w:before="0" w:after="120" w:line="240" w:lineRule="auto"/>
      </w:pPr>
      <w:r>
        <w:rPr>
          <w:rFonts w:ascii="Arial" w:hAnsi="Arial" w:eastAsia="Arial"/>
          <w:b w:val="0"/>
          <w:sz w:val="22"/>
        </w:rPr>
        <w:t>Oproti chytrým budovám a běžným systémům energetického monitoringu se projekt nezaměřuje na celkovou automatizaci provozu objektu. Senzorika je navržena účelově pro ověření vegetačního střešního systému. Cílem není sledování osob ani detailní energetický audit školy, ale vytvoření přehledné datové základny pro posouzení funkčnosti panelů a jejich přínosu pro mikroklima budovy.</w:t>
      </w:r>
    </w:p>
    <w:p>
      <w:pPr>
        <w:spacing w:before="0" w:after="120" w:line="240" w:lineRule="auto"/>
      </w:pPr>
      <w:r>
        <w:rPr>
          <w:rFonts w:ascii="Arial" w:hAnsi="Arial" w:eastAsia="Arial"/>
          <w:b w:val="0"/>
          <w:sz w:val="22"/>
        </w:rPr>
        <w:t>Prezentovaný projekt se tedy odlišuje komplexním a formalizovaným přístupem k datové infrastruktuře, který umožňuje systematické využití víceletých měření a laboratorních zkoušek. Zatímco současné realizace zelených střech často končí předáním stavby a základním údržbovým plánem, navržené řešení zavádí relační vrstvu pro metadata, objektové úložiště pro velkoobjemová data a specializovanou vrstvu analytických reprezentací. Tato architektura vytváří konzistentní přístupový bod mezi návrhem, provozním měřením a následným doporučováním variant.</w:t>
      </w:r>
    </w:p>
    <w:p>
      <w:pPr>
        <w:spacing w:before="0" w:after="120" w:line="240" w:lineRule="auto"/>
      </w:pPr>
      <w:r>
        <w:rPr>
          <w:rFonts w:ascii="Arial" w:hAnsi="Arial" w:eastAsia="Arial"/>
          <w:b w:val="0"/>
          <w:sz w:val="22"/>
        </w:rPr>
        <w:t>Předpokládaným výstupem nebude pouze pilotní zelená střecha na Základní škole Jasmínová, ale také rozhodovací rámec pro další školy a městské budovy. Tento rámec pomůže určit, pro jaký typ střechy je systém vhodný, jakou konstrukční variantu panelu zvolit, jaká omezení instalace je nutné prověřit, jaké provozní nároky lze očekávat a jaká data mají být sbírána při následném monitoringu.</w:t>
      </w:r>
    </w:p>
    <w:p>
      <w:pPr>
        <w:spacing w:before="0" w:after="120" w:line="240" w:lineRule="auto"/>
      </w:pPr>
      <w:r>
        <w:rPr>
          <w:rFonts w:ascii="Arial" w:hAnsi="Arial" w:eastAsia="Arial"/>
          <w:b w:val="0"/>
          <w:sz w:val="22"/>
        </w:rPr>
        <w:t>Z hlediska originality je důležité, že projekt propojuje modulární konstrukci, školní provoz, městskou adaptační strategii, správu dat a dlouhodobé vyhodnocení v jednom uceleném návrhu. Nejde tedy o izolovanou technologickou demonstraci ani o obecnou environmentální studii, ale o prakticky orientovaný výzkumný rámec, který má umožnit bezpečné a opakovatelné zavádění zelených střech na veřejných školních budovách.</w:t>
      </w:r>
    </w:p>
    <w:p>
      <w:pPr>
        <w:spacing w:before="0" w:after="120" w:line="240" w:lineRule="auto"/>
      </w:pPr>
      <w:r>
        <w:rPr>
          <w:rFonts w:ascii="Arial" w:hAnsi="Arial" w:eastAsia="Arial"/>
          <w:b w:val="0"/>
          <w:sz w:val="22"/>
        </w:rPr>
        <w:t>[1] U.S. Environmental Protection Agency (2021) NPDES: Stormwater Best Management Practice—Green Roofs. Office of Water, 4203M.</w:t>
      </w:r>
    </w:p>
    <w:p>
      <w:pPr>
        <w:spacing w:before="0" w:after="120" w:line="240" w:lineRule="auto"/>
      </w:pPr>
      <w:r>
        <w:rPr>
          <w:rFonts w:ascii="Arial" w:hAnsi="Arial" w:eastAsia="Arial"/>
          <w:b w:val="0"/>
          <w:sz w:val="22"/>
        </w:rPr>
        <w:t>[2] Monteiro, C. M., Mendes, A. M. &amp; Santos, C. (2023) Green Roofs as an Urban NbS Strategy for Rainwater Retention: Influencing Factors—A Review. Water, 15(15), 2787. doi:10.3390/w15152787.</w:t>
      </w:r>
    </w:p>
    <w:p>
      <w:pPr>
        <w:spacing w:before="0" w:after="120" w:line="240" w:lineRule="auto"/>
      </w:pPr>
      <w:r>
        <w:rPr>
          <w:rFonts w:ascii="Arial" w:hAnsi="Arial" w:eastAsia="Arial"/>
          <w:b w:val="0"/>
          <w:sz w:val="22"/>
        </w:rPr>
        <w:t>[3] Santamouris, M. (2014) Cooling the cities—A review of reflective and green roof mitigation technologies to fight heat island and improve comfort in urban environments. Solar Energy, 103, 682–703. doi:10.1016/j.solener.2012.07.003.</w:t>
      </w:r>
    </w:p>
    <w:p>
      <w:pPr>
        <w:spacing w:before="0" w:after="120" w:line="240" w:lineRule="auto"/>
      </w:pPr>
      <w:r>
        <w:rPr>
          <w:rFonts w:ascii="Arial" w:hAnsi="Arial" w:eastAsia="Arial"/>
          <w:b w:val="0"/>
          <w:sz w:val="22"/>
        </w:rPr>
        <w:t>[4] Wang, L., Wang, H., Wang, Y., Che, Y., Ge, Z. &amp; Mao, L. (2022) The relationship between green roofs and urban biodiversity: a systematic review. Biodiversity and Conservation, 31(7), 1771–1796. doi:10.1007/s10531-022-02436-3.</w:t>
      </w:r>
    </w:p>
    <w:p>
      <w:pPr>
        <w:spacing w:before="0" w:after="120" w:line="240" w:lineRule="auto"/>
      </w:pPr>
      <w:r>
        <w:rPr>
          <w:rFonts w:ascii="Arial" w:hAnsi="Arial" w:eastAsia="Arial"/>
          <w:b w:val="0"/>
          <w:sz w:val="22"/>
        </w:rPr>
        <w:t>[5] Hejl, M., Mohapl, M. &amp; Bříza, L. (2020) Modular Green Roofs and their Usage in the World. International Journal of Engineering Research in Africa, 47, 103–108. doi:10.4028/www.scientific.net/JERA.47.103.</w:t>
      </w:r>
    </w:p>
    <w:p>
      <w:pPr>
        <w:spacing w:before="0" w:after="120" w:line="240" w:lineRule="auto"/>
      </w:pPr>
      <w:r>
        <w:rPr>
          <w:rFonts w:ascii="Arial" w:hAnsi="Arial" w:eastAsia="Arial"/>
          <w:b w:val="0"/>
          <w:sz w:val="22"/>
        </w:rPr>
        <w:t>[6] Manso, M., Teotónio, I., Silva, C. M. &amp; Cruz, C. O. (2021) Green roof and green wall benefits and costs: A review of the quantitative evidence. Renewable and Sustainable Energy Reviews, 135, 110111. doi:10.1016/j.rser.2020.110111.</w:t>
      </w:r>
    </w:p>
    <w:p>
      <w:pPr>
        <w:spacing w:before="0" w:after="120" w:line="240" w:lineRule="auto"/>
      </w:pPr>
      <w:r>
        <w:rPr>
          <w:rFonts w:ascii="Arial" w:hAnsi="Arial" w:eastAsia="Arial"/>
          <w:b w:val="0"/>
          <w:sz w:val="22"/>
        </w:rPr>
        <w:t>[7] Shahmohammad, M., Hosseinzadeh, M., Dvorak, B., Bordbar, F., Shahmohammadmirab, H. &amp; Aghamohammadi, N. (2022) Sustainable green roofs: a comprehensive review of influential factors. Environmental Science and Pollution Research, 29(52), 78228–78254. doi:10.1007/s11356-022-23405-x.</w:t>
      </w:r>
    </w:p>
    <w:p>
      <w:pPr>
        <w:spacing w:before="0" w:after="120" w:line="240" w:lineRule="auto"/>
      </w:pPr>
      <w:r>
        <w:rPr>
          <w:rFonts w:ascii="Arial" w:hAnsi="Arial" w:eastAsia="Arial"/>
          <w:b w:val="0"/>
          <w:sz w:val="22"/>
        </w:rPr>
        <w:t>[8] Burian, S. a kol. (2019) Vegetační souvrství zelených střech: Standardy pro navrhování, provádění a údržbu. Svaz zakládání a údržby zeleně.</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720"/>
      <w:contextualSpacing/>
    </w:pPr>
    <w:rPr>
      <w:rFonts w:ascii="Arial" w:hAnsi="Arial" w:eastAsia="Arial"/>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Excelence - modulární zelené střechy</dc:title>
  <dc:subject>Fiktivní projektový text podle struktury vzorového dokumentu</dc:subject>
  <dc:creator>OpenAI</dc:creator>
  <cp:keywords>zelené střechy, školní budovy, modulární panely, data management</cp:keywords>
  <dc:description>generated by python-docx</dc:description>
  <cp:lastModifiedBy/>
  <cp:revision>1</cp:revision>
  <dcterms:created xsi:type="dcterms:W3CDTF">2013-12-23T23:15:00Z</dcterms:created>
  <dcterms:modified xsi:type="dcterms:W3CDTF">2013-12-23T23:15:00Z</dcterms:modified>
  <cp:category/>
</cp:coreProperties>
</file>