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20"/>
          <w:sz w:val="72"/>
          <w:szCs w:val="72"/>
        </w:rPr>
        <w:t xml:space="preserve">FIRA</w:t>
      </w:r>
    </w:p>
    <w:p>
      <w:pPr>
        <w:spacing w:after="200"/>
        <w:jc w:val="center"/>
      </w:pPr>
      <w:r>
        <w:rPr>
          <w:rFonts w:ascii="Arial" w:cs="Arial" w:eastAsia="Arial" w:hAnsi="Arial"/>
          <w:color w:val="2E7D32"/>
          <w:sz w:val="28"/>
          <w:szCs w:val="28"/>
        </w:rPr>
        <w:t xml:space="preserve">Financial Intelligence &amp; Resource Analytics</w:t>
      </w:r>
    </w:p>
    <w:p>
      <w:pPr>
        <w:pBdr>
          <w:bottom w:val="single" w:color="8B6914" w:sz="6" w:space="1"/>
        </w:pBdr>
        <w:spacing w:after="600"/>
        <w:jc w:val="center"/>
      </w:pPr>
      <w:r>
        <w:rPr>
          <w:rFonts w:ascii="Arial" w:cs="Arial" w:eastAsia="Arial" w:hAnsi="Arial"/>
          <w:color w:val="8B6914"/>
          <w:sz w:val="24"/>
          <w:szCs w:val="24"/>
        </w:rPr>
        <w:t xml:space="preserve">Design &amp; Usage Document</w:t>
      </w:r>
    </w:p>
    <w:p>
      <w:pPr>
        <w:spacing w:after="100"/>
        <w:jc w:val="center"/>
      </w:pPr>
      <w:r>
        <w:rPr>
          <w:rFonts w:ascii="Arial" w:cs="Arial" w:eastAsia="Arial" w:hAnsi="Arial"/>
          <w:color w:val="666666"/>
          <w:sz w:val="22"/>
          <w:szCs w:val="22"/>
        </w:rPr>
        <w:t xml:space="preserve">Version 2.1</w:t>
      </w:r>
    </w:p>
    <w:p>
      <w:pPr>
        <w:jc w:val="center"/>
      </w:pPr>
      <w:r>
        <w:rPr>
          <w:rFonts w:ascii="Arial" w:cs="Arial" w:eastAsia="Arial" w:hAnsi="Arial"/>
          <w:color w:val="666666"/>
          <w:sz w:val="22"/>
          <w:szCs w:val="22"/>
        </w:rPr>
        <w:t xml:space="preserve">Enterprise-Grade Financial Analytics Platform</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Overview</w:t>
      </w:r>
    </w:p>
    <w:p>
      <w:pPr>
        <w:spacing w:after="120"/>
      </w:pPr>
      <w:r>
        <w:rPr>
          <w:rFonts w:ascii="Arial" w:cs="Arial" w:eastAsia="Arial" w:hAnsi="Arial"/>
          <w:sz w:val="22"/>
          <w:szCs w:val="22"/>
        </w:rPr>
        <w:t xml:space="preserve">FIRA (Financial Intelligence &amp; Resource Analytics) is an enterprise-grade financial analytics platform that unifies operational expense analysis, strategic resource planning, and AI-powered data intelligence into a single, cohesive application. Built for finance teams that demand precision, FIRA replaces fragmented spreadsheets and manual reporting workflows with interactive dashboards, natural language querying, and automated data pipelines.</w:t>
      </w:r>
    </w:p>
    <w:p>
      <w:pPr>
        <w:spacing w:after="120"/>
      </w:pPr>
      <w:r>
        <w:rPr>
          <w:rFonts w:ascii="Arial" w:cs="Arial" w:eastAsia="Arial" w:hAnsi="Arial"/>
          <w:sz w:val="22"/>
          <w:szCs w:val="22"/>
        </w:rPr>
        <w:t xml:space="preserve">The platform serves finance directors, VP-level executives, resource planning managers, and data analysts who need real-time visibility into organizational spending, workforce capacity, and project prioritization. FIRA delivers executive-quality analysis through its multi-agent AI pipeline, converting complex database queries into professional narratives with auto-generated visualizations.</w:t>
      </w:r>
    </w:p>
    <w:p>
      <w:pPr>
        <w:pStyle w:val="Heading2"/>
      </w:pPr>
      <w:r>
        <w:rPr>
          <w:rFonts w:ascii="Arial" w:cs="Arial" w:eastAsia="Arial" w:hAnsi="Arial"/>
        </w:rPr>
        <w:t xml:space="preserve">1.1 Key Capabilities</w:t>
      </w:r>
    </w:p>
    <w:p>
      <w:pPr>
        <w:pStyle w:val="ListParagraph"/>
        <w:numPr>
          <w:ilvl w:val="0"/>
          <w:numId w:val="2"/>
        </w:numPr>
      </w:pPr>
      <w:r>
        <w:rPr>
          <w:rFonts w:ascii="Arial" w:cs="Arial" w:eastAsia="Arial" w:hAnsi="Arial"/>
          <w:sz w:val="22"/>
          <w:szCs w:val="22"/>
        </w:rPr>
        <w:t xml:space="preserve">Interactive Resource Planner with demand vs. capacity mountain charts, priority-based project stacking, per-country cost controls, and snapshot save/load for scenario comparison</w:t>
      </w:r>
    </w:p>
    <w:p>
      <w:pPr>
        <w:pStyle w:val="ListParagraph"/>
        <w:numPr>
          <w:ilvl w:val="0"/>
          <w:numId w:val="2"/>
        </w:numPr>
      </w:pPr>
      <w:r>
        <w:rPr>
          <w:rFonts w:ascii="Arial" w:cs="Arial" w:eastAsia="Arial" w:hAnsi="Arial"/>
          <w:sz w:val="22"/>
          <w:szCs w:val="22"/>
        </w:rPr>
        <w:t xml:space="preserve">AI-Powered ChatBot that accepts natural language queries and returns executive-level analysis with auto-generated Plotly charts across both OpEx and resource planning data</w:t>
      </w:r>
    </w:p>
    <w:p>
      <w:pPr>
        <w:pStyle w:val="ListParagraph"/>
        <w:numPr>
          <w:ilvl w:val="0"/>
          <w:numId w:val="2"/>
        </w:numPr>
      </w:pPr>
      <w:r>
        <w:rPr>
          <w:rFonts w:ascii="Arial" w:cs="Arial" w:eastAsia="Arial" w:hAnsi="Arial"/>
          <w:sz w:val="22"/>
          <w:szCs w:val="22"/>
        </w:rPr>
        <w:t xml:space="preserve">Six financial analytics dashboards: Executive Summary, Financial Trends, Resource Allocation, Department Rollup, Geo &amp; Org Analytics, and a custom Plotting Sandbox</w:t>
      </w:r>
    </w:p>
    <w:p>
      <w:pPr>
        <w:pStyle w:val="ListParagraph"/>
        <w:numPr>
          <w:ilvl w:val="0"/>
          <w:numId w:val="2"/>
        </w:numPr>
      </w:pPr>
      <w:r>
        <w:rPr>
          <w:rFonts w:ascii="Arial" w:cs="Arial" w:eastAsia="Arial" w:hAnsi="Arial"/>
          <w:sz w:val="22"/>
          <w:szCs w:val="22"/>
        </w:rPr>
        <w:t xml:space="preserve">Unified Data Management UI for uploading and ingesting both OpEx Excel files (with vector embeddings) and Resource Planner CSV/XLSX files</w:t>
      </w:r>
    </w:p>
    <w:p>
      <w:pPr>
        <w:pStyle w:val="ListParagraph"/>
        <w:numPr>
          <w:ilvl w:val="0"/>
          <w:numId w:val="2"/>
        </w:numPr>
        <w:spacing w:after="200"/>
      </w:pPr>
      <w:r>
        <w:rPr>
          <w:rFonts w:ascii="Arial" w:cs="Arial" w:eastAsia="Arial" w:hAnsi="Arial"/>
          <w:sz w:val="22"/>
          <w:szCs w:val="22"/>
        </w:rPr>
        <w:t xml:space="preserve">Hybrid database architecture using PostgreSQL 16 with pgvector for combined SQL and semantic search capabilities</w:t>
      </w:r>
    </w:p>
    <w:p>
      <w:pPr>
        <w:pStyle w:val="Heading2"/>
      </w:pPr>
      <w:r>
        <w:rPr>
          <w:rFonts w:ascii="Arial" w:cs="Arial" w:eastAsia="Arial" w:hAnsi="Arial"/>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20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1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Changes</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v2.1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February 2026</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FIRA rebrand, unified data management, multi-table AI chat, professional response synthesis</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v2.0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January 2026</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Resource Planner integration, database bootstrap, light theme</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v1.0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December 2025</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Initial OpEx analytics with vector search and chatbot</w:t>
            </w:r>
          </w:p>
        </w:tc>
      </w:tr>
    </w:tbl>
    <w:p>
      <w:r>
        <w:br w:type="page"/>
      </w:r>
    </w:p>
    <w:p>
      <w:pPr>
        <w:pStyle w:val="Heading1"/>
      </w:pPr>
      <w:r>
        <w:rPr>
          <w:rFonts w:ascii="Arial" w:cs="Arial" w:eastAsia="Arial" w:hAnsi="Arial"/>
        </w:rPr>
        <w:t xml:space="preserve">2. System Architecture</w:t>
      </w:r>
    </w:p>
    <w:p>
      <w:pPr>
        <w:spacing w:after="120"/>
      </w:pPr>
      <w:r>
        <w:rPr>
          <w:rFonts w:ascii="Arial" w:cs="Arial" w:eastAsia="Arial" w:hAnsi="Arial"/>
          <w:sz w:val="22"/>
          <w:szCs w:val="22"/>
        </w:rPr>
        <w:t xml:space="preserve">FIRA follows a three-tier architecture designed for modularity, maintainability, and performance. Each tier communicates through well-defined interfaces, allowing components to be upgraded or replaced independently.</w:t>
      </w:r>
    </w:p>
    <w:p>
      <w:pPr>
        <w:pStyle w:val="Heading2"/>
      </w:pPr>
      <w:r>
        <w:rPr>
          <w:rFonts w:ascii="Arial" w:cs="Arial" w:eastAsia="Arial" w:hAnsi="Arial"/>
        </w:rPr>
        <w:t xml:space="preserve">2.1 Presentation Layer</w:t>
      </w:r>
    </w:p>
    <w:p>
      <w:pPr>
        <w:spacing w:after="120"/>
      </w:pPr>
      <w:r>
        <w:rPr>
          <w:rFonts w:ascii="Arial" w:cs="Arial" w:eastAsia="Arial" w:hAnsi="Arial"/>
          <w:sz w:val="22"/>
          <w:szCs w:val="22"/>
        </w:rPr>
        <w:t xml:space="preserve">The frontend is built on Streamlit with custom CSS theming (the FIRA green palette: primary #1B5E20, accent #2E7D32, gold #8B6914). It uses a single-page application pattern with query parameter routing through a PageBase class hierarchy. All 12 pages inherit from PageBase, which handles CSS injection, URL routing, and page title rendering. Interactive charts are rendered using Plotly, and the UI includes IBM Plex typography for financial dashboard readability.</w:t>
      </w:r>
    </w:p>
    <w:p>
      <w:pPr>
        <w:pStyle w:val="Heading2"/>
      </w:pPr>
      <w:r>
        <w:rPr>
          <w:rFonts w:ascii="Arial" w:cs="Arial" w:eastAsia="Arial" w:hAnsi="Arial"/>
        </w:rPr>
        <w:t xml:space="preserve">2.2 Intelligence Layer</w:t>
      </w:r>
    </w:p>
    <w:p>
      <w:pPr>
        <w:spacing w:after="120"/>
      </w:pPr>
      <w:r>
        <w:rPr>
          <w:rFonts w:ascii="Arial" w:cs="Arial" w:eastAsia="Arial" w:hAnsi="Arial"/>
          <w:sz w:val="22"/>
          <w:szCs w:val="22"/>
        </w:rPr>
        <w:t xml:space="preserve">The AI subsystem uses a multi-agent orchestration pattern. When a user submits a query through the ChatBot, the Orchestration Agent routes it through the following pipeline:</w:t>
      </w:r>
    </w:p>
    <w:p>
      <w:pPr>
        <w:pStyle w:val="ListParagraph"/>
        <w:numPr>
          <w:ilvl w:val="0"/>
          <w:numId w:val="3"/>
        </w:numPr>
      </w:pPr>
      <w:r>
        <w:rPr>
          <w:rFonts w:ascii="Arial" w:cs="Arial" w:eastAsia="Arial" w:hAnsi="Arial"/>
          <w:sz w:val="22"/>
          <w:szCs w:val="22"/>
        </w:rPr>
        <w:t xml:space="preserve">Intent Agent: Classifies the query as a SQL data request (DATA_SQL_QUERY), semantic search (SEMANTIC_SEARCH), or general conversation (GENERAL_CHAT). The classifier is aware of all three database tables and uses keyword matching plus LLM reasoning.</w:t>
      </w:r>
    </w:p>
    <w:p>
      <w:pPr>
        <w:pStyle w:val="ListParagraph"/>
        <w:numPr>
          <w:ilvl w:val="0"/>
          <w:numId w:val="3"/>
        </w:numPr>
      </w:pPr>
      <w:r>
        <w:rPr>
          <w:rFonts w:ascii="Arial" w:cs="Arial" w:eastAsia="Arial" w:hAnsi="Arial"/>
          <w:sz w:val="22"/>
          <w:szCs w:val="22"/>
        </w:rPr>
        <w:t xml:space="preserve">SQL Agent: Generates PostgreSQL queries across opex_data_hybrid, bpafg_demand, and priority_template tables. After execution, a second LLM call synthesizes an executive-level narrative summary of the results.</w:t>
      </w:r>
    </w:p>
    <w:p>
      <w:pPr>
        <w:pStyle w:val="ListParagraph"/>
        <w:numPr>
          <w:ilvl w:val="0"/>
          <w:numId w:val="3"/>
        </w:numPr>
      </w:pPr>
      <w:r>
        <w:rPr>
          <w:rFonts w:ascii="Arial" w:cs="Arial" w:eastAsia="Arial" w:hAnsi="Arial"/>
          <w:sz w:val="22"/>
          <w:szCs w:val="22"/>
        </w:rPr>
        <w:t xml:space="preserve">Semantic Agent: Performs RAG (Retrieval Augmented Generation) over vector-embedded OpEx documents using pgvector similarity search, then synthesizes findings as a Senior Financial Analyst.</w:t>
      </w:r>
    </w:p>
    <w:p>
      <w:pPr>
        <w:pStyle w:val="ListParagraph"/>
        <w:numPr>
          <w:ilvl w:val="0"/>
          <w:numId w:val="3"/>
        </w:numPr>
        <w:spacing w:after="200"/>
      </w:pPr>
      <w:r>
        <w:rPr>
          <w:rFonts w:ascii="Arial" w:cs="Arial" w:eastAsia="Arial" w:hAnsi="Arial"/>
          <w:sz w:val="22"/>
          <w:szCs w:val="22"/>
        </w:rPr>
        <w:t xml:space="preserve">Chat Agent: Handles greetings, help requests, capability explanations, and general conversation with a professional analyst tone.</w:t>
      </w:r>
    </w:p>
    <w:p>
      <w:pPr>
        <w:pStyle w:val="Heading2"/>
      </w:pPr>
      <w:r>
        <w:rPr>
          <w:rFonts w:ascii="Arial" w:cs="Arial" w:eastAsia="Arial" w:hAnsi="Arial"/>
        </w:rPr>
        <w:t xml:space="preserve">2.3 Data Layer</w:t>
      </w:r>
    </w:p>
    <w:p>
      <w:pPr>
        <w:spacing w:after="120"/>
      </w:pPr>
      <w:r>
        <w:rPr>
          <w:rFonts w:ascii="Arial" w:cs="Arial" w:eastAsia="Arial" w:hAnsi="Arial"/>
          <w:sz w:val="22"/>
          <w:szCs w:val="22"/>
        </w:rPr>
        <w:t xml:space="preserve">FIRA uses PostgreSQL 16 as its sole production database, with the pgvector extension enabling vector similarity search. The database contains three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Table</w:t>
            </w:r>
          </w:p>
        </w:tc>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Purpose</w:t>
            </w:r>
          </w:p>
        </w:tc>
        <w:tc>
          <w:tcPr>
            <w:tcW w:type="dxa" w:w="1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Vector Support</w:t>
            </w:r>
          </w:p>
        </w:tc>
        <w:tc>
          <w:tcPr>
            <w:tcW w:type="dxa" w:w="27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Queried By</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opex_data_hybrid</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OpEx financial data (spend, budgets, departments, projects)</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Yes — 1024-dim IVFFlat</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ChatBot (SQL+RAG), All dashboards</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bpafg_demand</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Resource demand planning (headcount, FTE by project/country/month)</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No — relational only</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ChatBot (SQL), Resource Planner</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priority_template</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Project priority rankings and country capacity/cost config</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No — relational only</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ChatBot (SQL), Resource Planner</w:t>
            </w:r>
          </w:p>
        </w:tc>
      </w:tr>
    </w:tbl>
    <w:p>
      <w:pPr>
        <w:spacing w:after="120"/>
      </w:pPr>
      <w:r>
        <w:rPr>
          <w:rFonts w:ascii="Arial" w:cs="Arial" w:eastAsia="Arial" w:hAnsi="Arial"/>
          <w:sz w:val="22"/>
          <w:szCs w:val="22"/>
        </w:rPr>
        <w:t xml:space="preserve">The DatabaseBootstrap class (db/setup_all_tables.py) handles the complete database setup: creating the database, enabling pgvector, creating all tables with proper column types, applying indexes (including IVFFlat for vector similarity), and validating existing schemas. The bootstrap is fully idempotent and safe to run multiple times.</w:t>
      </w:r>
    </w:p>
    <w:p>
      <w:r>
        <w:br w:type="page"/>
      </w:r>
    </w:p>
    <w:p>
      <w:pPr>
        <w:pStyle w:val="Heading1"/>
      </w:pPr>
      <w:r>
        <w:rPr>
          <w:rFonts w:ascii="Arial" w:cs="Arial" w:eastAsia="Arial" w:hAnsi="Arial"/>
        </w:rPr>
        <w:t xml:space="preserve">3. Configuration</w:t>
      </w:r>
    </w:p>
    <w:p>
      <w:pPr>
        <w:spacing w:after="120"/>
      </w:pPr>
      <w:r>
        <w:rPr>
          <w:rFonts w:ascii="Arial" w:cs="Arial" w:eastAsia="Arial" w:hAnsi="Arial"/>
          <w:sz w:val="22"/>
          <w:szCs w:val="22"/>
        </w:rPr>
        <w:t xml:space="preserve">FIRA uses a two-layer configuration strategy that separates application settings from secrets:</w:t>
      </w:r>
    </w:p>
    <w:p>
      <w:pPr>
        <w:pStyle w:val="Heading2"/>
      </w:pPr>
      <w:r>
        <w:rPr>
          <w:rFonts w:ascii="Arial" w:cs="Arial" w:eastAsia="Arial" w:hAnsi="Arial"/>
        </w:rPr>
        <w:t xml:space="preserve">3.1 config/config.yaml</w:t>
      </w:r>
    </w:p>
    <w:p>
      <w:pPr>
        <w:spacing w:after="120"/>
      </w:pPr>
      <w:r>
        <w:rPr>
          <w:rFonts w:ascii="Arial" w:cs="Arial" w:eastAsia="Arial" w:hAnsi="Arial"/>
          <w:sz w:val="22"/>
          <w:szCs w:val="22"/>
        </w:rPr>
        <w:t xml:space="preserve">The primary configuration file contains all application settings including file paths, database connection parameters (host, port, database name), LLM model names, chat endpoints, Streamlit port, agent tuning parameters, Excel file names, and feedback email. The Config singleton class (config/config.py) loads this YAML file at startup and makes all settings available as typed class attributes.</w:t>
      </w:r>
    </w:p>
    <w:p>
      <w:pPr>
        <w:pStyle w:val="Heading2"/>
      </w:pPr>
      <w:r>
        <w:rPr>
          <w:rFonts w:ascii="Arial" w:cs="Arial" w:eastAsia="Arial" w:hAnsi="Arial"/>
        </w:rPr>
        <w:t xml:space="preserve">3.2 .env (Secrets)</w:t>
      </w:r>
    </w:p>
    <w:p>
      <w:pPr>
        <w:spacing w:after="120"/>
      </w:pPr>
      <w:r>
        <w:rPr>
          <w:rFonts w:ascii="Arial" w:cs="Arial" w:eastAsia="Arial" w:hAnsi="Arial"/>
          <w:sz w:val="22"/>
          <w:szCs w:val="22"/>
        </w:rPr>
        <w:t xml:space="preserve">The .env file contains only secrets and credentials: API keys (QGENIE_API_KEY), database admin and application passwords (POSTGRES_ADMIN_PWD, POSTGRES_PWD), and any other sensitive values. These are loaded via python-dotenv and override corresponding YAML values at runtime. The env.example template is the safe, credential-free version for sharing with the team.</w:t>
      </w:r>
    </w:p>
    <w:p>
      <w:pPr>
        <w:pStyle w:val="Heading2"/>
      </w:pPr>
      <w:r>
        <w:rPr>
          <w:rFonts w:ascii="Arial" w:cs="Arial" w:eastAsia="Arial" w:hAnsi="Arial"/>
        </w:rPr>
        <w:t xml:space="preserve">3.3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Setting</w:t>
            </w:r>
          </w:p>
        </w:tc>
        <w:tc>
          <w:tcPr>
            <w:tcW w:type="dxa" w:w="22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YAML Path</w:t>
            </w:r>
          </w:p>
        </w:tc>
        <w:tc>
          <w:tcPr>
            <w:tcW w:type="dxa" w:w="26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Env Variable</w:t>
            </w:r>
          </w:p>
        </w:tc>
        <w:tc>
          <w:tcPr>
            <w:tcW w:type="dxa" w:w="25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Default</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OpEx Files Path</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Path.source_path</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SOURCE_PATH</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../files/opex</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Resource Files Path</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Path.resource_path</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RESOURCE_PATH</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../files/resource</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DB Connection</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Postgres.connection</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POSTGRES_CONNECTION</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postgresql+psycopg2://...</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DB Host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Postgres.host</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POSTGRES_HOST</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localhost</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DB Port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Postgres.port</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POSTGRES_PORT</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5432</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DB Name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Postgres.database</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POSTGRES_DB_NAME</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cnss_opex_db</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LLM API Key</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(secrets only)</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QGENIE_API_KEY</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Streamlit Port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Streamlit.port</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STREAMLIT_PORT</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8507</w:t>
            </w:r>
          </w:p>
        </w:tc>
      </w:tr>
      <w:tr>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Log Level</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LOG_LEVEL</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INFO</w:t>
            </w:r>
          </w:p>
        </w:tc>
      </w:tr>
    </w:tbl>
    <w:p>
      <w:r>
        <w:br w:type="page"/>
      </w:r>
    </w:p>
    <w:p>
      <w:pPr>
        <w:pStyle w:val="Heading1"/>
      </w:pPr>
      <w:r>
        <w:rPr>
          <w:rFonts w:ascii="Arial" w:cs="Arial" w:eastAsia="Arial" w:hAnsi="Arial"/>
        </w:rPr>
        <w:t xml:space="preserve">4. Installation &amp; Setup</w:t>
      </w:r>
    </w:p>
    <w:p>
      <w:pPr>
        <w:pStyle w:val="Heading2"/>
      </w:pPr>
      <w:r>
        <w:rPr>
          <w:rFonts w:ascii="Arial" w:cs="Arial" w:eastAsia="Arial" w:hAnsi="Arial"/>
        </w:rPr>
        <w:t xml:space="preserve">4.1 Prerequisites</w:t>
      </w:r>
    </w:p>
    <w:p>
      <w:pPr>
        <w:pStyle w:val="ListParagraph"/>
        <w:numPr>
          <w:ilvl w:val="0"/>
          <w:numId w:val="2"/>
        </w:numPr>
      </w:pPr>
      <w:r>
        <w:rPr>
          <w:rFonts w:ascii="Arial" w:cs="Arial" w:eastAsia="Arial" w:hAnsi="Arial"/>
          <w:sz w:val="22"/>
          <w:szCs w:val="22"/>
        </w:rPr>
        <w:t xml:space="preserve">Python 3.12 or higher</w:t>
      </w:r>
    </w:p>
    <w:p>
      <w:pPr>
        <w:pStyle w:val="ListParagraph"/>
        <w:numPr>
          <w:ilvl w:val="0"/>
          <w:numId w:val="2"/>
        </w:numPr>
      </w:pPr>
      <w:r>
        <w:rPr>
          <w:rFonts w:ascii="Arial" w:cs="Arial" w:eastAsia="Arial" w:hAnsi="Arial"/>
          <w:sz w:val="22"/>
          <w:szCs w:val="22"/>
        </w:rPr>
        <w:t xml:space="preserve">PostgreSQL 16 with pgvector extension installed and running</w:t>
      </w:r>
    </w:p>
    <w:p>
      <w:pPr>
        <w:pStyle w:val="ListParagraph"/>
        <w:numPr>
          <w:ilvl w:val="0"/>
          <w:numId w:val="2"/>
        </w:numPr>
        <w:spacing w:after="200"/>
      </w:pPr>
      <w:r>
        <w:rPr>
          <w:rFonts w:ascii="Arial" w:cs="Arial" w:eastAsia="Arial" w:hAnsi="Arial"/>
          <w:sz w:val="22"/>
          <w:szCs w:val="22"/>
        </w:rPr>
        <w:t xml:space="preserve">pip package manager (included with Python)</w:t>
      </w:r>
    </w:p>
    <w:p>
      <w:pPr>
        <w:pStyle w:val="Heading2"/>
      </w:pPr>
      <w:r>
        <w:rPr>
          <w:rFonts w:ascii="Arial" w:cs="Arial" w:eastAsia="Arial" w:hAnsi="Arial"/>
        </w:rPr>
        <w:t xml:space="preserve">4.2 Step-by-Step Installation</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Clone the repository and navigate into the fira/ directory.</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Create and activate a Python virtual environment (python -m venv .venv &amp;&amp; source .venv/bin/activate).</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Install dependencies with pip install -r requirements.txt.</w:t>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Install the QGenie SDK from the internal devpi repository for vector embedding support.</w:t>
      </w:r>
    </w:p>
    <w:p>
      <w:pPr>
        <w:spacing w:after="120"/>
      </w:pPr>
      <w:r>
        <w:rPr>
          <w:rFonts w:ascii="Arial" w:cs="Arial" w:eastAsia="Arial" w:hAnsi="Arial"/>
          <w:b/>
          <w:bCs/>
          <w:sz w:val="22"/>
          <w:szCs w:val="22"/>
        </w:rPr>
        <w:t xml:space="preserve">Step 5: </w:t>
      </w:r>
      <w:r>
        <w:rPr>
          <w:rFonts w:ascii="Arial" w:cs="Arial" w:eastAsia="Arial" w:hAnsi="Arial"/>
          <w:sz w:val="22"/>
          <w:szCs w:val="22"/>
        </w:rPr>
        <w:t xml:space="preserve">Copy env.example to .env and fill in your API keys and database credentials.</w:t>
      </w:r>
    </w:p>
    <w:p>
      <w:pPr>
        <w:spacing w:after="120"/>
      </w:pPr>
      <w:r>
        <w:rPr>
          <w:rFonts w:ascii="Arial" w:cs="Arial" w:eastAsia="Arial" w:hAnsi="Arial"/>
          <w:b/>
          <w:bCs/>
          <w:sz w:val="22"/>
          <w:szCs w:val="22"/>
        </w:rPr>
        <w:t xml:space="preserve">Step 6: </w:t>
      </w:r>
      <w:r>
        <w:rPr>
          <w:rFonts w:ascii="Arial" w:cs="Arial" w:eastAsia="Arial" w:hAnsi="Arial"/>
          <w:sz w:val="22"/>
          <w:szCs w:val="22"/>
        </w:rPr>
        <w:t xml:space="preserve">Review config/config.yaml and adjust database host, port, file paths, LLM models, and other settings for your environment.</w:t>
      </w:r>
    </w:p>
    <w:p>
      <w:pPr>
        <w:spacing w:after="120"/>
      </w:pPr>
      <w:r>
        <w:rPr>
          <w:rFonts w:ascii="Arial" w:cs="Arial" w:eastAsia="Arial" w:hAnsi="Arial"/>
          <w:b/>
          <w:bCs/>
          <w:sz w:val="22"/>
          <w:szCs w:val="22"/>
        </w:rPr>
        <w:t xml:space="preserve">Step 7: </w:t>
      </w:r>
      <w:r>
        <w:rPr>
          <w:rFonts w:ascii="Arial" w:cs="Arial" w:eastAsia="Arial" w:hAnsi="Arial"/>
          <w:sz w:val="22"/>
          <w:szCs w:val="22"/>
        </w:rPr>
        <w:t xml:space="preserve">Create data directories at ../files/opex and ../files/resource (these live outside the project folder).</w:t>
      </w:r>
    </w:p>
    <w:p>
      <w:pPr>
        <w:spacing w:after="120"/>
      </w:pPr>
      <w:r>
        <w:rPr>
          <w:rFonts w:ascii="Arial" w:cs="Arial" w:eastAsia="Arial" w:hAnsi="Arial"/>
          <w:b/>
          <w:bCs/>
          <w:sz w:val="22"/>
          <w:szCs w:val="22"/>
        </w:rPr>
        <w:t xml:space="preserve">Step 8: </w:t>
      </w:r>
      <w:r>
        <w:rPr>
          <w:rFonts w:ascii="Arial" w:cs="Arial" w:eastAsia="Arial" w:hAnsi="Arial"/>
          <w:sz w:val="22"/>
          <w:szCs w:val="22"/>
        </w:rPr>
        <w:t xml:space="preserve">Run python bootstrap_db.py to create the database, enable pgvector, create all tables, and validate schemas.</w:t>
      </w:r>
    </w:p>
    <w:p>
      <w:pPr>
        <w:spacing w:after="120"/>
      </w:pPr>
      <w:r>
        <w:rPr>
          <w:rFonts w:ascii="Arial" w:cs="Arial" w:eastAsia="Arial" w:hAnsi="Arial"/>
          <w:b/>
          <w:bCs/>
          <w:sz w:val="22"/>
          <w:szCs w:val="22"/>
        </w:rPr>
        <w:t xml:space="preserve">Step 9: </w:t>
      </w:r>
      <w:r>
        <w:rPr>
          <w:rFonts w:ascii="Arial" w:cs="Arial" w:eastAsia="Arial" w:hAnsi="Arial"/>
          <w:sz w:val="22"/>
          <w:szCs w:val="22"/>
        </w:rPr>
        <w:t xml:space="preserve">Launch the application with python -m ui.launch. The dashboard opens at http://localhost:8507.</w:t>
      </w:r>
    </w:p>
    <w:p>
      <w:pPr>
        <w:pStyle w:val="Heading2"/>
      </w:pPr>
      <w:r>
        <w:rPr>
          <w:rFonts w:ascii="Arial" w:cs="Arial" w:eastAsia="Arial" w:hAnsi="Arial"/>
        </w:rPr>
        <w:t xml:space="preserve">4.3 pgvector Installation</w:t>
      </w:r>
    </w:p>
    <w:p>
      <w:pPr>
        <w:spacing w:after="120"/>
      </w:pPr>
      <w:r>
        <w:rPr>
          <w:rFonts w:ascii="Arial" w:cs="Arial" w:eastAsia="Arial" w:hAnsi="Arial"/>
          <w:sz w:val="22"/>
          <w:szCs w:val="22"/>
        </w:rPr>
        <w:t xml:space="preserve">The pgvector extension must be installed before running the database bootstrap. Without it, the opex_data_hybrid table creation will fail with 'could not access file "$libdir/vector"'. Installation methods vary by operating system: Rocky Linux/RHEL uses dnf install pgvector_16, macOS uses brew install pgvector, and Windows requires manually copying DLL and SQL files from the pgvector GitHub releases page. If the package manager version is unavailable, pgvector can be compiled from source against the PostgreSQL 16 development headers.</w:t>
      </w:r>
    </w:p>
    <w:p>
      <w:r>
        <w:br w:type="page"/>
      </w:r>
    </w:p>
    <w:p>
      <w:pPr>
        <w:pStyle w:val="Heading1"/>
      </w:pPr>
      <w:r>
        <w:rPr>
          <w:rFonts w:ascii="Arial" w:cs="Arial" w:eastAsia="Arial" w:hAnsi="Arial"/>
        </w:rPr>
        <w:t xml:space="preserve">5. Data Ingestion</w:t>
      </w:r>
    </w:p>
    <w:p>
      <w:pPr>
        <w:spacing w:after="120"/>
      </w:pPr>
      <w:r>
        <w:rPr>
          <w:rFonts w:ascii="Arial" w:cs="Arial" w:eastAsia="Arial" w:hAnsi="Arial"/>
          <w:sz w:val="22"/>
          <w:szCs w:val="22"/>
        </w:rPr>
        <w:t xml:space="preserve">FIRA supports two distinct data pipelines, each with both command-line and UI-based ingestion options.</w:t>
      </w:r>
    </w:p>
    <w:p>
      <w:pPr>
        <w:pStyle w:val="Heading2"/>
      </w:pPr>
      <w:r>
        <w:rPr>
          <w:rFonts w:ascii="Arial" w:cs="Arial" w:eastAsia="Arial" w:hAnsi="Arial"/>
        </w:rPr>
        <w:t xml:space="preserve">5.1 OpEx Pipeline (Vector Embeddings)</w:t>
      </w:r>
    </w:p>
    <w:p>
      <w:pPr>
        <w:spacing w:after="120"/>
      </w:pPr>
      <w:r>
        <w:rPr>
          <w:rFonts w:ascii="Arial" w:cs="Arial" w:eastAsia="Arial" w:hAnsi="Arial"/>
          <w:sz w:val="22"/>
          <w:szCs w:val="22"/>
        </w:rPr>
        <w:t xml:space="preserve">OpEx Excel files go through a three-stage pipeline: (1) Excel-to-JSONL conversion using OpenPyXL, (2) vector embedding generation via the QGenie SDK (producing 1024-dimensional vectors), and (3) upsert into the opex_data_hybrid table with both structured columns and the vector embedding. This enables the AI ChatBot to perform hybrid queries combining SQL filtering with semantic similarity search.</w:t>
      </w:r>
    </w:p>
    <w:p>
      <w:pPr>
        <w:spacing w:after="120"/>
      </w:pPr>
      <w:r>
        <w:rPr>
          <w:rFonts w:ascii="Arial" w:cs="Arial" w:eastAsia="Arial" w:hAnsi="Arial"/>
          <w:b/>
          <w:bCs/>
          <w:sz w:val="22"/>
          <w:szCs w:val="22"/>
        </w:rPr>
        <w:t xml:space="preserve">CLI: </w:t>
      </w:r>
      <w:r>
        <w:rPr>
          <w:rFonts w:ascii="Arial" w:cs="Arial" w:eastAsia="Arial" w:hAnsi="Arial"/>
          <w:sz w:val="22"/>
          <w:szCs w:val="22"/>
        </w:rPr>
        <w:t xml:space="preserve">Place Excel files in ../files/opex/ and run python main.py.</w:t>
      </w:r>
    </w:p>
    <w:p>
      <w:pPr>
        <w:spacing w:after="120"/>
      </w:pPr>
      <w:r>
        <w:rPr>
          <w:rFonts w:ascii="Arial" w:cs="Arial" w:eastAsia="Arial" w:hAnsi="Arial"/>
          <w:b/>
          <w:bCs/>
          <w:sz w:val="22"/>
          <w:szCs w:val="22"/>
        </w:rPr>
        <w:t xml:space="preserve">UI: </w:t>
      </w:r>
      <w:r>
        <w:rPr>
          <w:rFonts w:ascii="Arial" w:cs="Arial" w:eastAsia="Arial" w:hAnsi="Arial"/>
          <w:sz w:val="22"/>
          <w:szCs w:val="22"/>
        </w:rPr>
        <w:t xml:space="preserve">Navigate to the Data Management page, upload files, and click Ingest Uploaded Files.</w:t>
      </w:r>
    </w:p>
    <w:p>
      <w:pPr>
        <w:pStyle w:val="Heading2"/>
      </w:pPr>
      <w:r>
        <w:rPr>
          <w:rFonts w:ascii="Arial" w:cs="Arial" w:eastAsia="Arial" w:hAnsi="Arial"/>
        </w:rPr>
        <w:t xml:space="preserve">5.2 Resource Planner Pipeline (Relational)</w:t>
      </w:r>
    </w:p>
    <w:p>
      <w:pPr>
        <w:spacing w:after="120"/>
      </w:pPr>
      <w:r>
        <w:rPr>
          <w:rFonts w:ascii="Arial" w:cs="Arial" w:eastAsia="Arial" w:hAnsi="Arial"/>
          <w:sz w:val="22"/>
          <w:szCs w:val="22"/>
        </w:rPr>
        <w:t xml:space="preserve">Resource Planner files (BPAFG demand CSVs and Priority Template CSVs) are parsed by the cbn_data_parser module, which handles both CSV and XLSX formats with automatic month column normalization (detecting various date formats and standardizing to 'YYYY-MM' format). Data is stored in standard relational tables without vector embeddings.</w:t>
      </w:r>
    </w:p>
    <w:p>
      <w:pPr>
        <w:spacing w:after="120"/>
      </w:pPr>
      <w:r>
        <w:rPr>
          <w:rFonts w:ascii="Arial" w:cs="Arial" w:eastAsia="Arial" w:hAnsi="Arial"/>
          <w:b/>
          <w:bCs/>
          <w:sz w:val="22"/>
          <w:szCs w:val="22"/>
        </w:rPr>
        <w:t xml:space="preserve">CLI: </w:t>
      </w:r>
      <w:r>
        <w:rPr>
          <w:rFonts w:ascii="Arial" w:cs="Arial" w:eastAsia="Arial" w:hAnsi="Arial"/>
          <w:sz w:val="22"/>
          <w:szCs w:val="22"/>
        </w:rPr>
        <w:t xml:space="preserve">Place files in ../files/resource/ and run python -m utils.parsers.cbn_data_parser --db postgres --data-dir ../files/resource.</w:t>
      </w:r>
    </w:p>
    <w:p>
      <w:pPr>
        <w:spacing w:after="120"/>
      </w:pPr>
      <w:r>
        <w:rPr>
          <w:rFonts w:ascii="Arial" w:cs="Arial" w:eastAsia="Arial" w:hAnsi="Arial"/>
          <w:b/>
          <w:bCs/>
          <w:sz w:val="22"/>
          <w:szCs w:val="22"/>
        </w:rPr>
        <w:t xml:space="preserve">UI: </w:t>
      </w:r>
      <w:r>
        <w:rPr>
          <w:rFonts w:ascii="Arial" w:cs="Arial" w:eastAsia="Arial" w:hAnsi="Arial"/>
          <w:sz w:val="22"/>
          <w:szCs w:val="22"/>
        </w:rPr>
        <w:t xml:space="preserve">Navigate to the Data Management page, upload demand and/or priority files, and click Ingest Uploaded Files.</w:t>
      </w:r>
    </w:p>
    <w:p>
      <w:pPr>
        <w:pStyle w:val="Heading2"/>
      </w:pPr>
      <w:r>
        <w:rPr>
          <w:rFonts w:ascii="Arial" w:cs="Arial" w:eastAsia="Arial" w:hAnsi="Arial"/>
        </w:rPr>
        <w:t xml:space="preserve">5.3 File Naming Conventions</w:t>
      </w:r>
    </w:p>
    <w:p>
      <w:pPr>
        <w:pStyle w:val="ListParagraph"/>
        <w:numPr>
          <w:ilvl w:val="0"/>
          <w:numId w:val="2"/>
        </w:numPr>
      </w:pPr>
      <w:r>
        <w:rPr>
          <w:rFonts w:ascii="Arial" w:cs="Arial" w:eastAsia="Arial" w:hAnsi="Arial"/>
          <w:sz w:val="22"/>
          <w:szCs w:val="22"/>
        </w:rPr>
        <w:t xml:space="preserve">BPAFG Demand files: filenames containing 'bpafg' (e.g., BPAFG - Feb_05_2026.csv)</w:t>
      </w:r>
    </w:p>
    <w:p>
      <w:pPr>
        <w:pStyle w:val="ListParagraph"/>
        <w:numPr>
          <w:ilvl w:val="0"/>
          <w:numId w:val="2"/>
        </w:numPr>
      </w:pPr>
      <w:r>
        <w:rPr>
          <w:rFonts w:ascii="Arial" w:cs="Arial" w:eastAsia="Arial" w:hAnsi="Arial"/>
          <w:sz w:val="22"/>
          <w:szCs w:val="22"/>
        </w:rPr>
        <w:t xml:space="preserve">Priority Template files: filenames containing 'priority' (e.g., priority_template_rank0.csv)</w:t>
      </w:r>
    </w:p>
    <w:p>
      <w:pPr>
        <w:pStyle w:val="ListParagraph"/>
        <w:numPr>
          <w:ilvl w:val="0"/>
          <w:numId w:val="2"/>
        </w:numPr>
        <w:spacing w:after="200"/>
      </w:pPr>
      <w:r>
        <w:rPr>
          <w:rFonts w:ascii="Arial" w:cs="Arial" w:eastAsia="Arial" w:hAnsi="Arial"/>
          <w:sz w:val="22"/>
          <w:szCs w:val="22"/>
        </w:rPr>
        <w:t xml:space="preserve">OpEx files: any .xlsx files placed in the opex directory</w:t>
      </w:r>
    </w:p>
    <w:p>
      <w:r>
        <w:br w:type="page"/>
      </w:r>
    </w:p>
    <w:p>
      <w:pPr>
        <w:pStyle w:val="Heading1"/>
      </w:pPr>
      <w:r>
        <w:rPr>
          <w:rFonts w:ascii="Arial" w:cs="Arial" w:eastAsia="Arial" w:hAnsi="Arial"/>
        </w:rPr>
        <w:t xml:space="preserve">6. User Interface Guide</w:t>
      </w:r>
    </w:p>
    <w:p>
      <w:pPr>
        <w:spacing w:after="120"/>
      </w:pPr>
      <w:r>
        <w:rPr>
          <w:rFonts w:ascii="Arial" w:cs="Arial" w:eastAsia="Arial" w:hAnsi="Arial"/>
          <w:sz w:val="22"/>
          <w:szCs w:val="22"/>
        </w:rPr>
        <w:t xml:space="preserve">FIRA provides 12 interactive pages accessible through the sidebar navigation. The application uses Streamlit with query parameter routing, allowing direct URL access to any page via the ?page=&lt;slug&gt; parameter.</w:t>
      </w:r>
    </w:p>
    <w:p>
      <w:pPr>
        <w:pStyle w:val="Heading2"/>
      </w:pPr>
      <w:r>
        <w:rPr>
          <w:rFonts w:ascii="Arial" w:cs="Arial" w:eastAsia="Arial" w:hAnsi="Arial"/>
        </w:rPr>
        <w:t xml:space="preserve">6.1 Pages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Page</w:t>
            </w:r>
          </w:p>
        </w:tc>
        <w:tc>
          <w:tcPr>
            <w:tcW w:type="dxa" w:w="22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URL Slug</w:t>
            </w:r>
          </w:p>
        </w:tc>
        <w:tc>
          <w:tcPr>
            <w:tcW w:type="dxa" w:w="53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Resource Planner</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cbn_planner</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Mountain chart, capacity/cost panels, allocation table, project reordering, hide/show, snapshots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 Mgmt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data_management</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Upload and ingest OpEx Excel and Resource Planner CSVs, table health monitoring</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Summary</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summary</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Executive dashboard with FY summary, project spend breakdown, LOE analysis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Financial Trends</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financial_trends</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Time-series trend analysis across fiscal periods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Resource Alloc</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resource_allocation</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Resource utilization and allocation views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Dept Rollup</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department_rollup</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Department-level cost aggregation and VP rollup analysis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Geo &amp; Org</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geo_org</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Country-level and organizational spending comparisons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Sandbox</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sandbox</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Custom visualization builder for ad-hoc analysis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ChatBot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chatbot</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AI-powered natural language financial and resource planning analysis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FAQ</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faq</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Searchable frequently asked questions about the platform</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About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about</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Platform overview, feature descriptions, and technology stack</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History</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history</w:t>
            </w:r>
          </w:p>
        </w:tc>
        <w:tc>
          <w:tcPr>
            <w:tcW w:type="dxa" w:w="5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Browse and review past AI chat sessions</w:t>
            </w:r>
          </w:p>
        </w:tc>
      </w:tr>
    </w:tbl>
    <w:p>
      <w:pPr>
        <w:pStyle w:val="Heading2"/>
      </w:pPr>
      <w:r>
        <w:rPr>
          <w:rFonts w:ascii="Arial" w:cs="Arial" w:eastAsia="Arial" w:hAnsi="Arial"/>
        </w:rPr>
        <w:t xml:space="preserve">6.2 Resource Planner</w:t>
      </w:r>
    </w:p>
    <w:p>
      <w:pPr>
        <w:spacing w:after="120"/>
      </w:pPr>
      <w:r>
        <w:rPr>
          <w:rFonts w:ascii="Arial" w:cs="Arial" w:eastAsia="Arial" w:hAnsi="Arial"/>
          <w:sz w:val="22"/>
          <w:szCs w:val="22"/>
        </w:rPr>
        <w:t xml:space="preserve">The Resource Planner is the primary workforce planning tool. It renders a stacked area (mountain) chart showing project demand vs. target capacity over monthly periods. Key features include:</w:t>
      </w:r>
    </w:p>
    <w:p>
      <w:pPr>
        <w:pStyle w:val="ListParagraph"/>
        <w:numPr>
          <w:ilvl w:val="0"/>
          <w:numId w:val="2"/>
        </w:numPr>
      </w:pPr>
      <w:r>
        <w:rPr>
          <w:rFonts w:ascii="Arial" w:cs="Arial" w:eastAsia="Arial" w:hAnsi="Arial"/>
          <w:sz w:val="22"/>
          <w:szCs w:val="22"/>
        </w:rPr>
        <w:t xml:space="preserve">Filters: Country, Project, Homegroup, Primary BL, and Demand Type dropdowns for data slicing</w:t>
      </w:r>
    </w:p>
    <w:p>
      <w:pPr>
        <w:pStyle w:val="ListParagraph"/>
        <w:numPr>
          <w:ilvl w:val="0"/>
          <w:numId w:val="2"/>
        </w:numPr>
      </w:pPr>
      <w:r>
        <w:rPr>
          <w:rFonts w:ascii="Arial" w:cs="Arial" w:eastAsia="Arial" w:hAnsi="Arial"/>
          <w:sz w:val="22"/>
          <w:szCs w:val="22"/>
        </w:rPr>
        <w:t xml:space="preserve">Target Capacity Panel: Per-country editable inputs with monthly granularity toggle</w:t>
      </w:r>
    </w:p>
    <w:p>
      <w:pPr>
        <w:pStyle w:val="ListParagraph"/>
        <w:numPr>
          <w:ilvl w:val="0"/>
          <w:numId w:val="2"/>
        </w:numPr>
      </w:pPr>
      <w:r>
        <w:rPr>
          <w:rFonts w:ascii="Arial" w:cs="Arial" w:eastAsia="Arial" w:hAnsi="Arial"/>
          <w:sz w:val="22"/>
          <w:szCs w:val="22"/>
        </w:rPr>
        <w:t xml:space="preserve">Project Order Panel: Drag-and-drop reordering to change stacking priority</w:t>
      </w:r>
    </w:p>
    <w:p>
      <w:pPr>
        <w:pStyle w:val="ListParagraph"/>
        <w:numPr>
          <w:ilvl w:val="0"/>
          <w:numId w:val="2"/>
        </w:numPr>
      </w:pPr>
      <w:r>
        <w:rPr>
          <w:rFonts w:ascii="Arial" w:cs="Arial" w:eastAsia="Arial" w:hAnsi="Arial"/>
          <w:sz w:val="22"/>
          <w:szCs w:val="22"/>
        </w:rPr>
        <w:t xml:space="preserve">Cost Panel: Per-country cost multipliers with automatic total cost calculation</w:t>
      </w:r>
    </w:p>
    <w:p>
      <w:pPr>
        <w:pStyle w:val="ListParagraph"/>
        <w:numPr>
          <w:ilvl w:val="0"/>
          <w:numId w:val="2"/>
        </w:numPr>
      </w:pPr>
      <w:r>
        <w:rPr>
          <w:rFonts w:ascii="Arial" w:cs="Arial" w:eastAsia="Arial" w:hAnsi="Arial"/>
          <w:sz w:val="22"/>
          <w:szCs w:val="22"/>
        </w:rPr>
        <w:t xml:space="preserve">Hide/Show Projects: Toggle individual projects on/off in the visualization</w:t>
      </w:r>
    </w:p>
    <w:p>
      <w:pPr>
        <w:pStyle w:val="ListParagraph"/>
        <w:numPr>
          <w:ilvl w:val="0"/>
          <w:numId w:val="2"/>
        </w:numPr>
        <w:spacing w:after="200"/>
      </w:pPr>
      <w:r>
        <w:rPr>
          <w:rFonts w:ascii="Arial" w:cs="Arial" w:eastAsia="Arial" w:hAnsi="Arial"/>
          <w:sz w:val="22"/>
          <w:szCs w:val="22"/>
        </w:rPr>
        <w:t xml:space="preserve">Snapshot Save/Load: Save the current planning state and reload it for scenario comparison</w:t>
      </w:r>
    </w:p>
    <w:p>
      <w:pPr>
        <w:pStyle w:val="Heading2"/>
      </w:pPr>
      <w:r>
        <w:rPr>
          <w:rFonts w:ascii="Arial" w:cs="Arial" w:eastAsia="Arial" w:hAnsi="Arial"/>
        </w:rPr>
        <w:t xml:space="preserve">6.3 AI ChatBot</w:t>
      </w:r>
    </w:p>
    <w:p>
      <w:pPr>
        <w:spacing w:after="120"/>
      </w:pPr>
      <w:r>
        <w:rPr>
          <w:rFonts w:ascii="Arial" w:cs="Arial" w:eastAsia="Arial" w:hAnsi="Arial"/>
          <w:sz w:val="22"/>
          <w:szCs w:val="22"/>
        </w:rPr>
        <w:t xml:space="preserve">The ChatBot accepts natural language queries and returns professional, executive-quality analysis. It supports queries across all three database tables and automatically generates Plotly charts when numerical data is present. The welcome screen displays sample queries divided into OpEx Financial Analytics and Resource Planner &amp; Demand categories. Conversations are persisted in the database and can be reviewed through the Chat History page.</w:t>
      </w:r>
    </w:p>
    <w:p>
      <w:pPr>
        <w:pStyle w:val="Heading2"/>
      </w:pPr>
      <w:r>
        <w:rPr>
          <w:rFonts w:ascii="Arial" w:cs="Arial" w:eastAsia="Arial" w:hAnsi="Arial"/>
        </w:rPr>
        <w:t xml:space="preserve">6.4 Data Management</w:t>
      </w:r>
    </w:p>
    <w:p>
      <w:pPr>
        <w:spacing w:after="120"/>
      </w:pPr>
      <w:r>
        <w:rPr>
          <w:rFonts w:ascii="Arial" w:cs="Arial" w:eastAsia="Arial" w:hAnsi="Arial"/>
          <w:sz w:val="22"/>
          <w:szCs w:val="22"/>
        </w:rPr>
        <w:t xml:space="preserve">The Data Management page provides a unified interface for both OpEx and Resource Planner data ingestion. It displays a health dashboard showing row counts for all three database tables at the top, followed by two sections: OpEx (upload Excel files, run the full pipeline including bootstrap, conversion, and vector embedding) and Resource Planner (upload demand and priority CSVs, save to ../files/resource/, and ingest into PostgreSQL). Both sections include re-ingest buttons for reprocessing existing files.</w:t>
      </w:r>
    </w:p>
    <w:p>
      <w:r>
        <w:br w:type="page"/>
      </w:r>
    </w:p>
    <w:p>
      <w:pPr>
        <w:pStyle w:val="Heading1"/>
      </w:pPr>
      <w:r>
        <w:rPr>
          <w:rFonts w:ascii="Arial" w:cs="Arial" w:eastAsia="Arial" w:hAnsi="Arial"/>
        </w:rPr>
        <w:t xml:space="preserve">7. Project Structure</w:t>
      </w:r>
    </w:p>
    <w:p>
      <w:pPr>
        <w:spacing w:after="120"/>
      </w:pPr>
      <w:r>
        <w:rPr>
          <w:rFonts w:ascii="Arial" w:cs="Arial" w:eastAsia="Arial" w:hAnsi="Arial"/>
          <w:sz w:val="22"/>
          <w:szCs w:val="22"/>
        </w:rPr>
        <w:t xml:space="preserve">The FIRA project is organized into the following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Directory / File</w:t>
            </w:r>
          </w:p>
        </w:tc>
        <w:tc>
          <w:tcPr>
            <w:tcW w:type="dxa" w:w="65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agents/</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AI agent modules (orchestration, intent, SQL, semantic, chat, ingestion, visualization, reporting)</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chat/</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Chat service layer (ChatService orchestrator wrapper, SQLAlchemy persistence, LLM system prompts)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Configuration files (config.py loader, config.yaml settings, schema definitions, labeling, prompts)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db/</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Database layer (bootstrap, table DDL, data pipeline, embedding client, vector store/retriever, utilities)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ui/</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Streamlit frontend (main app router, CSS theme engine, launcher, .streamlit config)</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ui/modules/</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Page modules (PageBase class, all 12 page implementations including Resource Planner and ChatBot)</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utils/parsers/</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 parsers (BPAFG + Priority Template CSV/XLSX parser, OpEx Excel-to-JSONL converter)</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utils/models/</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 models (OpexDB engine, database provider, OpEx data provider, WIN OpEx model)</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bootstrap_db.py</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Database bootstrap entry point (delegates to DatabaseBootstrap.run())</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main.py</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OpEx data ingestion CLI entry point (full pipeline: bootstrap + convert + embed)</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requirements.txt</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Python package dependencies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env.example</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Environment variable template (copy to .env and fill in secrets)</w:t>
            </w:r>
          </w:p>
        </w:tc>
      </w:tr>
    </w:tbl>
    <w:p>
      <w:r>
        <w:br w:type="page"/>
      </w:r>
    </w:p>
    <w:p>
      <w:pPr>
        <w:pStyle w:val="Heading1"/>
      </w:pPr>
      <w:r>
        <w:rPr>
          <w:rFonts w:ascii="Arial" w:cs="Arial" w:eastAsia="Arial" w:hAnsi="Arial"/>
        </w:rPr>
        <w:t xml:space="preserve">8. Database Operations</w:t>
      </w:r>
    </w:p>
    <w:p>
      <w:pPr>
        <w:pStyle w:val="Heading2"/>
      </w:pPr>
      <w:r>
        <w:rPr>
          <w:rFonts w:ascii="Arial" w:cs="Arial" w:eastAsia="Arial" w:hAnsi="Arial"/>
        </w:rPr>
        <w:t xml:space="preserve">8.1 Bootstrap</w:t>
      </w:r>
    </w:p>
    <w:p>
      <w:pPr>
        <w:spacing w:after="120"/>
      </w:pPr>
      <w:r>
        <w:rPr>
          <w:rFonts w:ascii="Arial" w:cs="Arial" w:eastAsia="Arial" w:hAnsi="Arial"/>
          <w:sz w:val="22"/>
          <w:szCs w:val="22"/>
        </w:rPr>
        <w:t xml:space="preserve">Run python bootstrap_db.py to perform the full database setup. The DatabaseBootstrap class creates the cnss_opex_db database if it does not exist, enables the pgvector extension, creates all three application tables with proper column types and constraints, applies all indexes (including the IVFFlat vector similarity index on opex_data_hybrid), and validates existing schemas against expected definitions. The bootstrap is fully idempotent: existing tables are validated rather than recreated, and any column mismatches are reported as warnings.</w:t>
      </w:r>
    </w:p>
    <w:p>
      <w:pPr>
        <w:pStyle w:val="Heading2"/>
      </w:pPr>
      <w:r>
        <w:rPr>
          <w:rFonts w:ascii="Arial" w:cs="Arial" w:eastAsia="Arial" w:hAnsi="Arial"/>
        </w:rPr>
        <w:t xml:space="preserve">8.2 Utilities</w:t>
      </w:r>
    </w:p>
    <w:p>
      <w:pPr>
        <w:spacing w:after="120"/>
      </w:pPr>
      <w:r>
        <w:rPr>
          <w:rFonts w:ascii="Arial" w:cs="Arial" w:eastAsia="Arial" w:hAnsi="Arial"/>
          <w:b/>
          <w:bCs/>
          <w:sz w:val="22"/>
          <w:szCs w:val="22"/>
        </w:rPr>
        <w:t xml:space="preserve">List rows: </w:t>
      </w:r>
      <w:r>
        <w:rPr>
          <w:rFonts w:ascii="Arial" w:cs="Arial" w:eastAsia="Arial" w:hAnsi="Arial"/>
          <w:sz w:val="22"/>
          <w:szCs w:val="22"/>
        </w:rPr>
        <w:t xml:space="preserve">python db/list_db.py (default: first 20 rows), python db/list_db.py --limit 5, or python db/list_db.py --all.</w:t>
      </w:r>
    </w:p>
    <w:p>
      <w:pPr>
        <w:spacing w:after="120"/>
      </w:pPr>
      <w:r>
        <w:rPr>
          <w:rFonts w:ascii="Arial" w:cs="Arial" w:eastAsia="Arial" w:hAnsi="Arial"/>
          <w:b/>
          <w:bCs/>
          <w:sz w:val="22"/>
          <w:szCs w:val="22"/>
        </w:rPr>
        <w:t xml:space="preserve">Clear data: </w:t>
      </w:r>
      <w:r>
        <w:rPr>
          <w:rFonts w:ascii="Arial" w:cs="Arial" w:eastAsia="Arial" w:hAnsi="Arial"/>
          <w:sz w:val="22"/>
          <w:szCs w:val="22"/>
        </w:rPr>
        <w:t xml:space="preserve">python db/clear_db.py (interactive confirmation) or python db/clear_db.py --force (skip confirmation for automation).</w:t>
      </w:r>
    </w:p>
    <w:p>
      <w:pPr>
        <w:spacing w:after="120"/>
      </w:pPr>
      <w:r>
        <w:rPr>
          <w:rFonts w:ascii="Arial" w:cs="Arial" w:eastAsia="Arial" w:hAnsi="Arial"/>
          <w:b/>
          <w:bCs/>
          <w:sz w:val="22"/>
          <w:szCs w:val="22"/>
        </w:rPr>
        <w:t xml:space="preserve">Drop tables: </w:t>
      </w:r>
      <w:r>
        <w:rPr>
          <w:rFonts w:ascii="Arial" w:cs="Arial" w:eastAsia="Arial" w:hAnsi="Arial"/>
          <w:sz w:val="22"/>
          <w:szCs w:val="22"/>
        </w:rPr>
        <w:t xml:space="preserve">python db/drop_db.py (interactive confirmation) or python db/drop_db.py --force. After dropping, re-run bootstrap_db.py and data ingestion.</w:t>
      </w:r>
    </w:p>
    <w:p>
      <w:pPr>
        <w:pStyle w:val="Heading2"/>
      </w:pPr>
      <w:r>
        <w:rPr>
          <w:rFonts w:ascii="Arial" w:cs="Arial" w:eastAsia="Arial" w:hAnsi="Arial"/>
        </w:rPr>
        <w:t xml:space="preserve">8.3 Troubleshooting</w:t>
      </w:r>
    </w:p>
    <w:p>
      <w:pPr>
        <w:spacing w:after="120"/>
      </w:pPr>
      <w:r>
        <w:rPr>
          <w:rFonts w:ascii="Arial" w:cs="Arial" w:eastAsia="Arial" w:hAnsi="Arial"/>
          <w:b/>
          <w:bCs/>
          <w:sz w:val="22"/>
          <w:szCs w:val="22"/>
        </w:rPr>
        <w:t xml:space="preserve">pgvector error: </w:t>
      </w:r>
      <w:r>
        <w:rPr>
          <w:rFonts w:ascii="Arial" w:cs="Arial" w:eastAsia="Arial" w:hAnsi="Arial"/>
          <w:sz w:val="22"/>
          <w:szCs w:val="22"/>
        </w:rPr>
        <w:t xml:space="preserve">If you see 'could not access file "$libdir/vector"', the pgvector extension is not installed. Re-run the pgvector installation steps for your OS and restart PostgreSQL.</w:t>
      </w:r>
    </w:p>
    <w:p>
      <w:pPr>
        <w:spacing w:after="120"/>
      </w:pPr>
      <w:r>
        <w:rPr>
          <w:rFonts w:ascii="Arial" w:cs="Arial" w:eastAsia="Arial" w:hAnsi="Arial"/>
          <w:b/>
          <w:bCs/>
          <w:sz w:val="22"/>
          <w:szCs w:val="22"/>
        </w:rPr>
        <w:t xml:space="preserve">Schema mismatch: </w:t>
      </w:r>
      <w:r>
        <w:rPr>
          <w:rFonts w:ascii="Arial" w:cs="Arial" w:eastAsia="Arial" w:hAnsi="Arial"/>
          <w:sz w:val="22"/>
          <w:szCs w:val="22"/>
        </w:rPr>
        <w:t xml:space="preserve">If bootstrap reports column mismatches, you may need to drop the affected table and re-run bootstrap to recreate it with the correct schema.</w:t>
      </w:r>
    </w:p>
    <w:p>
      <w:pPr>
        <w:spacing w:after="120"/>
      </w:pPr>
      <w:r>
        <w:rPr>
          <w:rFonts w:ascii="Arial" w:cs="Arial" w:eastAsia="Arial" w:hAnsi="Arial"/>
          <w:b/>
          <w:bCs/>
          <w:sz w:val="22"/>
          <w:szCs w:val="22"/>
        </w:rPr>
        <w:t xml:space="preserve">Connection refused: </w:t>
      </w:r>
      <w:r>
        <w:rPr>
          <w:rFonts w:ascii="Arial" w:cs="Arial" w:eastAsia="Arial" w:hAnsi="Arial"/>
          <w:sz w:val="22"/>
          <w:szCs w:val="22"/>
        </w:rPr>
        <w:t xml:space="preserve">Verify PostgreSQL is running (systemctl status postgresql-16 or brew services list), check the host/port in config.yaml, and ensure the database user has appropriate permissions.</w:t>
      </w:r>
    </w:p>
    <w:p>
      <w:r>
        <w:br w:type="page"/>
      </w:r>
    </w:p>
    <w:p>
      <w:pPr>
        <w:pStyle w:val="Heading1"/>
      </w:pPr>
      <w:r>
        <w:rPr>
          <w:rFonts w:ascii="Arial" w:cs="Arial" w:eastAsia="Arial" w:hAnsi="Arial"/>
        </w:rPr>
        <w:t xml:space="preserve">9. Security &amp; Data Governance</w:t>
      </w:r>
    </w:p>
    <w:p>
      <w:pPr>
        <w:pStyle w:val="ListParagraph"/>
        <w:numPr>
          <w:ilvl w:val="0"/>
          <w:numId w:val="2"/>
        </w:numPr>
      </w:pPr>
      <w:r>
        <w:rPr>
          <w:rFonts w:ascii="Arial" w:cs="Arial" w:eastAsia="Arial" w:hAnsi="Arial"/>
          <w:sz w:val="22"/>
          <w:szCs w:val="22"/>
        </w:rPr>
        <w:t xml:space="preserve">Secrets Isolation: All credentials are stored exclusively in the .env file, which is excluded from version control via .gitignore. The config.yaml file contains no sensitive values.</w:t>
      </w:r>
    </w:p>
    <w:p>
      <w:pPr>
        <w:pStyle w:val="ListParagraph"/>
        <w:numPr>
          <w:ilvl w:val="0"/>
          <w:numId w:val="2"/>
        </w:numPr>
      </w:pPr>
      <w:r>
        <w:rPr>
          <w:rFonts w:ascii="Arial" w:cs="Arial" w:eastAsia="Arial" w:hAnsi="Arial"/>
          <w:sz w:val="22"/>
          <w:szCs w:val="22"/>
        </w:rPr>
        <w:t xml:space="preserve">On-Premises Deployment: FIRA runs entirely on-premises. No data leaves the organization’s network unless explicitly configured to reach an external LLM endpoint.</w:t>
      </w:r>
    </w:p>
    <w:p>
      <w:pPr>
        <w:pStyle w:val="ListParagraph"/>
        <w:numPr>
          <w:ilvl w:val="0"/>
          <w:numId w:val="2"/>
        </w:numPr>
      </w:pPr>
      <w:r>
        <w:rPr>
          <w:rFonts w:ascii="Arial" w:cs="Arial" w:eastAsia="Arial" w:hAnsi="Arial"/>
          <w:sz w:val="22"/>
          <w:szCs w:val="22"/>
        </w:rPr>
        <w:t xml:space="preserve">Database Security: PostgreSQL roles separate admin credentials (for bootstrap) from application credentials (for runtime). The bootstrap script uses admin credentials only during initial setup.</w:t>
      </w:r>
    </w:p>
    <w:p>
      <w:pPr>
        <w:pStyle w:val="ListParagraph"/>
        <w:numPr>
          <w:ilvl w:val="0"/>
          <w:numId w:val="2"/>
        </w:numPr>
      </w:pPr>
      <w:r>
        <w:rPr>
          <w:rFonts w:ascii="Arial" w:cs="Arial" w:eastAsia="Arial" w:hAnsi="Arial"/>
          <w:sz w:val="22"/>
          <w:szCs w:val="22"/>
        </w:rPr>
        <w:t xml:space="preserve">Audit Trail: All ChatBot conversations are persisted via SQLAlchemy, providing a complete audit trail of queries, responses, and timestamps. The Chat History page allows administrators to review past sessions.</w:t>
      </w:r>
    </w:p>
    <w:p>
      <w:pPr>
        <w:pStyle w:val="ListParagraph"/>
        <w:numPr>
          <w:ilvl w:val="0"/>
          <w:numId w:val="2"/>
        </w:numPr>
        <w:spacing w:after="200"/>
      </w:pPr>
      <w:r>
        <w:rPr>
          <w:rFonts w:ascii="Arial" w:cs="Arial" w:eastAsia="Arial" w:hAnsi="Arial"/>
          <w:sz w:val="22"/>
          <w:szCs w:val="22"/>
        </w:rPr>
        <w:t xml:space="preserve">Schema Validation: The database bootstrap validates existing table schemas against expected definitions on every run, reporting any mismatches that could indicate unauthorized modifications.</w:t>
      </w:r>
    </w:p>
    <w:p>
      <w:pPr>
        <w:pStyle w:val="Heading1"/>
      </w:pPr>
      <w:r>
        <w:rPr>
          <w:rFonts w:ascii="Arial" w:cs="Arial" w:eastAsia="Arial" w:hAnsi="Arial"/>
        </w:rP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2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Technology</w:t>
            </w:r>
          </w:p>
        </w:tc>
        <w:tc>
          <w:tcPr>
            <w:tcW w:type="dxa" w:w="516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Streamlit</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Web application framework with interactive widgets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Plotly</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Interactive chart and visualization library</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Custom CSS + IBM Plex</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FIRA green theme with professional typography</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AI / ML</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QGenie SDK</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Vector embedding generation (1024-dimensional)</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AI / ML</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Multi-Agent Pipeline</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Intent classification, SQL generation, RAG, conversation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AI / ML</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Claude / GPT Models</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LLM backends for analysis and query synthesis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PostgreSQL 16</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Production relational database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pgvector</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Vector similarity search extension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SQLAlchemy</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ORM for chat persistence and session management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Pandas / OpenPyXL</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 manipulation and Excel file processing</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Data</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JSONL Pipeline</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Intermediate format for vector embedding ingestion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PyYAML + python-dotenv</w:t>
            </w:r>
          </w:p>
        </w:tc>
        <w:tc>
          <w:tcPr>
            <w:tcW w:type="dxa" w:w="5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20"/>
                <w:szCs w:val="20"/>
              </w:rPr>
              <w:t xml:space="preserve">Configuration loading from YAML and .env files</w:t>
            </w:r>
          </w:p>
        </w:tc>
      </w:tr>
    </w:tbl>
    <w:p>
      <w:pPr>
        <w:spacing w:before="400"/>
      </w:pPr>
    </w:p>
    <w:p>
      <w:pPr>
        <w:pBdr>
          <w:top w:val="single" w:color="8B6914" w:sz="2" w:space="8"/>
        </w:pBdr>
        <w:spacing w:before="400"/>
        <w:jc w:val="center"/>
      </w:pPr>
      <w:r>
        <w:rPr>
          <w:rFonts w:ascii="Arial" w:cs="Arial" w:eastAsia="Arial" w:hAnsi="Arial"/>
          <w:color w:val="2E7D32"/>
          <w:sz w:val="20"/>
          <w:szCs w:val="20"/>
        </w:rPr>
        <w:t xml:space="preserve">FIRA — Financial Intelligence &amp; Resource Analytics  |  v2.1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2" w:space="4"/>
      </w:pBdr>
      <w:jc w:val="right"/>
    </w:pPr>
    <w:r>
      <w:rPr>
        <w:rFonts w:ascii="Arial" w:cs="Arial" w:eastAsia="Arial" w:hAnsi="Arial"/>
        <w:color w:val="2E7D32"/>
        <w:sz w:val="18"/>
        <w:szCs w:val="18"/>
      </w:rPr>
      <w:t xml:space="preserve">FIRA — Design &amp; Usage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2026-02-22T03:19:14.897Z</dcterms:created>
  <dcterms:modified xsi:type="dcterms:W3CDTF">2026-02-22T03:19:14.897Z</dcterms:modified>
</cp:coreProperties>
</file>

<file path=docProps/custom.xml><?xml version="1.0" encoding="utf-8"?>
<Properties xmlns="http://schemas.openxmlformats.org/officeDocument/2006/custom-properties" xmlns:vt="http://schemas.openxmlformats.org/officeDocument/2006/docPropsVTypes"/>
</file>