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480"/>
      </w:pPr>
    </w:p>
    <w:p>
      <w:pPr>
        <w:spacing w:after="480"/>
      </w:pPr>
    </w:p>
    <w:p>
      <w:pPr>
        <w:spacing w:after="480"/>
      </w:pPr>
    </w:p>
    <w:p>
      <w:pPr>
        <w:spacing w:before="0" w:after="240"/>
        <w:jc w:val="center"/>
      </w:pPr>
      <w:r>
        <w:rPr>
          <w:rFonts w:ascii="Calibri Light" w:hAnsi="Calibri Light"/>
          <w:b/>
          <w:i w:val="0"/>
          <w:color w:val="3253DC"/>
          <w:sz w:val="96"/>
        </w:rPr>
        <w:t>QUAD</w:t>
      </w:r>
    </w:p>
    <w:p>
      <w:pPr>
        <w:spacing w:before="0" w:after="360"/>
        <w:jc w:val="center"/>
      </w:pPr>
      <w:r>
        <w:rPr>
          <w:rFonts w:ascii="Calibri Light" w:hAnsi="Calibri Light"/>
          <w:b w:val="0"/>
          <w:i w:val="0"/>
          <w:color w:val="333333"/>
          <w:sz w:val="40"/>
        </w:rPr>
        <w:t>Qualcomm Unified Agent for Developers</w:t>
      </w:r>
    </w:p>
    <w:p>
      <w:pPr>
        <w:spacing w:before="0" w:after="720"/>
        <w:jc w:val="center"/>
      </w:pPr>
      <w:r>
        <w:rPr>
          <w:rFonts w:ascii="Calibri Light" w:hAnsi="Calibri Light"/>
          <w:b w:val="0"/>
          <w:i/>
          <w:color w:val="999999"/>
          <w:sz w:val="32"/>
        </w:rPr>
        <w:t>A Unified AI Computing Platform for Qualcomm SoCs</w:t>
      </w:r>
    </w:p>
    <w:p>
      <w:pPr>
        <w:spacing w:after="480"/>
        <w:jc w:val="center"/>
      </w:pPr>
      <w:r>
        <w:rPr>
          <w:color w:val="DDDDDD"/>
          <w:sz w:val="16"/>
        </w:rPr>
        <w:t>____________________________________________________________</w:t>
      </w:r>
    </w:p>
    <w:p>
      <w:pPr>
        <w:spacing w:before="0" w:after="720"/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May 2026  |  Qualcomm Internal</w:t>
      </w:r>
    </w:p>
    <w:p>
      <w:pPr>
        <w:spacing w:before="0" w:after="240"/>
        <w:jc w:val="center"/>
      </w:pPr>
      <w:r>
        <w:rPr>
          <w:rFonts w:ascii="Calibri Light" w:hAnsi="Calibri Light"/>
          <w:b w:val="0"/>
          <w:i/>
          <w:color w:val="3253DC"/>
          <w:sz w:val="28"/>
        </w:rPr>
        <w:t>Making every AI developer productive on Qualcomm silicon in &lt; 5 minutes</w:t>
      </w:r>
    </w:p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1. Developer Friction is Killing Adoption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120" w:after="240"/>
        <w:ind w:left="567"/>
      </w:pPr>
      <w:r>
        <w:rPr>
          <w:rFonts w:ascii="Calibri" w:hAnsi="Calibri"/>
          <w:b/>
          <w:color w:val="333333"/>
          <w:sz w:val="22"/>
        </w:rPr>
        <w:t xml:space="preserve">SDK Sprawl: </w:t>
      </w:r>
      <w:r>
        <w:rPr>
          <w:rFonts w:ascii="Calibri" w:hAnsi="Calibri"/>
          <w:color w:val="666666"/>
          <w:sz w:val="22"/>
        </w:rPr>
        <w:t>5 separate SDKs (QNN, SNPE, Hexagon, Adreno, AIMET) — each with its own download, setup process, and API surface. Developers must learn all five.</w:t>
      </w:r>
    </w:p>
    <w:p>
      <w:pPr>
        <w:spacing w:before="120" w:after="240"/>
        <w:ind w:left="567"/>
      </w:pPr>
      <w:r>
        <w:rPr>
          <w:rFonts w:ascii="Calibri" w:hAnsi="Calibri"/>
          <w:b/>
          <w:color w:val="333333"/>
          <w:sz w:val="22"/>
        </w:rPr>
        <w:t xml:space="preserve">Manual Profiling: </w:t>
      </w:r>
      <w:r>
        <w:rPr>
          <w:rFonts w:ascii="Calibri" w:hAnsi="Calibri"/>
          <w:color w:val="666666"/>
          <w:sz w:val="22"/>
        </w:rPr>
        <w:t>Developers must launch 3+ separate profiling tools to understand performance. No unified view of CPU, GPU, and NPU utilization.</w:t>
      </w:r>
    </w:p>
    <w:p>
      <w:pPr>
        <w:spacing w:before="120" w:after="240"/>
        <w:ind w:left="567"/>
      </w:pPr>
      <w:r>
        <w:rPr>
          <w:rFonts w:ascii="Calibri" w:hAnsi="Calibri"/>
          <w:b/>
          <w:color w:val="333333"/>
          <w:sz w:val="22"/>
        </w:rPr>
        <w:t xml:space="preserve">No Unified Model: </w:t>
      </w:r>
      <w:r>
        <w:rPr>
          <w:rFonts w:ascii="Calibri" w:hAnsi="Calibri"/>
          <w:color w:val="666666"/>
          <w:sz w:val="22"/>
        </w:rPr>
        <w:t>Different workflows for every chipset and platform combination. Windows, Android, and IoT each require completely different approaches.</w:t>
      </w:r>
    </w:p>
    <w:p>
      <w:pPr>
        <w:spacing w:before="120" w:after="240"/>
        <w:ind w:left="567"/>
      </w:pPr>
      <w:r>
        <w:rPr>
          <w:rFonts w:ascii="Calibri" w:hAnsi="Calibri"/>
          <w:b/>
          <w:color w:val="333333"/>
          <w:sz w:val="22"/>
        </w:rPr>
        <w:t xml:space="preserve">High Barrier to Entry: </w:t>
      </w:r>
      <w:r>
        <w:rPr>
          <w:rFonts w:ascii="Calibri" w:hAnsi="Calibri"/>
          <w:color w:val="666666"/>
          <w:sz w:val="22"/>
        </w:rPr>
        <w:t>Time to First Inference (TTFI) currently takes DAYS due to environment setup alone. Developers abandon Qualcomm before running their first model.</w:t>
      </w:r>
    </w:p>
    <w:p>
      <w:pPr>
        <w:spacing w:before="0" w:after="48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EEF1FB"/>
          </w:tcPr>
          <w:p>
            <w:pPr>
              <w:spacing w:before="320" w:after="320"/>
              <w:jc w:val="center"/>
            </w:pPr>
            <w:r/>
            <w:r>
              <w:rPr>
                <w:rFonts w:ascii="Calibri" w:hAnsi="Calibri"/>
                <w:color w:val="666666"/>
                <w:sz w:val="28"/>
              </w:rPr>
              <w:t>Current TTFI: Several Days</w:t>
            </w:r>
            <w:r>
              <w:rPr>
                <w:color w:val="333333"/>
                <w:sz w:val="28"/>
              </w:rPr>
              <w:t xml:space="preserve">    →    </w:t>
            </w:r>
            <w:r>
              <w:rPr>
                <w:rFonts w:ascii="Calibri" w:hAnsi="Calibri"/>
                <w:b/>
                <w:color w:val="3253DC"/>
                <w:sz w:val="28"/>
              </w:rPr>
              <w:t>Target: &lt; 5 Minutes</w:t>
            </w:r>
          </w:p>
        </w:tc>
      </w:tr>
    </w:tbl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2. QUAD: One Platform. All Qualcomm Silicon.</w:t>
      </w:r>
    </w:p>
    <w:p>
      <w:pPr>
        <w:spacing w:before="240" w:after="360"/>
        <w:jc w:val="left"/>
      </w:pPr>
      <w:r>
        <w:rPr>
          <w:rFonts w:ascii="Calibri" w:hAnsi="Calibri"/>
          <w:b/>
          <w:i w:val="0"/>
          <w:color w:val="333333"/>
          <w:sz w:val="26"/>
        </w:rPr>
        <w:t>Unified Architecture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5"/>
        <w:gridCol w:w="3135"/>
        <w:gridCol w:w="3135"/>
      </w:tblGrid>
      <w:tr>
        <w:tc>
          <w:tcPr>
            <w:tcW w:type="dxa" w:w="1417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669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68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417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Layer 7</w:t>
            </w:r>
          </w:p>
        </w:tc>
        <w:tc>
          <w:tcPr>
            <w:tcW w:type="dxa" w:w="5669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CLI + IDE Plugins + AI Agent (MCP)</w:t>
            </w:r>
          </w:p>
        </w:tc>
        <w:tc>
          <w:tcPr>
            <w:tcW w:type="dxa" w:w="2268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Developer Interface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Layer 6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Inference Server (QUAD Serve)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Deployment</w:t>
            </w:r>
          </w:p>
        </w:tc>
      </w:tr>
      <w:tr>
        <w:tc>
          <w:tcPr>
            <w:tcW w:type="dxa" w:w="1417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Layer 5</w:t>
            </w:r>
          </w:p>
        </w:tc>
        <w:tc>
          <w:tcPr>
            <w:tcW w:type="dxa" w:w="5669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Optimizer (Graph Fusion + Quantization)</w:t>
            </w:r>
          </w:p>
        </w:tc>
        <w:tc>
          <w:tcPr>
            <w:tcW w:type="dxa" w:w="2268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Optimization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Layer 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Libraries (QualcommDNN + QualcommBLAS)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Math &amp; AI Ops</w:t>
            </w:r>
          </w:p>
        </w:tc>
      </w:tr>
      <w:tr>
        <w:tc>
          <w:tcPr>
            <w:tcW w:type="dxa" w:w="1417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Layer 3</w:t>
            </w:r>
          </w:p>
        </w:tc>
        <w:tc>
          <w:tcPr>
            <w:tcW w:type="dxa" w:w="5669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Runtime (Device + Tensor + Model + Stream)</w:t>
            </w:r>
          </w:p>
        </w:tc>
        <w:tc>
          <w:tcPr>
            <w:tcW w:type="dxa" w:w="2268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Execution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Layer 2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Compiler (QUAD IR + Portable Binary)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Compilation</w:t>
            </w:r>
          </w:p>
        </w:tc>
      </w:tr>
      <w:tr>
        <w:tc>
          <w:tcPr>
            <w:tcW w:type="dxa" w:w="1417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Layer 1</w:t>
            </w:r>
          </w:p>
        </w:tc>
        <w:tc>
          <w:tcPr>
            <w:tcW w:type="dxa" w:w="5669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Hardware (CPU + GPU + NPU)</w:t>
            </w:r>
          </w:p>
        </w:tc>
        <w:tc>
          <w:tcPr>
            <w:tcW w:type="dxa" w:w="2268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Silicon</w:t>
            </w:r>
          </w:p>
        </w:tc>
      </w:tr>
    </w:tbl>
    <w:p>
      <w:pPr>
        <w:spacing w:before="0" w:after="3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3253DC"/>
          <w:sz w:val="24"/>
        </w:rPr>
        <w:t>One API across all layers. Mock-first development. Real hardware when ready.</w:t>
      </w:r>
    </w:p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3. The Market Window is Open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120" w:after="240"/>
        <w:ind w:left="567"/>
      </w:pPr>
      <w:r>
        <w:rPr>
          <w:rFonts w:ascii="Calibri" w:hAnsi="Calibri"/>
          <w:b/>
          <w:color w:val="333333"/>
          <w:sz w:val="22"/>
        </w:rPr>
        <w:t xml:space="preserve">NPU Performance Breakthrough: </w:t>
      </w:r>
      <w:r>
        <w:rPr>
          <w:rFonts w:ascii="Calibri" w:hAnsi="Calibri"/>
          <w:color w:val="666666"/>
          <w:sz w:val="22"/>
        </w:rPr>
        <w:t>NPUs now exceed 45 TOPS — competitive with data center GPUs for inference workloads. Edge hardware is finally ready for production AI.</w:t>
      </w:r>
    </w:p>
    <w:p>
      <w:pPr>
        <w:spacing w:before="120" w:after="240"/>
        <w:ind w:left="567"/>
      </w:pPr>
      <w:r>
        <w:rPr>
          <w:rFonts w:ascii="Calibri" w:hAnsi="Calibri"/>
          <w:b/>
          <w:color w:val="333333"/>
          <w:sz w:val="22"/>
        </w:rPr>
        <w:t xml:space="preserve">On-Device AI Explosion: </w:t>
      </w:r>
      <w:r>
        <w:rPr>
          <w:rFonts w:ascii="Calibri" w:hAnsi="Calibri"/>
          <w:color w:val="666666"/>
          <w:sz w:val="22"/>
        </w:rPr>
        <w:t>Privacy requirements, latency demands, and offline scenarios are driving AI to the edge. Qualcomm owns mobile and edge silicon.</w:t>
      </w:r>
    </w:p>
    <w:p>
      <w:pPr>
        <w:spacing w:before="120" w:after="240"/>
        <w:ind w:left="567"/>
      </w:pPr>
      <w:r>
        <w:rPr>
          <w:rFonts w:ascii="Calibri" w:hAnsi="Calibri"/>
          <w:b/>
          <w:color w:val="333333"/>
          <w:sz w:val="22"/>
        </w:rPr>
        <w:t xml:space="preserve">NVIDIA's Blind Spot: </w:t>
      </w:r>
      <w:r>
        <w:rPr>
          <w:rFonts w:ascii="Calibri" w:hAnsi="Calibri"/>
          <w:color w:val="666666"/>
          <w:sz w:val="22"/>
        </w:rPr>
        <w:t>NVIDIA has ZERO mobile or edge presence — yet developers default to CUDA because there is no alternative platform. QUAD fills this gap.</w:t>
      </w:r>
    </w:p>
    <w:p>
      <w:pPr>
        <w:spacing w:before="0" w:after="48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EEF1FB"/>
          </w:tcPr>
          <w:p>
            <w:pPr>
              <w:spacing w:before="360" w:after="360"/>
              <w:jc w:val="center"/>
            </w:pPr>
            <w:r/>
            <w:r>
              <w:rPr>
                <w:rFonts w:ascii="Calibri" w:hAnsi="Calibri"/>
                <w:color w:val="333333"/>
                <w:sz w:val="26"/>
              </w:rPr>
              <w:t xml:space="preserve">Qualcomm ships </w:t>
            </w:r>
            <w:r>
              <w:rPr>
                <w:rFonts w:ascii="Calibri" w:hAnsi="Calibri"/>
                <w:b/>
                <w:color w:val="3253DC"/>
                <w:sz w:val="26"/>
              </w:rPr>
              <w:t>3+ BILLION</w:t>
            </w:r>
            <w:r>
              <w:rPr>
                <w:rFonts w:ascii="Calibri" w:hAnsi="Calibri"/>
                <w:color w:val="333333"/>
                <w:sz w:val="26"/>
              </w:rPr>
              <w:t xml:space="preserve"> SoCs/year. CUDA reaches millions. </w:t>
            </w:r>
            <w:r>
              <w:rPr>
                <w:rFonts w:ascii="Calibri" w:hAnsi="Calibri"/>
                <w:b/>
                <w:color w:val="3253DC"/>
                <w:sz w:val="26"/>
              </w:rPr>
              <w:t>QUAD reaches billions.</w:t>
            </w:r>
          </w:p>
        </w:tc>
      </w:tr>
    </w:tbl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4. Platform Status: Feature-Complete (Mock Mode)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EF1FB"/>
          </w:tcPr>
          <w:p>
            <w:pPr>
              <w:spacing w:before="240" w:after="80"/>
              <w:jc w:val="center"/>
            </w:pPr>
            <w:r/>
            <w:r>
              <w:rPr>
                <w:rFonts w:ascii="Calibri Light" w:hAnsi="Calibri Light"/>
                <w:b/>
                <w:color w:val="3253DC"/>
                <w:sz w:val="44"/>
              </w:rPr>
              <w:t>2002</w:t>
            </w:r>
          </w:p>
          <w:p>
            <w:pPr>
              <w:spacing w:after="240"/>
              <w:jc w:val="center"/>
            </w:pPr>
            <w:r>
              <w:rPr>
                <w:rFonts w:ascii="Calibri" w:hAnsi="Calibri"/>
                <w:color w:val="666666"/>
                <w:sz w:val="18"/>
              </w:rPr>
              <w:t>Tests Passing</w:t>
            </w:r>
          </w:p>
        </w:tc>
        <w:tc>
          <w:tcPr>
            <w:tcW w:type="dxa" w:w="2351"/>
            <w:shd w:fill="EEF1FB"/>
          </w:tcPr>
          <w:p>
            <w:pPr>
              <w:spacing w:before="240" w:after="80"/>
              <w:jc w:val="center"/>
            </w:pPr>
            <w:r/>
            <w:r>
              <w:rPr>
                <w:rFonts w:ascii="Calibri Light" w:hAnsi="Calibri Light"/>
                <w:b/>
                <w:color w:val="3253DC"/>
                <w:sz w:val="44"/>
              </w:rPr>
              <w:t>120+</w:t>
            </w:r>
          </w:p>
          <w:p>
            <w:pPr>
              <w:spacing w:after="240"/>
              <w:jc w:val="center"/>
            </w:pPr>
            <w:r>
              <w:rPr>
                <w:rFonts w:ascii="Calibri" w:hAnsi="Calibri"/>
                <w:color w:val="666666"/>
                <w:sz w:val="18"/>
              </w:rPr>
              <w:t>Python Modules</w:t>
            </w:r>
          </w:p>
        </w:tc>
        <w:tc>
          <w:tcPr>
            <w:tcW w:type="dxa" w:w="2351"/>
            <w:shd w:fill="EEF1FB"/>
          </w:tcPr>
          <w:p>
            <w:pPr>
              <w:spacing w:before="240" w:after="80"/>
              <w:jc w:val="center"/>
            </w:pPr>
            <w:r/>
            <w:r>
              <w:rPr>
                <w:rFonts w:ascii="Calibri Light" w:hAnsi="Calibri Light"/>
                <w:b/>
                <w:color w:val="3253DC"/>
                <w:sz w:val="44"/>
              </w:rPr>
              <w:t>30+</w:t>
            </w:r>
          </w:p>
          <w:p>
            <w:pPr>
              <w:spacing w:after="240"/>
              <w:jc w:val="center"/>
            </w:pPr>
            <w:r>
              <w:rPr>
                <w:rFonts w:ascii="Calibri" w:hAnsi="Calibri"/>
                <w:color w:val="666666"/>
                <w:sz w:val="18"/>
              </w:rPr>
              <w:t>Templates</w:t>
            </w:r>
          </w:p>
        </w:tc>
        <w:tc>
          <w:tcPr>
            <w:tcW w:type="dxa" w:w="2351"/>
            <w:shd w:fill="EEF1FB"/>
          </w:tcPr>
          <w:p>
            <w:pPr>
              <w:spacing w:before="240" w:after="80"/>
              <w:jc w:val="center"/>
            </w:pPr>
            <w:r/>
            <w:r>
              <w:rPr>
                <w:rFonts w:ascii="Calibri Light" w:hAnsi="Calibri Light"/>
                <w:b/>
                <w:color w:val="3253DC"/>
                <w:sz w:val="44"/>
              </w:rPr>
              <w:t>25,000+</w:t>
            </w:r>
          </w:p>
          <w:p>
            <w:pPr>
              <w:spacing w:after="240"/>
              <w:jc w:val="center"/>
            </w:pPr>
            <w:r>
              <w:rPr>
                <w:rFonts w:ascii="Calibri" w:hAnsi="Calibri"/>
                <w:color w:val="666666"/>
                <w:sz w:val="18"/>
              </w:rPr>
              <w:t>Lines of Code</w:t>
            </w:r>
          </w:p>
        </w:tc>
      </w:tr>
    </w:tbl>
    <w:p>
      <w:pPr>
        <w:spacing w:before="0" w:after="3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240"/>
        <w:jc w:val="left"/>
      </w:pPr>
      <w:r>
        <w:rPr>
          <w:rFonts w:ascii="Calibri" w:hAnsi="Calibri"/>
          <w:b/>
          <w:i w:val="0"/>
          <w:color w:val="333333"/>
          <w:sz w:val="26"/>
        </w:rPr>
        <w:t>Module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Runtime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Compiler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Libraries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Optimizer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Profiler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Kernels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Serve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CLI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UDO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PSNPE</w:t>
            </w:r>
          </w:p>
        </w:tc>
      </w:tr>
      <w:tr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Adapters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Platforms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Codegen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Models</w:t>
            </w:r>
          </w:p>
        </w:tc>
        <w:tc>
          <w:tcPr>
            <w:tcW w:type="dxa" w:w="1881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Utils</w:t>
            </w:r>
          </w:p>
        </w:tc>
      </w:tr>
    </w:tbl>
    <w:p>
      <w:pPr>
        <w:spacing w:before="0" w:after="3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666666"/>
          <w:sz w:val="22"/>
        </w:rPr>
        <w:t>All seven platform phases (A–G) complete in mock mode. Real SDK adapter ready — blocked only on SDK CLI documentation access.</w:t>
      </w:r>
    </w:p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5. Where QUAD Wins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402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CUDA</w:t>
            </w:r>
          </w:p>
        </w:tc>
        <w:tc>
          <w:tcPr>
            <w:tcW w:type="dxa" w:w="3969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QUAD</w:t>
            </w:r>
          </w:p>
        </w:tc>
      </w:tr>
      <w:tr>
        <w:tc>
          <w:tcPr>
            <w:tcW w:type="dxa" w:w="1984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Market</w:t>
            </w:r>
          </w:p>
        </w:tc>
        <w:tc>
          <w:tcPr>
            <w:tcW w:type="dxa" w:w="34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Data center / HPC</w:t>
            </w:r>
          </w:p>
        </w:tc>
        <w:tc>
          <w:tcPr>
            <w:tcW w:type="dxa" w:w="3969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Edge / Mobile / AI PC / IoT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Compute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GPU only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CPU + GPU + NPU (heterogeneous)</w:t>
            </w:r>
          </w:p>
        </w:tc>
      </w:tr>
      <w:tr>
        <w:tc>
          <w:tcPr>
            <w:tcW w:type="dxa" w:w="1984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Power</w:t>
            </w:r>
          </w:p>
        </w:tc>
        <w:tc>
          <w:tcPr>
            <w:tcW w:type="dxa" w:w="34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300–700W</w:t>
            </w:r>
          </w:p>
        </w:tc>
        <w:tc>
          <w:tcPr>
            <w:tcW w:type="dxa" w:w="3969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1–15W (power as a feature)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Devices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Millions of GPUs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Billions of SoCs</w:t>
            </w:r>
          </w:p>
        </w:tc>
      </w:tr>
      <w:tr>
        <w:tc>
          <w:tcPr>
            <w:tcW w:type="dxa" w:w="1984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Differentiator</w:t>
            </w:r>
          </w:p>
        </w:tc>
        <w:tc>
          <w:tcPr>
            <w:tcW w:type="dxa" w:w="34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Raw throughput</w:t>
            </w:r>
          </w:p>
        </w:tc>
        <w:tc>
          <w:tcPr>
            <w:tcW w:type="dxa" w:w="3969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Performance-per-watt + AI agent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Developer UX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Manual SDK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Natural language (MCP)</w:t>
            </w:r>
          </w:p>
        </w:tc>
      </w:tr>
    </w:tbl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6. What CUDA Can Never Do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F5F7FA"/>
          </w:tcPr>
          <w:p>
            <w:pPr>
              <w:spacing w:before="200" w:after="80"/>
            </w:pPr>
            <w:r/>
            <w:r>
              <w:rPr>
                <w:rFonts w:ascii="Calibri" w:hAnsi="Calibri"/>
                <w:b/>
                <w:color w:val="3253DC"/>
                <w:sz w:val="24"/>
              </w:rPr>
              <w:t>1. Power-Aware Computing</w:t>
            </w:r>
          </w:p>
          <w:p>
            <w:pPr>
              <w:spacing w:after="200"/>
            </w:pPr>
            <w:r>
              <w:rPr>
                <w:rFonts w:ascii="Calibri" w:hAnsi="Calibri"/>
                <w:color w:val="666666"/>
                <w:sz w:val="20"/>
              </w:rPr>
              <w:t>Every API accepts power budget as a constraint. Developers specify watt limits, and QUAD optimizes execution across CPU, GPU, and NPU to stay within thermal and power envelopes.</w:t>
            </w:r>
          </w:p>
        </w:tc>
      </w:tr>
    </w:tbl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F5F7FA"/>
          </w:tcPr>
          <w:p>
            <w:pPr>
              <w:spacing w:before="200" w:after="80"/>
            </w:pPr>
            <w:r/>
            <w:r>
              <w:rPr>
                <w:rFonts w:ascii="Calibri" w:hAnsi="Calibri"/>
                <w:b/>
                <w:color w:val="3253DC"/>
                <w:sz w:val="24"/>
              </w:rPr>
              <w:t>2. AI Agent (MCP)</w:t>
            </w:r>
          </w:p>
          <w:p>
            <w:pPr>
              <w:spacing w:after="200"/>
            </w:pPr>
            <w:r>
              <w:rPr>
                <w:rFonts w:ascii="Calibri" w:hAnsi="Calibri"/>
                <w:color w:val="666666"/>
                <w:sz w:val="20"/>
              </w:rPr>
              <w:t>Natural language to production code in seconds. Developers describe what they want; the agent generates optimized, hardware-aware code automatically.</w:t>
            </w:r>
          </w:p>
        </w:tc>
      </w:tr>
    </w:tbl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F5F7FA"/>
          </w:tcPr>
          <w:p>
            <w:pPr>
              <w:spacing w:before="200" w:after="80"/>
            </w:pPr>
            <w:r/>
            <w:r>
              <w:rPr>
                <w:rFonts w:ascii="Calibri" w:hAnsi="Calibri"/>
                <w:b/>
                <w:color w:val="3253DC"/>
                <w:sz w:val="24"/>
              </w:rPr>
              <w:t>3. Heterogeneous Orchestration</w:t>
            </w:r>
          </w:p>
          <w:p>
            <w:pPr>
              <w:spacing w:after="200"/>
            </w:pPr>
            <w:r>
              <w:rPr>
                <w:rFonts w:ascii="Calibri" w:hAnsi="Calibri"/>
                <w:color w:val="666666"/>
                <w:sz w:val="20"/>
              </w:rPr>
              <w:t>CPU + GPU + NPU allocation in a single API call. QUAD schedules work across all compute units based on workload characteristics and power constraints.</w:t>
            </w:r>
          </w:p>
        </w:tc>
      </w:tr>
    </w:tbl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F5F7FA"/>
          </w:tcPr>
          <w:p>
            <w:pPr>
              <w:spacing w:before="200" w:after="80"/>
            </w:pPr>
            <w:r/>
            <w:r>
              <w:rPr>
                <w:rFonts w:ascii="Calibri" w:hAnsi="Calibri"/>
                <w:b/>
                <w:color w:val="3253DC"/>
                <w:sz w:val="24"/>
              </w:rPr>
              <w:t>4. Edge-Native Design</w:t>
            </w:r>
          </w:p>
          <w:p>
            <w:pPr>
              <w:spacing w:after="200"/>
            </w:pPr>
            <w:r>
              <w:rPr>
                <w:rFonts w:ascii="Calibri" w:hAnsi="Calibri"/>
                <w:color w:val="666666"/>
                <w:sz w:val="20"/>
              </w:rPr>
              <w:t>Built from the ground up for 1–15W devices with thermal-aware scheduling, battery optimization, and real-time inference at the edge.</w:t>
            </w:r>
          </w:p>
        </w:tc>
      </w:tr>
    </w:tbl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7. Measurable Impact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5"/>
        <w:gridCol w:w="3135"/>
        <w:gridCol w:w="3135"/>
      </w:tblGrid>
      <w:tr>
        <w:tc>
          <w:tcPr>
            <w:tcW w:type="dxa" w:w="3402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35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268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34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TTFI (new developer)</w:t>
            </w:r>
          </w:p>
        </w:tc>
        <w:tc>
          <w:tcPr>
            <w:tcW w:type="dxa" w:w="2835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&lt; 5 minutes</w:t>
            </w:r>
          </w:p>
        </w:tc>
        <w:tc>
          <w:tcPr>
            <w:tcW w:type="dxa" w:w="2268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Q3 2026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Developer NPS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≥ 60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Q4 2026</w:t>
            </w:r>
          </w:p>
        </w:tc>
      </w:tr>
      <w:tr>
        <w:tc>
          <w:tcPr>
            <w:tcW w:type="dxa" w:w="34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pip install → inference</w:t>
            </w:r>
          </w:p>
        </w:tc>
        <w:tc>
          <w:tcPr>
            <w:tcW w:type="dxa" w:w="2835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Works out of box</w:t>
            </w:r>
          </w:p>
        </w:tc>
        <w:tc>
          <w:tcPr>
            <w:tcW w:type="dxa" w:w="2268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Q2 2026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Community SO questions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&gt; 1,000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Q4 2026</w:t>
            </w:r>
          </w:p>
        </w:tc>
      </w:tr>
      <w:tr>
        <w:tc>
          <w:tcPr>
            <w:tcW w:type="dxa" w:w="34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Pre-optimized model zoo</w:t>
            </w:r>
          </w:p>
        </w:tc>
        <w:tc>
          <w:tcPr>
            <w:tcW w:type="dxa" w:w="2835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100+ models</w:t>
            </w:r>
          </w:p>
        </w:tc>
        <w:tc>
          <w:tcPr>
            <w:tcW w:type="dxa" w:w="2268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Q3 2026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Enterprise deployments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≥ 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Q1 2027</w:t>
            </w:r>
          </w:p>
        </w:tc>
      </w:tr>
    </w:tbl>
    <w:p>
      <w:pPr>
        <w:spacing w:before="0" w:after="48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240"/>
        <w:jc w:val="left"/>
      </w:pPr>
      <w:r>
        <w:rPr>
          <w:rFonts w:ascii="Calibri" w:hAnsi="Calibri"/>
          <w:b/>
          <w:i w:val="0"/>
          <w:color w:val="333333"/>
          <w:sz w:val="26"/>
        </w:rPr>
        <w:t>Delivery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3253DC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 B</w:t>
            </w:r>
          </w:p>
        </w:tc>
        <w:tc>
          <w:tcPr>
            <w:tcW w:type="dxa" w:w="1568"/>
            <w:shd w:fill="3253DC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 C</w:t>
            </w:r>
          </w:p>
        </w:tc>
        <w:tc>
          <w:tcPr>
            <w:tcW w:type="dxa" w:w="1568"/>
            <w:shd w:fill="3253DC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 D</w:t>
            </w:r>
          </w:p>
        </w:tc>
        <w:tc>
          <w:tcPr>
            <w:tcW w:type="dxa" w:w="1568"/>
            <w:shd w:fill="3253DC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 E</w:t>
            </w:r>
          </w:p>
        </w:tc>
        <w:tc>
          <w:tcPr>
            <w:tcW w:type="dxa" w:w="1568"/>
            <w:shd w:fill="3253DC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 F</w:t>
            </w:r>
          </w:p>
        </w:tc>
        <w:tc>
          <w:tcPr>
            <w:tcW w:type="dxa" w:w="1568"/>
            <w:shd w:fill="3253DC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 G</w:t>
            </w:r>
          </w:p>
        </w:tc>
      </w:tr>
      <w:tr>
        <w:tc>
          <w:tcPr>
            <w:tcW w:type="dxa" w:w="1568"/>
            <w:shd w:fill="F5F7FA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Runtime</w:t>
            </w:r>
          </w:p>
        </w:tc>
        <w:tc>
          <w:tcPr>
            <w:tcW w:type="dxa" w:w="1568"/>
            <w:shd w:fill="F5F7FA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Libraries</w:t>
            </w:r>
          </w:p>
        </w:tc>
        <w:tc>
          <w:tcPr>
            <w:tcW w:type="dxa" w:w="1568"/>
            <w:shd w:fill="F5F7FA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Profiler</w:t>
            </w:r>
          </w:p>
        </w:tc>
        <w:tc>
          <w:tcPr>
            <w:tcW w:type="dxa" w:w="1568"/>
            <w:shd w:fill="F5F7FA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Kernels</w:t>
            </w:r>
          </w:p>
        </w:tc>
        <w:tc>
          <w:tcPr>
            <w:tcW w:type="dxa" w:w="1568"/>
            <w:shd w:fill="F5F7FA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Serve</w:t>
            </w:r>
          </w:p>
        </w:tc>
        <w:tc>
          <w:tcPr>
            <w:tcW w:type="dxa" w:w="1568"/>
            <w:shd w:fill="F5F7FA"/>
            <w:shd w:fill="F5F7F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8"/>
              </w:rPr>
              <w:t>Ecosystem</w:t>
            </w:r>
          </w:p>
        </w:tc>
      </w:tr>
    </w:tbl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666666"/>
          <w:sz w:val="22"/>
        </w:rPr>
        <w:t>All phases COMPLETE in mock mode. Real hardware integration: Q3–Q4 2026.</w:t>
      </w:r>
    </w:p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8a. IoT Device Support</w:t>
      </w:r>
    </w:p>
    <w:p>
      <w:pPr>
        <w:spacing w:before="240" w:after="240"/>
        <w:jc w:val="left"/>
      </w:pPr>
      <w:r>
        <w:rPr>
          <w:rFonts w:ascii="Calibri" w:hAnsi="Calibri"/>
          <w:b/>
          <w:i w:val="0"/>
          <w:color w:val="333333"/>
          <w:sz w:val="26"/>
        </w:rPr>
        <w:t>Extending QUAD across the full Qualcomm IoT portfolio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QUAD's adapter pattern is being extended to cover Qualcomm's IoT SoC family — from Linux-class gateways down to RTOS companion cores. The full dependency catalog (111 components across 14 categories) lives at docs/IOT_DEPENDENCIES.xlsx.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5102"/>
            <w:shd w:fill="3253D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170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IoT SoCs</w:t>
            </w:r>
          </w:p>
        </w:tc>
        <w:tc>
          <w:tcPr>
            <w:tcW w:type="dxa" w:w="255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Reference + dev kits</w:t>
            </w:r>
          </w:p>
        </w:tc>
        <w:tc>
          <w:tcPr>
            <w:tcW w:type="dxa" w:w="51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QCS6490 (RB3 Gen 2), QCS8550, QCS8250 (RB5), QCS610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OS / Firmware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Linux + RTOS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Yocto meta-qcom, Qualcomm Linux, Zephyr, FreeRTOS, U-Boot, OP-TEE</w:t>
            </w:r>
          </w:p>
        </w:tc>
      </w:tr>
      <w:tr>
        <w:tc>
          <w:tcPr>
            <w:tcW w:type="dxa" w:w="170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Connectivity</w:t>
            </w:r>
          </w:p>
        </w:tc>
        <w:tc>
          <w:tcPr>
            <w:tcW w:type="dxa" w:w="255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Wireless + cellular</w:t>
            </w:r>
          </w:p>
        </w:tc>
        <w:tc>
          <w:tcPr>
            <w:tcW w:type="dxa" w:w="51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BlueZ, OpenThread, Matter 1.4, hostapd, ModemManager (NB-IoT, LTE-M, 5G via X75)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IoT Protocols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App-layer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MQTT (Mosquitto/paho), CoAP (libcoap/aiocoap), LwM2M (Anjay), OPC-UA</w:t>
            </w:r>
          </w:p>
        </w:tc>
      </w:tr>
      <w:tr>
        <w:tc>
          <w:tcPr>
            <w:tcW w:type="dxa" w:w="170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Cloud + OTA</w:t>
            </w:r>
          </w:p>
        </w:tc>
        <w:tc>
          <w:tcPr>
            <w:tcW w:type="dxa" w:w="255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Vendor SDKs</w:t>
            </w:r>
          </w:p>
        </w:tc>
        <w:tc>
          <w:tcPr>
            <w:tcW w:type="dxa" w:w="51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AWS IoT v2, Azure IoT, Greengrass, IoT Edge, Mender, RAUC, SWUpdate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Security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Hardware + software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QTEE / SPU, OP-TEE, mbedTLS, TF-M, PKCS#11, Matter Attestation</w:t>
            </w:r>
          </w:p>
        </w:tc>
      </w:tr>
      <w:tr>
        <w:tc>
          <w:tcPr>
            <w:tcW w:type="dxa" w:w="170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253DC"/>
                <w:sz w:val="20"/>
              </w:rPr>
              <w:t>Edge AI</w:t>
            </w:r>
          </w:p>
        </w:tc>
        <w:tc>
          <w:tcPr>
            <w:tcW w:type="dxa" w:w="2551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Existing QUAD stack</w:t>
            </w:r>
          </w:p>
        </w:tc>
        <w:tc>
          <w:tcPr>
            <w:tcW w:type="dxa" w:w="5102"/>
            <w:shd w:fill="F5F7F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666666"/>
                <w:sz w:val="20"/>
              </w:rPr>
              <w:t>QNN/QAIRT 2.x, SNPE 2.x, Hexagon SDK 5, AIMET, AI Hub</w:t>
            </w:r>
          </w:p>
        </w:tc>
      </w:tr>
    </w:tbl>
    <w:p>
      <w:pPr>
        <w:spacing w:before="0" w:after="3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3253DC"/>
          <w:sz w:val="22"/>
        </w:rPr>
        <w:t>Same Python adapter, same MCP tools, same natural-language UX — extended from AI PC / Mobile to the full Qualcomm IoT SoC line.</w:t>
      </w:r>
    </w:p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8. What We Need</w:t>
      </w:r>
    </w:p>
    <w:p>
      <w:pPr>
        <w:spacing w:before="0" w:after="3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F5F7FA"/>
          </w:tcPr>
          <w:p>
            <w:pPr>
              <w:spacing w:before="240" w:after="80"/>
            </w:pPr>
            <w:r/>
            <w:r>
              <w:rPr>
                <w:rFonts w:ascii="Calibri" w:hAnsi="Calibri"/>
                <w:b/>
                <w:color w:val="3253DC"/>
                <w:sz w:val="24"/>
              </w:rPr>
              <w:t>1. QNN SDK Documentation Access</w:t>
            </w:r>
          </w:p>
          <w:p>
            <w:pPr>
              <w:spacing w:after="240"/>
            </w:pPr>
            <w:r>
              <w:rPr>
                <w:rFonts w:ascii="Calibri" w:hAnsi="Calibri"/>
                <w:color w:val="666666"/>
                <w:sz w:val="22"/>
              </w:rPr>
              <w:t>Unblocks the real hardware adapter in 2–3 days. The mock framework is complete; we need only the official API surface to wire in real inference.</w:t>
            </w:r>
          </w:p>
        </w:tc>
      </w:tr>
    </w:tbl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F5F7FA"/>
          </w:tcPr>
          <w:p>
            <w:pPr>
              <w:spacing w:before="240" w:after="80"/>
            </w:pPr>
            <w:r/>
            <w:r>
              <w:rPr>
                <w:rFonts w:ascii="Calibri" w:hAnsi="Calibri"/>
                <w:b/>
                <w:color w:val="3253DC"/>
                <w:sz w:val="24"/>
              </w:rPr>
              <w:t>2. Hardware: 4 Target Device Classes</w:t>
            </w:r>
          </w:p>
          <w:p>
            <w:pPr>
              <w:spacing w:after="240"/>
            </w:pPr>
            <w:r>
              <w:rPr>
                <w:rFonts w:ascii="Calibri" w:hAnsi="Calibri"/>
                <w:color w:val="666666"/>
                <w:sz w:val="22"/>
              </w:rPr>
              <w:t>Snapdragon X Elite (AI PC), Snapdragon 8 Elite (Mobile), Arduino UNO Q (entry IoT), and a Qualcomm IoT SoC kit (RB3 Gen 2 / RB5 / QCS6490 / QCS8550). These cover all four go-to-market segments. Full IoT dependency catalog: docs/IOT_DEPENDENCIES.xlsx.</w:t>
            </w:r>
          </w:p>
        </w:tc>
      </w:tr>
    </w:tbl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071"/>
            <w:shd w:fill="F5F7FA"/>
          </w:tcPr>
          <w:p>
            <w:pPr>
              <w:spacing w:before="240" w:after="80"/>
            </w:pPr>
            <w:r/>
            <w:r>
              <w:rPr>
                <w:rFonts w:ascii="Calibri" w:hAnsi="Calibri"/>
                <w:b/>
                <w:color w:val="3253DC"/>
                <w:sz w:val="24"/>
              </w:rPr>
              <w:t>3. Engineering Team: 12–15 Engineers over 12 Months</w:t>
            </w:r>
          </w:p>
          <w:p>
            <w:pPr>
              <w:spacing w:after="240"/>
            </w:pPr>
            <w:r>
              <w:rPr>
                <w:rFonts w:ascii="Calibri" w:hAnsi="Calibri"/>
                <w:color w:val="666666"/>
                <w:sz w:val="22"/>
              </w:rPr>
              <w:t>To achieve CUDA platform parity across compiler, runtime, libraries, and ecosystem tooling.</w:t>
            </w:r>
          </w:p>
        </w:tc>
      </w:tr>
    </w:tbl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333333"/>
          <w:sz w:val="22"/>
        </w:rPr>
        <w:t>Phase 1 (current team) → Phase 2 (expand) → Phase 3 (community &amp; ecosystem)</w:t>
      </w:r>
    </w:p>
    <w:p>
      <w:r>
        <w:br w:type="page"/>
      </w:r>
    </w:p>
    <w:p>
      <w:pPr>
        <w:pStyle w:val="Heading1"/>
        <w:spacing w:after="480"/>
      </w:pPr>
      <w:r>
        <w:rPr>
          <w:rFonts w:ascii="Calibri Light" w:hAnsi="Calibri Light"/>
          <w:b/>
          <w:color w:val="3253DC"/>
          <w:sz w:val="56"/>
        </w:rPr>
        <w:t>9. The Opportunity</w:t>
      </w:r>
    </w:p>
    <w:p>
      <w:pPr>
        <w:spacing w:before="0" w:after="3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36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120"/>
        <w:jc w:val="center"/>
      </w:pPr>
      <w:r>
        <w:rPr>
          <w:rFonts w:ascii="Calibri Light" w:hAnsi="Calibri Light"/>
          <w:b w:val="0"/>
          <w:i w:val="0"/>
          <w:color w:val="333333"/>
          <w:sz w:val="32"/>
        </w:rPr>
        <w:t>3 billion Qualcomm SoCs shipped per year.</w:t>
      </w:r>
    </w:p>
    <w:p>
      <w:pPr>
        <w:spacing w:before="0" w:after="600"/>
        <w:jc w:val="center"/>
      </w:pPr>
      <w:r>
        <w:rPr>
          <w:rFonts w:ascii="Calibri Light" w:hAnsi="Calibri Light"/>
          <w:b w:val="0"/>
          <w:i w:val="0"/>
          <w:color w:val="333333"/>
          <w:sz w:val="32"/>
        </w:rPr>
        <w:t>Zero unified developer platform.</w:t>
      </w:r>
    </w:p>
    <w:p>
      <w:pPr>
        <w:spacing w:before="0" w:after="720"/>
        <w:jc w:val="center"/>
      </w:pPr>
      <w:r>
        <w:rPr>
          <w:rFonts w:ascii="Calibri Light" w:hAnsi="Calibri Light"/>
          <w:b w:val="0"/>
          <w:i/>
          <w:color w:val="3253DC"/>
          <w:sz w:val="28"/>
        </w:rPr>
        <w:t>QUAD makes Qualcomm the default choice for on-device AI development.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7937"/>
            <w:shd w:fill="1A1A2E"/>
          </w:tcPr>
          <w:p>
            <w:pPr>
              <w:spacing w:before="320" w:after="320"/>
              <w:jc w:val="center"/>
            </w:pPr>
            <w:r/>
            <w:r>
              <w:rPr>
                <w:rFonts w:ascii="Calibri" w:hAnsi="Calibri"/>
                <w:b/>
                <w:color w:val="6CE06C"/>
                <w:sz w:val="26"/>
              </w:rPr>
              <w:t>pip install qualcomm-ai-toolkit &amp;&amp; quad quickstart</w:t>
            </w:r>
          </w:p>
        </w:tc>
      </w:tr>
    </w:tbl>
    <w:p>
      <w:pPr>
        <w:spacing w:before="0" w:after="480"/>
        <w:jc w:val="left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0" w:after="720"/>
        <w:jc w:val="center"/>
      </w:pPr>
      <w:r>
        <w:rPr>
          <w:rFonts w:ascii="Calibri" w:hAnsi="Calibri"/>
          <w:b w:val="0"/>
          <w:i w:val="0"/>
          <w:color w:val="666666"/>
          <w:sz w:val="24"/>
        </w:rPr>
        <w:t>Demo available:  ./install.sh &amp;&amp; ./launch.sh</w:t>
      </w:r>
    </w:p>
    <w:p>
      <w:pPr>
        <w:spacing w:after="360"/>
        <w:jc w:val="center"/>
      </w:pPr>
      <w:r>
        <w:rPr>
          <w:color w:val="DDDDDD"/>
          <w:sz w:val="16"/>
        </w:rPr>
        <w:t>____________________________________________________________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999999"/>
          <w:sz w:val="20"/>
        </w:rPr>
        <w:t>QUAD  |  Qualcomm Internal  |  May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