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K_Logo_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0"/>
        <w:jc w:val="center"/>
      </w:pPr>
      <w:r>
        <w:rPr>
          <w:rFonts w:ascii="Segoe UI" w:hAnsi="Segoe UI"/>
          <w:b/>
          <w:color w:val="1B3A5F"/>
          <w:sz w:val="72"/>
        </w:rPr>
        <w:t>Saml ordrer og tilskriv gebyrer</w:t>
      </w:r>
    </w:p>
    <w:p>
      <w:pPr>
        <w:jc w:val="center"/>
      </w:pPr>
      <w:r>
        <w:rPr>
          <w:color w:val="00A5A8"/>
          <w:sz w:val="28"/>
        </w:rPr>
        <w:t>──────────────────────────────</w:t>
      </w:r>
    </w:p>
    <w:p>
      <w:pPr>
        <w:spacing w:before="2000"/>
        <w:jc w:val="center"/>
      </w:pPr>
      <w:r>
        <w:rPr>
          <w:rFonts w:ascii="Calibri" w:hAnsi="Calibri"/>
          <w:color w:val="808080"/>
          <w:sz w:val="22"/>
        </w:rPr>
        <w:t>14. February 2026</w:t>
      </w:r>
    </w:p>
    <w:p>
      <w:r>
        <w:br w:type="page"/>
      </w:r>
    </w:p>
    <w:p>
      <w:pPr>
        <w:pStyle w:val="Heading1"/>
      </w:pPr>
      <w:r>
        <w:t>Saml ordrer og tilskriv gebyrer</w:t>
      </w:r>
    </w:p>
    <w:p>
      <w:pPr/>
      <w:r>
        <w:rPr>
          <w:b/>
        </w:rPr>
        <w:t>Kilde:</w:t>
      </w:r>
      <w:r>
        <w:t xml:space="preserve"> </w:t>
      </w:r>
      <w:r>
        <w:rPr>
          <w:rFonts w:ascii="Cascadia Code" w:hAnsi="Cascadia Code"/>
          <w:color w:val="00A5A8"/>
          <w:sz w:val="20"/>
        </w:rPr>
        <w:t>src/Sales/OrderHandling/CombineLinesAddCharge.Report.al</w:t>
      </w:r>
    </w:p>
    <w:p>
      <w:pPr/>
      <w:r>
        <w:t xml:space="preserve">Denne rapport udfører </w:t>
      </w:r>
      <w:r>
        <w:rPr>
          <w:b/>
        </w:rPr>
        <w:t>to ting</w:t>
      </w:r>
      <w:r>
        <w:t xml:space="preserve"> i rækkefølge:</w:t>
      </w:r>
    </w:p>
    <w:p>
      <w:pPr>
        <w:pStyle w:val="Heading2"/>
      </w:pPr>
      <w:r>
        <w:t>1. Samler flere salgsordrer til én pr. debitor</w:t>
      </w:r>
    </w:p>
    <w:p>
      <w:pPr/>
      <w:r>
        <w:t xml:space="preserve">Hvis en debitor har </w:t>
      </w:r>
      <w:r>
        <w:rPr>
          <w:b/>
        </w:rPr>
        <w:t>flere salgsordrer</w:t>
      </w:r>
      <w:r>
        <w:t xml:space="preserve"> med samme </w:t>
      </w:r>
      <w:r>
        <w:rPr>
          <w:b/>
        </w:rPr>
        <w:t>leveringsdato</w:t>
      </w:r>
      <w:r>
        <w:t xml:space="preserve">, samler rapporten dem. Den tager den </w:t>
      </w:r>
      <w:r>
        <w:rPr>
          <w:b/>
        </w:rPr>
        <w:t>første ordre</w:t>
      </w:r>
      <w:r>
        <w:t xml:space="preserve"> for hver debitor og flytter alle linjer fra de øvrige ordrer ind i den første. Det undgår, at flere små ordrer sendes separat til samme debitor på samme dag.</w:t>
      </w:r>
    </w:p>
    <w:p>
      <w:pPr>
        <w:pStyle w:val="ListBullet"/>
        <w:ind w:left="283"/>
      </w:pPr>
      <w:r>
        <w:t xml:space="preserve">Kun ordrer der </w:t>
      </w:r>
      <w:r>
        <w:rPr>
          <w:b/>
        </w:rPr>
        <w:t>ikke</w:t>
      </w:r>
      <w:r>
        <w:t xml:space="preserve"> er markeret som "Særskilt ordre" medtages (så specielle ordrer forbliver uændrede).</w:t>
      </w:r>
    </w:p>
    <w:p>
      <w:pPr>
        <w:pStyle w:val="Heading2"/>
      </w:pPr>
      <w:r>
        <w:t>2. Tilskriver gebyr på små ordrer</w:t>
      </w:r>
    </w:p>
    <w:p>
      <w:pPr/>
      <w:r>
        <w:t xml:space="preserve">Efter samlingen kigger rapporten på debitorer, der er markeret med </w:t>
      </w:r>
      <w:r>
        <w:rPr>
          <w:b/>
        </w:rPr>
        <w:t>"Gebyr på små ordrer" = Ja</w:t>
      </w:r>
      <w:r>
        <w:t xml:space="preserve">. For disse debitorer tjekker den, om det </w:t>
      </w:r>
      <w:r>
        <w:rPr>
          <w:b/>
        </w:rPr>
        <w:t>samlede ordrebeløb er under en beløbsgrænse</w:t>
      </w:r>
      <w:r>
        <w:t xml:space="preserve">, som du angiver. Hvis det er tilfældet, tilføjer rapporten automatisk en </w:t>
      </w:r>
      <w:r>
        <w:rPr>
          <w:b/>
        </w:rPr>
        <w:t>gebyr-vare</w:t>
      </w:r>
      <w:r>
        <w:t xml:space="preserve"> (et gebyrgebyr-linje) til ordren.</w:t>
      </w:r>
    </w:p>
    <w:p>
      <w:pPr/>
      <w:r>
        <w:t xml:space="preserve">Tænk på det som: </w:t>
      </w:r>
      <w:r>
        <w:rPr>
          <w:i/>
        </w:rPr>
        <w:t>"Hvis en debitors ordre er for lille, tilskriv et gebyr."</w:t>
      </w:r>
    </w:p>
    <w:p>
      <w:pPr>
        <w:pStyle w:val="Heading2"/>
      </w:pPr>
      <w:r>
        <w:t>Hvad du udfylder, når du kører rapporten</w:t>
      </w:r>
    </w:p>
    <w:p>
      <w:pPr>
        <w:pStyle w:val="ListBullet"/>
        <w:ind w:left="283"/>
      </w:pPr>
      <w:r>
        <w:rPr>
          <w:b/>
        </w:rPr>
        <w:t>Leveringsdato</w:t>
      </w:r>
      <w:r>
        <w:t xml:space="preserve"> - Hvilken dato's ordrer skal behandles (skal være i dag eller senere)</w:t>
      </w:r>
    </w:p>
    <w:p>
      <w:pPr>
        <w:pStyle w:val="ListBullet"/>
        <w:ind w:left="283"/>
      </w:pPr>
      <w:r>
        <w:rPr>
          <w:b/>
        </w:rPr>
        <w:t>Beløbsgrænse</w:t>
      </w:r>
      <w:r>
        <w:t xml:space="preserve"> - Minimumsbeløb for ordren; ordrer under dette beløb får tilskrevet et gebyr</w:t>
      </w:r>
    </w:p>
    <w:p>
      <w:pPr>
        <w:pStyle w:val="ListBullet"/>
        <w:ind w:left="283"/>
      </w:pPr>
      <w:r>
        <w:rPr>
          <w:b/>
        </w:rPr>
        <w:t>Gebyr-vare</w:t>
      </w:r>
      <w:r>
        <w:t xml:space="preserve"> - Hvilket varenummer der repræsenterer gebyret (f.eks. en "Småordre-gebyr"-vare)</w:t>
      </w:r>
    </w:p>
    <w:p>
      <w:pPr>
        <w:pStyle w:val="Heading2"/>
      </w:pPr>
      <w:r>
        <w:t>Kort sagt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left w:val="single" w:sz="24" w:color="00A5A8"/>
            </w:tcBorders>
            <w:shd w:fill="F0F4F8"/>
          </w:tcPr>
          <w:p>
            <w:pPr>
              <w:ind w:left="170"/>
            </w:pPr>
            <w:r>
              <w:rPr>
                <w:i/>
                <w:color w:val="333333"/>
              </w:rPr>
              <w:t>"Tag alle ordrer for den valgte dato, saml flere ordrer pr. debitor til én, og hvis den samlede ordre stadig er for lille, tilskriv et gebyr."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CCCCCC"/>
      </w:pBdr>
    </w:pPr>
    <w:r>
      <w:rPr>
        <w:color w:val="808080"/>
        <w:sz w:val="18"/>
      </w:rPr>
      <w:t xml:space="preserve">Fich &amp; Kretzmann  |  </w:t>
    </w:r>
    <w:r>
      <w:rPr>
        <w:color w:val="808080"/>
        <w:sz w:val="18"/>
      </w:rPr>
      <w:t xml:space="preserve">Side </w:t>
    </w:r>
    <w:r>
      <w:rPr>
        <w:color w:val="808080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2160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731520" cy="7315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K_Logo_Squar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7315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</w:tcPr>
        <w:p>
          <w:pPr>
            <w:spacing w:after="0"/>
            <w:jc w:val="right"/>
          </w:pPr>
          <w:r>
            <w:rPr>
              <w:rFonts w:ascii="Segoe UI" w:hAnsi="Segoe UI"/>
              <w:color w:val="808080"/>
              <w:sz w:val="18"/>
            </w:rPr>
            <w:t>Saml ordrer og tilskriv gebyrer</w:t>
          </w:r>
        </w:p>
      </w:tc>
    </w:tr>
  </w:tbl>
  <w:p>
    <w:pPr>
      <w:spacing w:before="0" w:after="0"/>
      <w:pBdr>
        <w:bottom w:val="single" w:sz="12" w:color="00A5A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B3A5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0A5A8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B3A5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Segoe UI" w:hAnsi="Segoe UI"/>
      <w:b/>
      <w:bCs/>
      <w:i w:val="0"/>
      <w:iCs/>
      <w:color w:val="008B8E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Segoe UI" w:hAnsi="Segoe UI"/>
      <w:b/>
      <w:i w:val="0"/>
      <w:color w:val="333333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/>
      <w:outlineLvl w:val="5"/>
    </w:pPr>
    <w:rPr>
      <w:rFonts w:asciiTheme="majorHAnsi" w:eastAsiaTheme="majorEastAsia" w:hAnsiTheme="majorHAnsi" w:cstheme="majorBidi" w:ascii="Segoe UI" w:hAnsi="Segoe UI"/>
      <w:b/>
      <w:i/>
      <w:iCs/>
      <w:color w:val="8080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60" w:after="160"/>
      <w:ind w:left="283"/>
    </w:pPr>
    <w:rPr>
      <w:rFonts w:ascii="Cascadia Code" w:hAnsi="Cascadia Code"/>
      <w:color w:val="333333"/>
      <w:sz w:val="20"/>
    </w:rPr>
  </w:style>
  <w:style w:type="character" w:customStyle="1" w:styleId="CodeChar">
    <w:name w:val="Code Char"/>
    <w:rPr>
      <w:rFonts w:ascii="Cascadia Code" w:hAnsi="Cascadia Code"/>
      <w:color w:val="00A5A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