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3B497" w14:textId="27868300" w:rsidR="00124121" w:rsidRPr="00E562E1" w:rsidRDefault="00BF429B" w:rsidP="3A017462">
      <w:pPr>
        <w:pStyle w:val="Header"/>
        <w:tabs>
          <w:tab w:val="clear" w:pos="4680"/>
          <w:tab w:val="clear" w:pos="9360"/>
          <w:tab w:val="left" w:pos="6946"/>
        </w:tabs>
        <w:rPr>
          <w:rFonts w:asciiTheme="minorBidi" w:hAnsiTheme="minorBidi"/>
          <w:b/>
          <w:bCs/>
          <w:color w:val="153D63" w:themeColor="text2" w:themeTint="E6"/>
        </w:rPr>
      </w:pPr>
      <w:r w:rsidRPr="00E562E1">
        <w:rPr>
          <w:rFonts w:asciiTheme="minorBidi" w:hAnsiTheme="minorBidi"/>
          <w:b/>
          <w:bCs/>
          <w:noProof/>
          <w:color w:val="156082" w:themeColor="accent1"/>
          <w:sz w:val="22"/>
          <w:szCs w:val="22"/>
        </w:rPr>
        <mc:AlternateContent>
          <mc:Choice Requires="wps">
            <w:drawing>
              <wp:anchor distT="0" distB="0" distL="114300" distR="114300" simplePos="0" relativeHeight="251658240" behindDoc="1" locked="0" layoutInCell="1" allowOverlap="1" wp14:anchorId="7773C0D9" wp14:editId="1267DDF3">
                <wp:simplePos x="0" y="0"/>
                <wp:positionH relativeFrom="page">
                  <wp:align>left</wp:align>
                </wp:positionH>
                <wp:positionV relativeFrom="paragraph">
                  <wp:posOffset>-175895</wp:posOffset>
                </wp:positionV>
                <wp:extent cx="8530590" cy="1007110"/>
                <wp:effectExtent l="0" t="0" r="3810" b="2540"/>
                <wp:wrapNone/>
                <wp:docPr id="1119744916" name="Rectangle 1"/>
                <wp:cNvGraphicFramePr/>
                <a:graphic xmlns:a="http://schemas.openxmlformats.org/drawingml/2006/main">
                  <a:graphicData uri="http://schemas.microsoft.com/office/word/2010/wordprocessingShape">
                    <wps:wsp>
                      <wps:cNvSpPr/>
                      <wps:spPr>
                        <a:xfrm>
                          <a:off x="0" y="0"/>
                          <a:ext cx="8530590" cy="1007110"/>
                        </a:xfrm>
                        <a:prstGeom prst="rect">
                          <a:avLst/>
                        </a:prstGeom>
                        <a:solidFill>
                          <a:srgbClr val="A1D8E7"/>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tbl>
                            <w:tblPr>
                              <w:tblW w:w="0" w:type="auto"/>
                              <w:tblInd w:w="7737" w:type="dxa"/>
                              <w:tblCellMar>
                                <w:left w:w="10" w:type="dxa"/>
                                <w:right w:w="10" w:type="dxa"/>
                              </w:tblCellMar>
                              <w:tblLook w:val="04A0" w:firstRow="1" w:lastRow="0" w:firstColumn="1" w:lastColumn="0" w:noHBand="0" w:noVBand="1"/>
                            </w:tblPr>
                            <w:tblGrid>
                              <w:gridCol w:w="4253"/>
                            </w:tblGrid>
                            <w:tr w:rsidR="00660557" w:rsidRPr="007A0D0C" w14:paraId="11FE6352" w14:textId="77777777" w:rsidTr="00660557">
                              <w:trPr>
                                <w:trHeight w:val="317"/>
                              </w:trPr>
                              <w:tc>
                                <w:tcPr>
                                  <w:tcW w:w="4253" w:type="dxa"/>
                                </w:tcPr>
                                <w:p w14:paraId="4D3C00FA" w14:textId="77777777" w:rsidR="00BD701C" w:rsidRPr="007A0D0C" w:rsidRDefault="00943858" w:rsidP="00660557">
                                  <w:pPr>
                                    <w:spacing w:before="120" w:after="120"/>
                                    <w:ind w:left="37"/>
                                    <w:rPr>
                                      <w:rFonts w:ascii="Arial" w:hAnsi="Arial" w:cs="Arial"/>
                                      <w:color w:val="156082" w:themeColor="accent1"/>
                                      <w:sz w:val="15"/>
                                      <w:szCs w:val="15"/>
                                    </w:rPr>
                                  </w:pPr>
                                  <w:r w:rsidRPr="007A0D0C">
                                    <w:rPr>
                                      <w:rFonts w:ascii="Arial" w:hAnsi="Arial" w:cs="Arial"/>
                                      <w:color w:val="156082" w:themeColor="accent1"/>
                                      <w:sz w:val="15"/>
                                      <w:szCs w:val="15"/>
                                    </w:rPr>
                                    <w:t>Global SDG Synthesis Coalition (</w:t>
                                  </w:r>
                                  <w:r>
                                    <w:rPr>
                                      <w:rFonts w:ascii="Arial" w:hAnsi="Arial" w:cs="Arial"/>
                                      <w:color w:val="156082" w:themeColor="accent1"/>
                                      <w:sz w:val="15"/>
                                      <w:szCs w:val="15"/>
                                    </w:rPr>
                                    <w:t>GSDGSC)</w:t>
                                  </w:r>
                                </w:p>
                              </w:tc>
                            </w:tr>
                            <w:tr w:rsidR="00660557" w:rsidRPr="00A212C1" w14:paraId="75A2A556" w14:textId="77777777" w:rsidTr="00660557">
                              <w:trPr>
                                <w:trHeight w:val="331"/>
                              </w:trPr>
                              <w:tc>
                                <w:tcPr>
                                  <w:tcW w:w="4253" w:type="dxa"/>
                                </w:tcPr>
                                <w:p w14:paraId="6734F4DD" w14:textId="77777777" w:rsidR="00BD701C" w:rsidRPr="00A212C1" w:rsidRDefault="00943858"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Building a Global Evidence Synthesis Community</w:t>
                                  </w:r>
                                  <w:r>
                                    <w:rPr>
                                      <w:rFonts w:ascii="Arial" w:hAnsi="Arial" w:cs="Arial"/>
                                      <w:color w:val="156082" w:themeColor="accent1"/>
                                      <w:sz w:val="15"/>
                                      <w:szCs w:val="15"/>
                                    </w:rPr>
                                    <w:t xml:space="preserve"> (BGESC)</w:t>
                                  </w:r>
                                </w:p>
                              </w:tc>
                            </w:tr>
                            <w:tr w:rsidR="00660557" w:rsidRPr="00A212C1" w14:paraId="5779A2A0" w14:textId="77777777" w:rsidTr="00660557">
                              <w:trPr>
                                <w:trHeight w:val="317"/>
                              </w:trPr>
                              <w:tc>
                                <w:tcPr>
                                  <w:tcW w:w="4253" w:type="dxa"/>
                                </w:tcPr>
                                <w:p w14:paraId="7BADD963" w14:textId="77777777" w:rsidR="00BD701C" w:rsidRPr="00A212C1" w:rsidRDefault="00943858"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Pan-African Collective for Evidence (PACE)</w:t>
                                  </w:r>
                                </w:p>
                              </w:tc>
                            </w:tr>
                            <w:tr w:rsidR="00660557" w:rsidRPr="00A212C1" w14:paraId="487768F8" w14:textId="77777777" w:rsidTr="00660557">
                              <w:trPr>
                                <w:trHeight w:val="317"/>
                              </w:trPr>
                              <w:tc>
                                <w:tcPr>
                                  <w:tcW w:w="4253" w:type="dxa"/>
                                </w:tcPr>
                                <w:p w14:paraId="7060B11C" w14:textId="77777777" w:rsidR="00BD701C" w:rsidRPr="00A212C1" w:rsidRDefault="00943858"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Center for Rapid Evidence Synthesis</w:t>
                                  </w:r>
                                  <w:r>
                                    <w:rPr>
                                      <w:rFonts w:ascii="Arial" w:hAnsi="Arial" w:cs="Arial"/>
                                      <w:color w:val="156082" w:themeColor="accent1"/>
                                      <w:sz w:val="15"/>
                                      <w:szCs w:val="15"/>
                                    </w:rPr>
                                    <w:t xml:space="preserve"> (ACRES)</w:t>
                                  </w:r>
                                </w:p>
                              </w:tc>
                            </w:tr>
                          </w:tbl>
                          <w:p w14:paraId="2802DE38" w14:textId="77777777" w:rsidR="00BD701C" w:rsidRDefault="00BD701C" w:rsidP="006E5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3C0D9" id="Rectangle 1" o:spid="_x0000_s1026" style="position:absolute;margin-left:0;margin-top:-13.85pt;width:671.7pt;height:79.3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" fillcolor="#a1d8e7" stroked="f" strokeweight="1pt">
                <v:textbox>
                  <w:txbxContent>
                    <w:tbl>
                      <w:tblPr>
                        <w:tblW w:w="0" w:type="auto"/>
                        <w:tblInd w:w="7737" w:type="dxa"/>
                        <w:tblCellMar>
                          <w:left w:w="10" w:type="dxa"/>
                          <w:right w:w="10" w:type="dxa"/>
                        </w:tblCellMar>
                        <w:tblLook w:val="04A0" w:firstRow="1" w:lastRow="0" w:firstColumn="1" w:lastColumn="0" w:noHBand="0" w:noVBand="1"/>
                      </w:tblPr>
                      <w:tblGrid>
                        <w:gridCol w:w="4253"/>
                      </w:tblGrid>
                      <w:tr w:rsidR="00660557" w:rsidRPr="007A0D0C" w14:paraId="11FE6352" w14:textId="77777777" w:rsidTr="00660557">
                        <w:trPr>
                          <w:trHeight w:val="317"/>
                        </w:trPr>
                        <w:tc>
                          <w:tcPr>
                            <w:tcW w:w="4253" w:type="dxa"/>
                          </w:tcPr>
                          <w:p w14:paraId="4D3C00FA" w14:textId="77777777" w:rsidR="00BD701C" w:rsidRPr="007A0D0C" w:rsidRDefault="00943858" w:rsidP="00660557">
                            <w:pPr>
                              <w:spacing w:before="120" w:after="120"/>
                              <w:ind w:left="37"/>
                              <w:rPr>
                                <w:rFonts w:ascii="Arial" w:hAnsi="Arial" w:cs="Arial"/>
                                <w:color w:val="156082" w:themeColor="accent1"/>
                                <w:sz w:val="15"/>
                                <w:szCs w:val="15"/>
                              </w:rPr>
                            </w:pPr>
                            <w:r w:rsidRPr="007A0D0C">
                              <w:rPr>
                                <w:rFonts w:ascii="Arial" w:hAnsi="Arial" w:cs="Arial"/>
                                <w:color w:val="156082" w:themeColor="accent1"/>
                                <w:sz w:val="15"/>
                                <w:szCs w:val="15"/>
                              </w:rPr>
                              <w:t>Global SDG Synthesis Coalition (</w:t>
                            </w:r>
                            <w:r>
                              <w:rPr>
                                <w:rFonts w:ascii="Arial" w:hAnsi="Arial" w:cs="Arial"/>
                                <w:color w:val="156082" w:themeColor="accent1"/>
                                <w:sz w:val="15"/>
                                <w:szCs w:val="15"/>
                              </w:rPr>
                              <w:t>GSDGSC)</w:t>
                            </w:r>
                          </w:p>
                        </w:tc>
                      </w:tr>
                      <w:tr w:rsidR="00660557" w:rsidRPr="00A212C1" w14:paraId="75A2A556" w14:textId="77777777" w:rsidTr="00660557">
                        <w:trPr>
                          <w:trHeight w:val="331"/>
                        </w:trPr>
                        <w:tc>
                          <w:tcPr>
                            <w:tcW w:w="4253" w:type="dxa"/>
                          </w:tcPr>
                          <w:p w14:paraId="6734F4DD" w14:textId="77777777" w:rsidR="00BD701C" w:rsidRPr="00A212C1" w:rsidRDefault="00943858"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Building a Global Evidence Synthesis Community</w:t>
                            </w:r>
                            <w:r>
                              <w:rPr>
                                <w:rFonts w:ascii="Arial" w:hAnsi="Arial" w:cs="Arial"/>
                                <w:color w:val="156082" w:themeColor="accent1"/>
                                <w:sz w:val="15"/>
                                <w:szCs w:val="15"/>
                              </w:rPr>
                              <w:t xml:space="preserve"> (BGESC)</w:t>
                            </w:r>
                          </w:p>
                        </w:tc>
                      </w:tr>
                      <w:tr w:rsidR="00660557" w:rsidRPr="00A212C1" w14:paraId="5779A2A0" w14:textId="77777777" w:rsidTr="00660557">
                        <w:trPr>
                          <w:trHeight w:val="317"/>
                        </w:trPr>
                        <w:tc>
                          <w:tcPr>
                            <w:tcW w:w="4253" w:type="dxa"/>
                          </w:tcPr>
                          <w:p w14:paraId="7BADD963" w14:textId="77777777" w:rsidR="00BD701C" w:rsidRPr="00A212C1" w:rsidRDefault="00943858"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Pan-African Collective for Evidence (PACE)</w:t>
                            </w:r>
                          </w:p>
                        </w:tc>
                      </w:tr>
                      <w:tr w:rsidR="00660557" w:rsidRPr="00A212C1" w14:paraId="487768F8" w14:textId="77777777" w:rsidTr="00660557">
                        <w:trPr>
                          <w:trHeight w:val="317"/>
                        </w:trPr>
                        <w:tc>
                          <w:tcPr>
                            <w:tcW w:w="4253" w:type="dxa"/>
                          </w:tcPr>
                          <w:p w14:paraId="7060B11C" w14:textId="77777777" w:rsidR="00BD701C" w:rsidRPr="00A212C1" w:rsidRDefault="00943858"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Center for Rapid Evidence Synthesis</w:t>
                            </w:r>
                            <w:r>
                              <w:rPr>
                                <w:rFonts w:ascii="Arial" w:hAnsi="Arial" w:cs="Arial"/>
                                <w:color w:val="156082" w:themeColor="accent1"/>
                                <w:sz w:val="15"/>
                                <w:szCs w:val="15"/>
                              </w:rPr>
                              <w:t xml:space="preserve"> (ACRES)</w:t>
                            </w:r>
                          </w:p>
                        </w:tc>
                      </w:tr>
                    </w:tbl>
                    <w:p w14:paraId="2802DE38" w14:textId="77777777" w:rsidR="00BD701C" w:rsidRDefault="00BD701C" w:rsidP="006E5D11">
                      <w:pPr>
                        <w:jc w:val="center"/>
                      </w:pPr>
                    </w:p>
                  </w:txbxContent>
                </v:textbox>
                <w10:wrap anchorx="page"/>
              </v:rect>
            </w:pict>
          </mc:Fallback>
        </mc:AlternateContent>
      </w:r>
      <w:r w:rsidR="00124121" w:rsidRPr="3A017462">
        <w:rPr>
          <w:rFonts w:asciiTheme="minorBidi" w:hAnsiTheme="minorBidi"/>
          <w:b/>
          <w:bCs/>
          <w:color w:val="153D63" w:themeColor="text2" w:themeTint="E6"/>
          <w:sz w:val="22"/>
          <w:szCs w:val="22"/>
        </w:rPr>
        <w:t>E</w:t>
      </w:r>
      <w:r w:rsidR="00124121" w:rsidRPr="3A017462">
        <w:rPr>
          <w:rFonts w:asciiTheme="minorBidi" w:hAnsiTheme="minorBidi"/>
          <w:b/>
          <w:bCs/>
          <w:color w:val="153D63" w:themeColor="text2" w:themeTint="E6"/>
        </w:rPr>
        <w:t xml:space="preserve">vidence Synthesis Infrastructure </w:t>
      </w:r>
    </w:p>
    <w:p w14:paraId="15768282" w14:textId="4B7DBE12" w:rsidR="00CF350A" w:rsidRDefault="00124121" w:rsidP="3A017462">
      <w:pPr>
        <w:pStyle w:val="Header"/>
        <w:tabs>
          <w:tab w:val="clear" w:pos="4680"/>
          <w:tab w:val="clear" w:pos="9360"/>
          <w:tab w:val="center" w:pos="4253"/>
          <w:tab w:val="right" w:pos="9923"/>
        </w:tabs>
        <w:rPr>
          <w:rFonts w:asciiTheme="minorBidi" w:hAnsiTheme="minorBidi"/>
          <w:b/>
          <w:bCs/>
          <w:color w:val="153D63" w:themeColor="text2" w:themeTint="E6"/>
        </w:rPr>
      </w:pPr>
      <w:r w:rsidRPr="3A017462">
        <w:rPr>
          <w:rFonts w:asciiTheme="minorBidi" w:hAnsiTheme="minorBidi"/>
          <w:b/>
          <w:bCs/>
          <w:color w:val="153D63" w:themeColor="text2" w:themeTint="E6"/>
        </w:rPr>
        <w:t xml:space="preserve">Collaborative (ESIC) </w:t>
      </w:r>
      <w:r w:rsidR="0089382C" w:rsidRPr="3A017462">
        <w:rPr>
          <w:rFonts w:asciiTheme="minorBidi" w:hAnsiTheme="minorBidi"/>
          <w:b/>
          <w:bCs/>
          <w:color w:val="153D63" w:themeColor="text2" w:themeTint="E6"/>
        </w:rPr>
        <w:t>p</w:t>
      </w:r>
      <w:r w:rsidRPr="3A017462">
        <w:rPr>
          <w:rFonts w:asciiTheme="minorBidi" w:hAnsiTheme="minorBidi"/>
          <w:b/>
          <w:bCs/>
          <w:color w:val="153D63" w:themeColor="text2" w:themeTint="E6"/>
        </w:rPr>
        <w:t xml:space="preserve">lanning </w:t>
      </w:r>
      <w:r w:rsidR="0089382C" w:rsidRPr="3A017462">
        <w:rPr>
          <w:rFonts w:asciiTheme="minorBidi" w:hAnsiTheme="minorBidi"/>
          <w:b/>
          <w:bCs/>
          <w:color w:val="153D63" w:themeColor="text2" w:themeTint="E6"/>
        </w:rPr>
        <w:t>p</w:t>
      </w:r>
      <w:r w:rsidRPr="3A017462">
        <w:rPr>
          <w:rFonts w:asciiTheme="minorBidi" w:hAnsiTheme="minorBidi"/>
          <w:b/>
          <w:bCs/>
          <w:color w:val="153D63" w:themeColor="text2" w:themeTint="E6"/>
        </w:rPr>
        <w:t>rocess</w:t>
      </w:r>
      <w:r w:rsidR="00CF350A" w:rsidRPr="3A017462">
        <w:rPr>
          <w:rFonts w:asciiTheme="minorBidi" w:hAnsiTheme="minorBidi"/>
          <w:b/>
          <w:bCs/>
          <w:color w:val="153D63" w:themeColor="text2" w:themeTint="E6"/>
        </w:rPr>
        <w:t>:</w:t>
      </w:r>
    </w:p>
    <w:p w14:paraId="4149EA82" w14:textId="5E8F19DC" w:rsidR="00124121" w:rsidRPr="00CF350A" w:rsidRDefault="001247D9" w:rsidP="00DD372E">
      <w:pPr>
        <w:pStyle w:val="Header"/>
        <w:tabs>
          <w:tab w:val="clear" w:pos="4680"/>
          <w:tab w:val="clear" w:pos="9360"/>
          <w:tab w:val="center" w:pos="4253"/>
          <w:tab w:val="right" w:pos="9923"/>
        </w:tabs>
        <w:rPr>
          <w:rFonts w:asciiTheme="minorBidi" w:hAnsiTheme="minorBidi"/>
          <w:color w:val="156082" w:themeColor="accent1"/>
          <w:sz w:val="20"/>
          <w:szCs w:val="20"/>
        </w:rPr>
      </w:pPr>
      <w:r>
        <w:rPr>
          <w:rFonts w:asciiTheme="minorBidi" w:hAnsiTheme="minorBidi"/>
          <w:color w:val="153D63" w:themeColor="text2" w:themeTint="E6"/>
        </w:rPr>
        <w:t>Interim Report</w:t>
      </w:r>
      <w:r w:rsidR="00124121" w:rsidRPr="00CF350A">
        <w:rPr>
          <w:rFonts w:asciiTheme="minorBidi" w:hAnsiTheme="minorBidi"/>
          <w:color w:val="156082" w:themeColor="accent1"/>
          <w:sz w:val="32"/>
          <w:szCs w:val="32"/>
        </w:rPr>
        <w:br/>
      </w:r>
    </w:p>
    <w:p w14:paraId="34850423" w14:textId="6DD46A52" w:rsidR="00124121" w:rsidRPr="00E562E1" w:rsidRDefault="00124121" w:rsidP="00A103B6">
      <w:pPr>
        <w:pStyle w:val="Header"/>
        <w:tabs>
          <w:tab w:val="clear" w:pos="4680"/>
          <w:tab w:val="clear" w:pos="9360"/>
          <w:tab w:val="center" w:pos="4111"/>
          <w:tab w:val="left" w:pos="9356"/>
        </w:tabs>
        <w:rPr>
          <w:rFonts w:asciiTheme="minorBidi" w:hAnsiTheme="minorBidi"/>
          <w:b/>
          <w:bCs/>
          <w:color w:val="156082" w:themeColor="accent1"/>
          <w:sz w:val="16"/>
          <w:szCs w:val="16"/>
        </w:rPr>
      </w:pPr>
    </w:p>
    <w:p w14:paraId="5F4117F0" w14:textId="77777777" w:rsidR="000960BB" w:rsidRPr="00E562E1" w:rsidRDefault="000960BB" w:rsidP="00A103B6">
      <w:pPr>
        <w:pStyle w:val="Header"/>
        <w:tabs>
          <w:tab w:val="clear" w:pos="4680"/>
          <w:tab w:val="clear" w:pos="9360"/>
          <w:tab w:val="center" w:pos="4111"/>
          <w:tab w:val="left" w:pos="9356"/>
        </w:tabs>
        <w:rPr>
          <w:rFonts w:asciiTheme="minorBidi" w:hAnsiTheme="minorBidi"/>
          <w:b/>
          <w:bCs/>
          <w:color w:val="156082" w:themeColor="accent1"/>
          <w:sz w:val="16"/>
          <w:szCs w:val="16"/>
        </w:rPr>
      </w:pPr>
    </w:p>
    <w:tbl>
      <w:tblPr>
        <w:tblStyle w:val="TableGrid"/>
        <w:tblW w:w="10321" w:type="dxa"/>
        <w:tblBorders>
          <w:top w:val="none" w:sz="0" w:space="0" w:color="auto"/>
          <w:left w:val="single" w:sz="12" w:space="0" w:color="153D63" w:themeColor="text2" w:themeTint="E6"/>
          <w:bottom w:val="none" w:sz="0" w:space="0" w:color="auto"/>
          <w:right w:val="none" w:sz="0" w:space="0" w:color="auto"/>
          <w:insideH w:val="single" w:sz="18" w:space="0" w:color="153D63" w:themeColor="text2" w:themeTint="E6"/>
          <w:insideV w:val="single" w:sz="12" w:space="0" w:color="153D63" w:themeColor="text2" w:themeTint="E6"/>
        </w:tblBorders>
        <w:tblLook w:val="04A0" w:firstRow="1" w:lastRow="0" w:firstColumn="1" w:lastColumn="0" w:noHBand="0" w:noVBand="1"/>
      </w:tblPr>
      <w:tblGrid>
        <w:gridCol w:w="2962"/>
        <w:gridCol w:w="2609"/>
        <w:gridCol w:w="2591"/>
        <w:gridCol w:w="2159"/>
      </w:tblGrid>
      <w:tr w:rsidR="001247D9" w:rsidRPr="00E562E1" w14:paraId="02FB94DC" w14:textId="77777777" w:rsidTr="00657361">
        <w:tc>
          <w:tcPr>
            <w:tcW w:w="2962" w:type="dxa"/>
          </w:tcPr>
          <w:p w14:paraId="609639D8" w14:textId="77777777" w:rsidR="001247D9" w:rsidRPr="006F5431" w:rsidRDefault="001247D9" w:rsidP="00657361">
            <w:pPr>
              <w:rPr>
                <w:rFonts w:asciiTheme="minorBidi" w:hAnsiTheme="minorBidi"/>
                <w:color w:val="156082" w:themeColor="accent1"/>
                <w:sz w:val="18"/>
                <w:szCs w:val="18"/>
              </w:rPr>
            </w:pPr>
            <w:r w:rsidRPr="006F5431">
              <w:rPr>
                <w:rFonts w:asciiTheme="minorBidi" w:hAnsiTheme="minorBidi"/>
                <w:color w:val="156082" w:themeColor="accent1"/>
                <w:sz w:val="18"/>
                <w:szCs w:val="18"/>
              </w:rPr>
              <w:t xml:space="preserve">Working </w:t>
            </w:r>
            <w:r>
              <w:rPr>
                <w:rFonts w:asciiTheme="minorBidi" w:hAnsiTheme="minorBidi"/>
                <w:color w:val="156082" w:themeColor="accent1"/>
                <w:sz w:val="18"/>
                <w:szCs w:val="18"/>
              </w:rPr>
              <w:t>g</w:t>
            </w:r>
            <w:r w:rsidRPr="006F5431">
              <w:rPr>
                <w:rFonts w:asciiTheme="minorBidi" w:hAnsiTheme="minorBidi"/>
                <w:color w:val="156082" w:themeColor="accent1"/>
                <w:sz w:val="18"/>
                <w:szCs w:val="18"/>
              </w:rPr>
              <w:t>roup 1:</w:t>
            </w:r>
          </w:p>
          <w:p w14:paraId="7E360D13" w14:textId="77777777" w:rsidR="001247D9" w:rsidRPr="00E562E1" w:rsidRDefault="001247D9" w:rsidP="00657361">
            <w:pPr>
              <w:rPr>
                <w:rFonts w:asciiTheme="minorBidi" w:hAnsiTheme="minorBidi"/>
                <w:b/>
                <w:bCs/>
                <w:sz w:val="18"/>
                <w:szCs w:val="18"/>
                <w:lang w:val="en-US"/>
              </w:rPr>
            </w:pPr>
            <w:r w:rsidRPr="006F5431">
              <w:rPr>
                <w:rFonts w:asciiTheme="minorBidi" w:hAnsiTheme="minorBidi"/>
                <w:b/>
                <w:bCs/>
                <w:color w:val="156082" w:themeColor="accent1"/>
                <w:sz w:val="18"/>
                <w:szCs w:val="18"/>
              </w:rPr>
              <w:t>Demand-side engagement</w:t>
            </w:r>
          </w:p>
        </w:tc>
        <w:tc>
          <w:tcPr>
            <w:tcW w:w="2609" w:type="dxa"/>
          </w:tcPr>
          <w:p w14:paraId="7AA08A89" w14:textId="4DCCE466" w:rsidR="001247D9" w:rsidRPr="006F5431" w:rsidRDefault="001247D9" w:rsidP="00657361">
            <w:pPr>
              <w:rPr>
                <w:rFonts w:asciiTheme="minorBidi" w:hAnsiTheme="minorBidi"/>
                <w:color w:val="156082" w:themeColor="accent1"/>
                <w:sz w:val="18"/>
                <w:szCs w:val="18"/>
              </w:rPr>
            </w:pPr>
            <w:r w:rsidRPr="006F5431">
              <w:rPr>
                <w:rFonts w:asciiTheme="minorBidi" w:hAnsiTheme="minorBidi"/>
                <w:color w:val="156082" w:themeColor="accent1"/>
                <w:sz w:val="18"/>
                <w:szCs w:val="18"/>
              </w:rPr>
              <w:t xml:space="preserve">Stage </w:t>
            </w:r>
            <w:r w:rsidR="008B4878">
              <w:rPr>
                <w:rFonts w:asciiTheme="minorBidi" w:hAnsiTheme="minorBidi"/>
                <w:color w:val="156082" w:themeColor="accent1"/>
                <w:sz w:val="18"/>
                <w:szCs w:val="18"/>
              </w:rPr>
              <w:t>4b</w:t>
            </w:r>
            <w:r w:rsidRPr="006F5431">
              <w:rPr>
                <w:rFonts w:asciiTheme="minorBidi" w:hAnsiTheme="minorBidi"/>
                <w:color w:val="156082" w:themeColor="accent1"/>
                <w:sz w:val="18"/>
                <w:szCs w:val="18"/>
              </w:rPr>
              <w:t xml:space="preserve"> report:</w:t>
            </w:r>
          </w:p>
          <w:p w14:paraId="7BEF948A" w14:textId="58A176E7" w:rsidR="001247D9" w:rsidRPr="00E562E1" w:rsidRDefault="004A1209" w:rsidP="00657361">
            <w:pPr>
              <w:rPr>
                <w:rFonts w:asciiTheme="minorBidi" w:hAnsiTheme="minorBidi"/>
                <w:b/>
                <w:bCs/>
                <w:sz w:val="18"/>
                <w:szCs w:val="18"/>
                <w:lang w:val="en-US"/>
              </w:rPr>
            </w:pPr>
            <w:r>
              <w:rPr>
                <w:rFonts w:asciiTheme="minorBidi" w:hAnsiTheme="minorBidi"/>
                <w:b/>
                <w:bCs/>
                <w:color w:val="156082" w:themeColor="accent1"/>
                <w:sz w:val="18"/>
                <w:szCs w:val="18"/>
              </w:rPr>
              <w:t xml:space="preserve">Demand-side </w:t>
            </w:r>
            <w:r w:rsidR="00004974">
              <w:rPr>
                <w:rFonts w:asciiTheme="minorBidi" w:hAnsiTheme="minorBidi"/>
                <w:b/>
                <w:bCs/>
                <w:color w:val="156082" w:themeColor="accent1"/>
                <w:sz w:val="18"/>
                <w:szCs w:val="18"/>
              </w:rPr>
              <w:t>engagement</w:t>
            </w:r>
            <w:r>
              <w:rPr>
                <w:rFonts w:asciiTheme="minorBidi" w:hAnsiTheme="minorBidi"/>
                <w:b/>
                <w:bCs/>
                <w:color w:val="156082" w:themeColor="accent1"/>
                <w:sz w:val="18"/>
                <w:szCs w:val="18"/>
              </w:rPr>
              <w:t xml:space="preserve"> </w:t>
            </w:r>
            <w:r w:rsidR="00004974">
              <w:rPr>
                <w:rFonts w:asciiTheme="minorBidi" w:hAnsiTheme="minorBidi"/>
                <w:b/>
                <w:bCs/>
                <w:color w:val="156082" w:themeColor="accent1"/>
                <w:sz w:val="18"/>
                <w:szCs w:val="18"/>
              </w:rPr>
              <w:t>options</w:t>
            </w:r>
            <w:r w:rsidR="00C70D7C">
              <w:rPr>
                <w:rFonts w:asciiTheme="minorBidi" w:hAnsiTheme="minorBidi"/>
                <w:b/>
                <w:bCs/>
                <w:color w:val="156082" w:themeColor="accent1"/>
                <w:sz w:val="18"/>
                <w:szCs w:val="18"/>
              </w:rPr>
              <w:t xml:space="preserve"> </w:t>
            </w:r>
            <w:r w:rsidR="00EE2E99">
              <w:rPr>
                <w:rFonts w:asciiTheme="minorBidi" w:hAnsiTheme="minorBidi"/>
                <w:b/>
                <w:bCs/>
                <w:color w:val="156082" w:themeColor="accent1"/>
                <w:sz w:val="18"/>
                <w:szCs w:val="18"/>
              </w:rPr>
              <w:t>and costing</w:t>
            </w:r>
          </w:p>
        </w:tc>
        <w:tc>
          <w:tcPr>
            <w:tcW w:w="2591" w:type="dxa"/>
          </w:tcPr>
          <w:p w14:paraId="31226C31" w14:textId="77777777" w:rsidR="001247D9" w:rsidRPr="00F36468" w:rsidRDefault="001247D9" w:rsidP="00657361">
            <w:pPr>
              <w:rPr>
                <w:rFonts w:asciiTheme="minorBidi" w:hAnsiTheme="minorBidi"/>
                <w:color w:val="156082" w:themeColor="accent1"/>
                <w:sz w:val="18"/>
                <w:szCs w:val="18"/>
              </w:rPr>
            </w:pPr>
            <w:r w:rsidRPr="00F36468">
              <w:rPr>
                <w:rFonts w:asciiTheme="minorBidi" w:hAnsiTheme="minorBidi"/>
                <w:color w:val="156082" w:themeColor="accent1"/>
                <w:sz w:val="18"/>
                <w:szCs w:val="18"/>
              </w:rPr>
              <w:t>Last updated:</w:t>
            </w:r>
          </w:p>
          <w:p w14:paraId="109D6999" w14:textId="06948B6A" w:rsidR="001247D9" w:rsidRPr="00F36468" w:rsidRDefault="008B4878" w:rsidP="00657361">
            <w:pPr>
              <w:rPr>
                <w:rFonts w:asciiTheme="minorBidi" w:hAnsiTheme="minorBidi"/>
                <w:b/>
                <w:bCs/>
                <w:color w:val="156082" w:themeColor="accent1"/>
                <w:sz w:val="18"/>
                <w:szCs w:val="18"/>
              </w:rPr>
            </w:pPr>
            <w:r>
              <w:rPr>
                <w:rFonts w:asciiTheme="minorBidi" w:hAnsiTheme="minorBidi"/>
                <w:b/>
                <w:bCs/>
                <w:color w:val="156082" w:themeColor="accent1"/>
                <w:sz w:val="18"/>
                <w:szCs w:val="18"/>
              </w:rPr>
              <w:t>2 June</w:t>
            </w:r>
            <w:r w:rsidR="001247D9" w:rsidRPr="00F36468">
              <w:rPr>
                <w:rFonts w:asciiTheme="minorBidi" w:hAnsiTheme="minorBidi"/>
                <w:b/>
                <w:bCs/>
                <w:color w:val="156082" w:themeColor="accent1"/>
                <w:sz w:val="18"/>
                <w:szCs w:val="18"/>
              </w:rPr>
              <w:t xml:space="preserve"> 2025</w:t>
            </w:r>
          </w:p>
        </w:tc>
        <w:tc>
          <w:tcPr>
            <w:tcW w:w="2159" w:type="dxa"/>
          </w:tcPr>
          <w:p w14:paraId="01E8C53D" w14:textId="77777777" w:rsidR="001247D9" w:rsidRPr="00532C56" w:rsidRDefault="001247D9" w:rsidP="00657361">
            <w:pPr>
              <w:rPr>
                <w:rFonts w:asciiTheme="minorBidi" w:hAnsiTheme="minorBidi"/>
                <w:color w:val="156082" w:themeColor="accent1"/>
                <w:sz w:val="18"/>
                <w:szCs w:val="18"/>
              </w:rPr>
            </w:pPr>
            <w:r w:rsidRPr="00532C56">
              <w:rPr>
                <w:rFonts w:asciiTheme="minorBidi" w:hAnsiTheme="minorBidi"/>
                <w:color w:val="156082" w:themeColor="accent1"/>
                <w:sz w:val="18"/>
                <w:szCs w:val="18"/>
              </w:rPr>
              <w:t>Consultation window:</w:t>
            </w:r>
          </w:p>
          <w:p w14:paraId="59E3608B" w14:textId="5EF4FB4E" w:rsidR="001247D9" w:rsidRPr="00532C56" w:rsidRDefault="000A6775" w:rsidP="00657361">
            <w:pPr>
              <w:rPr>
                <w:rFonts w:asciiTheme="minorBidi" w:hAnsiTheme="minorBidi"/>
                <w:b/>
                <w:bCs/>
                <w:color w:val="156082" w:themeColor="accent1"/>
                <w:sz w:val="18"/>
                <w:szCs w:val="18"/>
              </w:rPr>
            </w:pPr>
            <w:r>
              <w:rPr>
                <w:rFonts w:asciiTheme="minorBidi" w:hAnsiTheme="minorBidi"/>
                <w:b/>
                <w:bCs/>
                <w:color w:val="156082" w:themeColor="accent1"/>
                <w:sz w:val="18"/>
                <w:szCs w:val="18"/>
              </w:rPr>
              <w:t>7</w:t>
            </w:r>
            <w:r w:rsidR="008B4878">
              <w:rPr>
                <w:rFonts w:asciiTheme="minorBidi" w:hAnsiTheme="minorBidi"/>
                <w:b/>
                <w:bCs/>
                <w:color w:val="156082" w:themeColor="accent1"/>
                <w:sz w:val="18"/>
                <w:szCs w:val="18"/>
              </w:rPr>
              <w:t xml:space="preserve">-11 June </w:t>
            </w:r>
            <w:r w:rsidR="00004974" w:rsidRPr="1BB66805">
              <w:rPr>
                <w:rFonts w:asciiTheme="minorBidi" w:hAnsiTheme="minorBidi"/>
                <w:b/>
                <w:bCs/>
                <w:color w:val="156082" w:themeColor="accent1"/>
                <w:sz w:val="18"/>
                <w:szCs w:val="18"/>
              </w:rPr>
              <w:t>2025</w:t>
            </w:r>
          </w:p>
        </w:tc>
      </w:tr>
    </w:tbl>
    <w:p w14:paraId="6D926EE3" w14:textId="77777777" w:rsidR="000960BB" w:rsidRDefault="000960BB" w:rsidP="00E05108">
      <w:pPr>
        <w:rPr>
          <w:lang w:val="en-US"/>
        </w:rPr>
      </w:pPr>
    </w:p>
    <w:p w14:paraId="1E26B5D1" w14:textId="77777777" w:rsidR="001247D9" w:rsidRDefault="001247D9" w:rsidP="009434A6">
      <w:pPr>
        <w:spacing w:after="240" w:line="240" w:lineRule="auto"/>
        <w:rPr>
          <w:rFonts w:asciiTheme="minorBidi" w:hAnsiTheme="minorBidi"/>
          <w:b/>
          <w:bCs/>
          <w:color w:val="0B769F" w:themeColor="accent4" w:themeShade="BF"/>
          <w:lang w:val="en-US"/>
        </w:rPr>
      </w:pPr>
      <w:r>
        <w:rPr>
          <w:rFonts w:asciiTheme="minorBidi" w:hAnsiTheme="minorBidi"/>
          <w:b/>
          <w:bCs/>
          <w:color w:val="0B769F" w:themeColor="accent4" w:themeShade="BF"/>
          <w:lang w:val="en-US"/>
        </w:rPr>
        <w:t>EXECUTIVE SUMMARY</w:t>
      </w:r>
    </w:p>
    <w:p w14:paraId="40ACE22E" w14:textId="77777777" w:rsidR="00DC467A" w:rsidRDefault="00C9585C" w:rsidP="00D35A73">
      <w:pPr>
        <w:spacing w:after="120" w:line="240" w:lineRule="auto"/>
        <w:rPr>
          <w:lang w:val="en-AU"/>
        </w:rPr>
      </w:pPr>
      <w:r>
        <w:t xml:space="preserve">The </w:t>
      </w:r>
      <w:hyperlink r:id="rId11">
        <w:r w:rsidRPr="60ABFB10">
          <w:rPr>
            <w:rStyle w:val="normaltextrun"/>
            <w:color w:val="467886"/>
            <w:u w:val="single"/>
          </w:rPr>
          <w:t>Evidence Synthesis Infrastructure Collaborative</w:t>
        </w:r>
      </w:hyperlink>
      <w:r>
        <w:t xml:space="preserve"> (ESIC)</w:t>
      </w:r>
      <w:r w:rsidR="00DC467A" w:rsidRPr="00DC467A">
        <w:rPr>
          <w:rFonts w:ascii="Times New Roman" w:eastAsia="Times New Roman" w:hAnsi="Times New Roman" w:cs="Times New Roman"/>
          <w:kern w:val="0"/>
          <w:lang w:val="en-AU" w:eastAsia="en-AU"/>
          <w14:ligatures w14:val="none"/>
        </w:rPr>
        <w:t xml:space="preserve"> </w:t>
      </w:r>
      <w:r w:rsidR="00DC467A" w:rsidRPr="00DC467A">
        <w:rPr>
          <w:lang w:val="en-AU"/>
        </w:rPr>
        <w:t xml:space="preserve">aims to strengthen the global evidence ecosystem by making evidence synthesis more accessible, timely, relevant, and trusted for decision-makers and end-users. </w:t>
      </w:r>
    </w:p>
    <w:p w14:paraId="7EDB1AFD" w14:textId="216D7664" w:rsidR="00715087" w:rsidRDefault="00DC467A" w:rsidP="00D35A73">
      <w:pPr>
        <w:spacing w:after="120" w:line="240" w:lineRule="auto"/>
        <w:rPr>
          <w:lang w:val="en-AU"/>
        </w:rPr>
      </w:pPr>
      <w:r w:rsidRPr="00DC467A">
        <w:rPr>
          <w:lang w:val="en-AU"/>
        </w:rPr>
        <w:t xml:space="preserve">This Stage </w:t>
      </w:r>
      <w:r w:rsidR="00230D50">
        <w:rPr>
          <w:lang w:val="en-AU"/>
        </w:rPr>
        <w:t>4</w:t>
      </w:r>
      <w:r w:rsidR="00715087">
        <w:rPr>
          <w:lang w:val="en-AU"/>
        </w:rPr>
        <w:t>b</w:t>
      </w:r>
      <w:r w:rsidRPr="00DC467A">
        <w:rPr>
          <w:lang w:val="en-AU"/>
        </w:rPr>
        <w:t xml:space="preserve"> report, developed by Working Group 1 on Demand-Side Engagement, </w:t>
      </w:r>
      <w:r w:rsidR="00715087">
        <w:rPr>
          <w:lang w:val="en-AU"/>
        </w:rPr>
        <w:t xml:space="preserve">should be read in conjunction with the Stage 4a report – available </w:t>
      </w:r>
      <w:hyperlink r:id="rId12" w:history="1">
        <w:r w:rsidR="00715087" w:rsidRPr="00002D97">
          <w:rPr>
            <w:rStyle w:val="Hyperlink"/>
            <w:lang w:val="en-AU"/>
          </w:rPr>
          <w:t>here</w:t>
        </w:r>
      </w:hyperlink>
      <w:r w:rsidR="00715087">
        <w:rPr>
          <w:lang w:val="en-AU"/>
        </w:rPr>
        <w:t xml:space="preserve">. </w:t>
      </w:r>
    </w:p>
    <w:p w14:paraId="7F578F23" w14:textId="498E8E61" w:rsidR="000B1F9F" w:rsidRDefault="001A26A9" w:rsidP="00D35A73">
      <w:pPr>
        <w:spacing w:after="120" w:line="240" w:lineRule="auto"/>
        <w:rPr>
          <w:lang w:val="en-AU" w:bidi="th-TH"/>
        </w:rPr>
      </w:pPr>
      <w:r>
        <w:rPr>
          <w:lang w:val="en-AU"/>
        </w:rPr>
        <w:t xml:space="preserve">Stage 4a set out five options for </w:t>
      </w:r>
      <w:r w:rsidR="00E9062A" w:rsidRPr="00F261E2">
        <w:rPr>
          <w:szCs w:val="30"/>
          <w:lang w:val="en-AU" w:bidi="th-TH"/>
        </w:rPr>
        <w:t xml:space="preserve">enhancing engagement with evidence users across sectors and regions. </w:t>
      </w:r>
      <w:r w:rsidR="000B1F9F" w:rsidRPr="7FBCBF42">
        <w:rPr>
          <w:lang w:val="en-AU" w:bidi="th-TH"/>
        </w:rPr>
        <w:t>Th</w:t>
      </w:r>
      <w:r w:rsidR="0069465F">
        <w:rPr>
          <w:lang w:val="en-AU" w:bidi="th-TH"/>
        </w:rPr>
        <w:t>e a</w:t>
      </w:r>
      <w:r w:rsidR="000B1F9F" w:rsidRPr="7FBCBF42">
        <w:rPr>
          <w:lang w:val="en-AU" w:bidi="th-TH"/>
        </w:rPr>
        <w:t xml:space="preserve">pproach responds to persistent disparities between sectors, recognising that while areas like health and development have formalised systems and </w:t>
      </w:r>
      <w:r w:rsidR="52701C21" w:rsidRPr="7FBCBF42">
        <w:rPr>
          <w:lang w:val="en-AU" w:bidi="th-TH"/>
        </w:rPr>
        <w:t xml:space="preserve">evidence </w:t>
      </w:r>
      <w:r w:rsidR="000B1F9F" w:rsidRPr="7FBCBF42">
        <w:rPr>
          <w:lang w:val="en-AU" w:bidi="th-TH"/>
        </w:rPr>
        <w:t>intermediaries, others such as the environment, education, and humanitarian response require foundational investments to engage effectively with synthesis processes.</w:t>
      </w:r>
    </w:p>
    <w:p w14:paraId="4C0454DB" w14:textId="197435F0" w:rsidR="0033593D" w:rsidRDefault="00E9062A" w:rsidP="00D35A73">
      <w:pPr>
        <w:spacing w:after="120" w:line="240" w:lineRule="auto"/>
        <w:rPr>
          <w:szCs w:val="30"/>
          <w:lang w:val="en-AU" w:bidi="th-TH"/>
        </w:rPr>
      </w:pPr>
      <w:r w:rsidRPr="00E9062A">
        <w:rPr>
          <w:szCs w:val="30"/>
          <w:lang w:val="en-AU" w:bidi="th-TH"/>
        </w:rPr>
        <w:t xml:space="preserve">Stage 4b </w:t>
      </w:r>
      <w:r w:rsidR="006F76BD">
        <w:rPr>
          <w:szCs w:val="30"/>
          <w:lang w:val="en-AU" w:bidi="th-TH"/>
        </w:rPr>
        <w:t>sets out</w:t>
      </w:r>
      <w:r w:rsidRPr="00E9062A">
        <w:rPr>
          <w:szCs w:val="30"/>
          <w:lang w:val="en-AU" w:bidi="th-TH"/>
        </w:rPr>
        <w:t xml:space="preserve"> </w:t>
      </w:r>
      <w:r w:rsidR="006F76BD">
        <w:rPr>
          <w:szCs w:val="30"/>
          <w:lang w:val="en-AU" w:bidi="th-TH"/>
        </w:rPr>
        <w:t xml:space="preserve">estimated </w:t>
      </w:r>
      <w:r w:rsidRPr="00E9062A">
        <w:rPr>
          <w:szCs w:val="30"/>
          <w:lang w:val="en-AU" w:bidi="th-TH"/>
        </w:rPr>
        <w:t>cost</w:t>
      </w:r>
      <w:r w:rsidR="006F76BD">
        <w:rPr>
          <w:szCs w:val="30"/>
          <w:lang w:val="en-AU" w:bidi="th-TH"/>
        </w:rPr>
        <w:t xml:space="preserve">s of </w:t>
      </w:r>
      <w:r w:rsidRPr="00E9062A">
        <w:rPr>
          <w:szCs w:val="30"/>
          <w:lang w:val="en-AU" w:bidi="th-TH"/>
        </w:rPr>
        <w:t>the proposed options</w:t>
      </w:r>
      <w:r w:rsidR="006F76BD">
        <w:rPr>
          <w:szCs w:val="30"/>
          <w:lang w:val="en-AU" w:bidi="th-TH"/>
        </w:rPr>
        <w:t xml:space="preserve">. This will support the </w:t>
      </w:r>
      <w:r w:rsidR="008326B0">
        <w:rPr>
          <w:szCs w:val="30"/>
          <w:lang w:val="en-AU" w:bidi="th-TH"/>
        </w:rPr>
        <w:t>development finalize</w:t>
      </w:r>
      <w:r w:rsidRPr="00E9062A">
        <w:rPr>
          <w:szCs w:val="30"/>
          <w:lang w:val="en-AU" w:bidi="th-TH"/>
        </w:rPr>
        <w:t xml:space="preserve"> investment strategies for scaling demand-side engagement globally.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57" w:type="dxa"/>
          <w:bottom w:w="113" w:type="dxa"/>
        </w:tblCellMar>
        <w:tblLook w:val="04A0" w:firstRow="1" w:lastRow="0" w:firstColumn="1" w:lastColumn="0" w:noHBand="0" w:noVBand="1"/>
      </w:tblPr>
      <w:tblGrid>
        <w:gridCol w:w="9628"/>
      </w:tblGrid>
      <w:tr w:rsidR="00550F79" w14:paraId="56FADE54" w14:textId="77777777" w:rsidTr="00550F79">
        <w:tc>
          <w:tcPr>
            <w:tcW w:w="9628" w:type="dxa"/>
            <w:shd w:val="clear" w:color="auto" w:fill="F2F2F2" w:themeFill="background1" w:themeFillShade="F2"/>
          </w:tcPr>
          <w:p w14:paraId="7AF3DE10" w14:textId="77777777" w:rsidR="00550F79" w:rsidRDefault="00550F79" w:rsidP="00550F79">
            <w:pPr>
              <w:pStyle w:val="Heading3"/>
              <w:spacing w:before="120" w:after="0"/>
            </w:pPr>
            <w:r>
              <w:t>Structure of this report</w:t>
            </w:r>
          </w:p>
          <w:p w14:paraId="7D6F5F73" w14:textId="6EDFD19D" w:rsidR="00550F79" w:rsidRDefault="00550F79" w:rsidP="00B45730">
            <w:pPr>
              <w:spacing w:before="120"/>
              <w:rPr>
                <w:rStyle w:val="normaltextrun"/>
              </w:rPr>
            </w:pPr>
            <w:r>
              <w:rPr>
                <w:rStyle w:val="normaltextrun"/>
              </w:rPr>
              <w:t xml:space="preserve">This report </w:t>
            </w:r>
            <w:r w:rsidR="002C0D23">
              <w:rPr>
                <w:rStyle w:val="normaltextrun"/>
              </w:rPr>
              <w:t xml:space="preserve">includes two parts. </w:t>
            </w:r>
            <w:r w:rsidR="002C0D23" w:rsidRPr="00AB2A61">
              <w:rPr>
                <w:rStyle w:val="normaltextrun"/>
                <w:b/>
                <w:bCs/>
              </w:rPr>
              <w:t>Pa</w:t>
            </w:r>
            <w:r w:rsidR="003835CD" w:rsidRPr="00AB2A61">
              <w:rPr>
                <w:rStyle w:val="normaltextrun"/>
                <w:b/>
                <w:bCs/>
              </w:rPr>
              <w:t>r</w:t>
            </w:r>
            <w:r w:rsidR="002C0D23" w:rsidRPr="00AB2A61">
              <w:rPr>
                <w:rStyle w:val="normaltextrun"/>
                <w:b/>
                <w:bCs/>
              </w:rPr>
              <w:t>t One</w:t>
            </w:r>
            <w:r w:rsidR="002C0D23">
              <w:rPr>
                <w:rStyle w:val="normaltextrun"/>
              </w:rPr>
              <w:t xml:space="preserve"> </w:t>
            </w:r>
            <w:r w:rsidR="00B45730">
              <w:rPr>
                <w:rStyle w:val="normaltextrun"/>
              </w:rPr>
              <w:t xml:space="preserve">– focuses on costings </w:t>
            </w:r>
            <w:r>
              <w:rPr>
                <w:rStyle w:val="normaltextrun"/>
              </w:rPr>
              <w:t>the five demand-side engagement options:</w:t>
            </w:r>
            <w:r w:rsidR="00086314">
              <w:rPr>
                <w:rStyle w:val="normaltextrun"/>
              </w:rPr>
              <w:t xml:space="preserve"> </w:t>
            </w:r>
            <w:r>
              <w:rPr>
                <w:rStyle w:val="normaltextrun"/>
              </w:rPr>
              <w:t>Each option is split into two costing variants:</w:t>
            </w:r>
          </w:p>
          <w:p w14:paraId="34ADAF65" w14:textId="77777777" w:rsidR="00550F79" w:rsidRDefault="00550F79" w:rsidP="001E1E97">
            <w:pPr>
              <w:pStyle w:val="ListParagraph"/>
              <w:numPr>
                <w:ilvl w:val="0"/>
                <w:numId w:val="8"/>
              </w:numPr>
              <w:spacing w:before="120"/>
              <w:ind w:left="326"/>
              <w:rPr>
                <w:rStyle w:val="normaltextrun"/>
              </w:rPr>
            </w:pPr>
            <w:r w:rsidRPr="001E1E97">
              <w:rPr>
                <w:rStyle w:val="normaltextrun"/>
                <w:b/>
                <w:bCs/>
              </w:rPr>
              <w:t>Option A</w:t>
            </w:r>
            <w:r>
              <w:rPr>
                <w:rStyle w:val="normaltextrun"/>
              </w:rPr>
              <w:t>: is a high costing version outlining what the working group believes would be a well resourced and effective solution</w:t>
            </w:r>
          </w:p>
          <w:p w14:paraId="062E8FD6" w14:textId="77777777" w:rsidR="00550F79" w:rsidRDefault="00550F79" w:rsidP="001E1E97">
            <w:pPr>
              <w:pStyle w:val="ListParagraph"/>
              <w:numPr>
                <w:ilvl w:val="0"/>
                <w:numId w:val="8"/>
              </w:numPr>
              <w:spacing w:before="120"/>
              <w:ind w:left="326"/>
              <w:rPr>
                <w:rStyle w:val="normaltextrun"/>
              </w:rPr>
            </w:pPr>
            <w:r w:rsidRPr="00363174">
              <w:rPr>
                <w:rStyle w:val="normaltextrun"/>
                <w:b/>
                <w:bCs/>
              </w:rPr>
              <w:t>Option B</w:t>
            </w:r>
            <w:r>
              <w:rPr>
                <w:rStyle w:val="normaltextrun"/>
              </w:rPr>
              <w:t>: is a scaled down version that compromises on reach and timing of the option.</w:t>
            </w:r>
          </w:p>
          <w:p w14:paraId="0EBEDE73" w14:textId="4B543C83" w:rsidR="00086314" w:rsidRDefault="00086314" w:rsidP="00EA4D66">
            <w:pPr>
              <w:spacing w:before="120" w:after="120"/>
              <w:rPr>
                <w:rStyle w:val="normaltextrun"/>
              </w:rPr>
            </w:pPr>
            <w:r>
              <w:rPr>
                <w:rStyle w:val="normaltextrun"/>
              </w:rPr>
              <w:t>A summary is included in the table below</w:t>
            </w:r>
            <w:r w:rsidR="00570C73">
              <w:rPr>
                <w:rStyle w:val="normaltextrun"/>
              </w:rPr>
              <w:t xml:space="preserve"> (all figures are in USD)</w:t>
            </w:r>
            <w:r>
              <w:rPr>
                <w:rStyle w:val="normaltextrun"/>
              </w:rPr>
              <w:t>:</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CellMar>
                <w:top w:w="28" w:type="dxa"/>
                <w:bottom w:w="57" w:type="dxa"/>
              </w:tblCellMar>
              <w:tblLook w:val="04A0" w:firstRow="1" w:lastRow="0" w:firstColumn="1" w:lastColumn="0" w:noHBand="0" w:noVBand="1"/>
            </w:tblPr>
            <w:tblGrid>
              <w:gridCol w:w="4615"/>
              <w:gridCol w:w="2173"/>
              <w:gridCol w:w="1984"/>
            </w:tblGrid>
            <w:tr w:rsidR="00D5463A" w:rsidRPr="00EA4D66" w14:paraId="2018E058" w14:textId="77777777" w:rsidTr="3EC33709">
              <w:trPr>
                <w:trHeight w:val="300"/>
                <w:jc w:val="center"/>
              </w:trPr>
              <w:tc>
                <w:tcPr>
                  <w:tcW w:w="4615" w:type="dxa"/>
                  <w:tcBorders>
                    <w:top w:val="single" w:sz="4" w:space="0" w:color="747474" w:themeColor="background2" w:themeShade="80"/>
                    <w:bottom w:val="single" w:sz="4" w:space="0" w:color="747474" w:themeColor="background2" w:themeShade="80"/>
                  </w:tcBorders>
                  <w:shd w:val="clear" w:color="auto" w:fill="747474" w:themeFill="background2" w:themeFillShade="80"/>
                </w:tcPr>
                <w:p w14:paraId="73767831" w14:textId="79F0CB1C" w:rsidR="00086314" w:rsidRPr="00EA4D66" w:rsidRDefault="00086314" w:rsidP="00086314">
                  <w:pPr>
                    <w:rPr>
                      <w:lang w:val="en-US"/>
                    </w:rPr>
                  </w:pPr>
                </w:p>
              </w:tc>
              <w:tc>
                <w:tcPr>
                  <w:tcW w:w="2173" w:type="dxa"/>
                  <w:tcBorders>
                    <w:top w:val="single" w:sz="4" w:space="0" w:color="747474" w:themeColor="background2" w:themeShade="80"/>
                    <w:bottom w:val="single" w:sz="4" w:space="0" w:color="747474" w:themeColor="background2" w:themeShade="80"/>
                  </w:tcBorders>
                  <w:shd w:val="clear" w:color="auto" w:fill="A5C9EB" w:themeFill="text2" w:themeFillTint="40"/>
                </w:tcPr>
                <w:p w14:paraId="22EDF181" w14:textId="77777777" w:rsidR="00086314" w:rsidRPr="00EA4D66" w:rsidRDefault="00086314" w:rsidP="00EA4D66">
                  <w:pPr>
                    <w:jc w:val="center"/>
                    <w:rPr>
                      <w:lang w:val="en-US"/>
                    </w:rPr>
                  </w:pPr>
                  <w:r w:rsidRPr="00EA4D66">
                    <w:rPr>
                      <w:lang w:val="en-US"/>
                    </w:rPr>
                    <w:t>Option A (USD)</w:t>
                  </w:r>
                </w:p>
              </w:tc>
              <w:tc>
                <w:tcPr>
                  <w:tcW w:w="1984" w:type="dxa"/>
                  <w:tcBorders>
                    <w:top w:val="single" w:sz="4" w:space="0" w:color="747474" w:themeColor="background2" w:themeShade="80"/>
                    <w:bottom w:val="single" w:sz="4" w:space="0" w:color="747474" w:themeColor="background2" w:themeShade="80"/>
                  </w:tcBorders>
                  <w:shd w:val="clear" w:color="auto" w:fill="F2CEED" w:themeFill="accent5" w:themeFillTint="33"/>
                </w:tcPr>
                <w:p w14:paraId="1D56A587" w14:textId="77777777" w:rsidR="00086314" w:rsidRPr="00EA4D66" w:rsidRDefault="00086314" w:rsidP="00EA4D66">
                  <w:pPr>
                    <w:jc w:val="center"/>
                    <w:rPr>
                      <w:lang w:val="en-US"/>
                    </w:rPr>
                  </w:pPr>
                  <w:r w:rsidRPr="00EA4D66">
                    <w:rPr>
                      <w:lang w:val="en-US"/>
                    </w:rPr>
                    <w:t>Option B (USD)</w:t>
                  </w:r>
                </w:p>
              </w:tc>
            </w:tr>
            <w:tr w:rsidR="00086314" w14:paraId="4A9A8E57" w14:textId="77777777" w:rsidTr="00340426">
              <w:trPr>
                <w:jc w:val="center"/>
              </w:trPr>
              <w:tc>
                <w:tcPr>
                  <w:tcW w:w="4615" w:type="dxa"/>
                  <w:tcBorders>
                    <w:top w:val="single" w:sz="4" w:space="0" w:color="747474" w:themeColor="background2" w:themeShade="80"/>
                    <w:bottom w:val="single" w:sz="4" w:space="0" w:color="747474" w:themeColor="background2" w:themeShade="80"/>
                  </w:tcBorders>
                  <w:shd w:val="clear" w:color="auto" w:fill="D1D1D1" w:themeFill="background2" w:themeFillShade="E6"/>
                </w:tcPr>
                <w:p w14:paraId="75636190" w14:textId="77777777" w:rsidR="00086314" w:rsidRPr="00340426" w:rsidRDefault="00086314" w:rsidP="00D10639">
                  <w:pPr>
                    <w:pStyle w:val="ListParagraph"/>
                    <w:numPr>
                      <w:ilvl w:val="0"/>
                      <w:numId w:val="4"/>
                    </w:numPr>
                    <w:ind w:left="453"/>
                  </w:pPr>
                  <w:r w:rsidRPr="00340426">
                    <w:rPr>
                      <w:rStyle w:val="normaltextrun"/>
                    </w:rPr>
                    <w:t>Regional demand-side secretariats</w:t>
                  </w:r>
                </w:p>
              </w:tc>
              <w:tc>
                <w:tcPr>
                  <w:tcW w:w="2173" w:type="dxa"/>
                  <w:tcBorders>
                    <w:top w:val="single" w:sz="4" w:space="0" w:color="747474" w:themeColor="background2" w:themeShade="80"/>
                    <w:bottom w:val="single" w:sz="4" w:space="0" w:color="747474" w:themeColor="background2" w:themeShade="80"/>
                  </w:tcBorders>
                </w:tcPr>
                <w:p w14:paraId="00A2CA1A" w14:textId="6D488A5C" w:rsidR="00086314" w:rsidRPr="00EA4D66" w:rsidRDefault="00086314" w:rsidP="00EA4D66">
                  <w:pPr>
                    <w:jc w:val="center"/>
                    <w:rPr>
                      <w:lang w:val="en-US"/>
                    </w:rPr>
                  </w:pPr>
                  <w:r w:rsidRPr="00EA4D66">
                    <w:rPr>
                      <w:lang w:val="en-US"/>
                    </w:rPr>
                    <w:t>$</w:t>
                  </w:r>
                  <w:r w:rsidR="00F44D38">
                    <w:rPr>
                      <w:lang w:val="en-US"/>
                    </w:rPr>
                    <w:t>23.0</w:t>
                  </w:r>
                  <w:r w:rsidRPr="00EA4D66">
                    <w:rPr>
                      <w:lang w:val="en-US"/>
                    </w:rPr>
                    <w:t>m</w:t>
                  </w:r>
                </w:p>
              </w:tc>
              <w:tc>
                <w:tcPr>
                  <w:tcW w:w="1984" w:type="dxa"/>
                  <w:tcBorders>
                    <w:top w:val="single" w:sz="4" w:space="0" w:color="747474" w:themeColor="background2" w:themeShade="80"/>
                    <w:bottom w:val="single" w:sz="4" w:space="0" w:color="747474" w:themeColor="background2" w:themeShade="80"/>
                  </w:tcBorders>
                </w:tcPr>
                <w:p w14:paraId="002FF36F" w14:textId="14192F7C" w:rsidR="00086314" w:rsidRPr="00EA4D66" w:rsidRDefault="00086314" w:rsidP="00EA4D66">
                  <w:pPr>
                    <w:jc w:val="center"/>
                    <w:rPr>
                      <w:lang w:val="en-US"/>
                    </w:rPr>
                  </w:pPr>
                  <w:r w:rsidRPr="00EA4D66">
                    <w:rPr>
                      <w:lang w:val="en-US"/>
                    </w:rPr>
                    <w:t>$</w:t>
                  </w:r>
                  <w:r w:rsidR="00543A3E">
                    <w:rPr>
                      <w:lang w:val="en-US"/>
                    </w:rPr>
                    <w:t>11.0</w:t>
                  </w:r>
                  <w:r w:rsidRPr="00EA4D66">
                    <w:rPr>
                      <w:lang w:val="en-US"/>
                    </w:rPr>
                    <w:t>m</w:t>
                  </w:r>
                </w:p>
              </w:tc>
            </w:tr>
            <w:tr w:rsidR="00086314" w14:paraId="07EA767B" w14:textId="77777777" w:rsidTr="00340426">
              <w:trPr>
                <w:jc w:val="center"/>
              </w:trPr>
              <w:tc>
                <w:tcPr>
                  <w:tcW w:w="4615" w:type="dxa"/>
                  <w:tcBorders>
                    <w:top w:val="single" w:sz="4" w:space="0" w:color="747474" w:themeColor="background2" w:themeShade="80"/>
                    <w:bottom w:val="single" w:sz="4" w:space="0" w:color="747474" w:themeColor="background2" w:themeShade="80"/>
                  </w:tcBorders>
                  <w:shd w:val="clear" w:color="auto" w:fill="D1D1D1" w:themeFill="background2" w:themeFillShade="E6"/>
                </w:tcPr>
                <w:p w14:paraId="26537A9B" w14:textId="77777777" w:rsidR="00086314" w:rsidRPr="00340426" w:rsidRDefault="00086314" w:rsidP="00D10639">
                  <w:pPr>
                    <w:pStyle w:val="ListParagraph"/>
                    <w:numPr>
                      <w:ilvl w:val="0"/>
                      <w:numId w:val="4"/>
                    </w:numPr>
                    <w:ind w:left="453"/>
                  </w:pPr>
                  <w:r w:rsidRPr="00340426">
                    <w:rPr>
                      <w:rStyle w:val="normaltextrun"/>
                    </w:rPr>
                    <w:t>Support to Evidence Intermediaries</w:t>
                  </w:r>
                </w:p>
              </w:tc>
              <w:tc>
                <w:tcPr>
                  <w:tcW w:w="2173" w:type="dxa"/>
                  <w:tcBorders>
                    <w:top w:val="single" w:sz="4" w:space="0" w:color="747474" w:themeColor="background2" w:themeShade="80"/>
                    <w:bottom w:val="single" w:sz="4" w:space="0" w:color="747474" w:themeColor="background2" w:themeShade="80"/>
                  </w:tcBorders>
                </w:tcPr>
                <w:p w14:paraId="6B9355F6" w14:textId="45A6A7E3" w:rsidR="00086314" w:rsidRPr="00EA4D66" w:rsidRDefault="00086314" w:rsidP="00EA4D66">
                  <w:pPr>
                    <w:jc w:val="center"/>
                    <w:rPr>
                      <w:lang w:val="en-US"/>
                    </w:rPr>
                  </w:pPr>
                  <w:r w:rsidRPr="00EA4D66">
                    <w:rPr>
                      <w:lang w:val="en-US"/>
                    </w:rPr>
                    <w:t>$1</w:t>
                  </w:r>
                  <w:r w:rsidR="00F44D38">
                    <w:rPr>
                      <w:lang w:val="en-US"/>
                    </w:rPr>
                    <w:t>6.0</w:t>
                  </w:r>
                  <w:r w:rsidRPr="00EA4D66">
                    <w:rPr>
                      <w:lang w:val="en-US"/>
                    </w:rPr>
                    <w:t>m</w:t>
                  </w:r>
                </w:p>
              </w:tc>
              <w:tc>
                <w:tcPr>
                  <w:tcW w:w="1984" w:type="dxa"/>
                  <w:tcBorders>
                    <w:top w:val="single" w:sz="4" w:space="0" w:color="747474" w:themeColor="background2" w:themeShade="80"/>
                    <w:bottom w:val="single" w:sz="4" w:space="0" w:color="747474" w:themeColor="background2" w:themeShade="80"/>
                  </w:tcBorders>
                </w:tcPr>
                <w:p w14:paraId="0E55AD6A" w14:textId="0BFA2618" w:rsidR="00086314" w:rsidRPr="00EA4D66" w:rsidRDefault="00086314" w:rsidP="00EA4D66">
                  <w:pPr>
                    <w:jc w:val="center"/>
                    <w:rPr>
                      <w:lang w:val="en-US"/>
                    </w:rPr>
                  </w:pPr>
                  <w:r w:rsidRPr="00EA4D66">
                    <w:rPr>
                      <w:lang w:val="en-US"/>
                    </w:rPr>
                    <w:t>$11.</w:t>
                  </w:r>
                  <w:r w:rsidR="00543A3E">
                    <w:rPr>
                      <w:lang w:val="en-US"/>
                    </w:rPr>
                    <w:t>6</w:t>
                  </w:r>
                  <w:r w:rsidRPr="00EA4D66">
                    <w:rPr>
                      <w:lang w:val="en-US"/>
                    </w:rPr>
                    <w:t>m</w:t>
                  </w:r>
                </w:p>
              </w:tc>
            </w:tr>
            <w:tr w:rsidR="00086314" w14:paraId="7DB46F54" w14:textId="77777777" w:rsidTr="00340426">
              <w:trPr>
                <w:jc w:val="center"/>
              </w:trPr>
              <w:tc>
                <w:tcPr>
                  <w:tcW w:w="4615" w:type="dxa"/>
                  <w:tcBorders>
                    <w:top w:val="single" w:sz="4" w:space="0" w:color="747474" w:themeColor="background2" w:themeShade="80"/>
                    <w:bottom w:val="single" w:sz="4" w:space="0" w:color="747474" w:themeColor="background2" w:themeShade="80"/>
                  </w:tcBorders>
                  <w:shd w:val="clear" w:color="auto" w:fill="D1D1D1" w:themeFill="background2" w:themeFillShade="E6"/>
                </w:tcPr>
                <w:p w14:paraId="48CFFE49" w14:textId="77777777" w:rsidR="00086314" w:rsidRPr="00340426" w:rsidRDefault="00086314" w:rsidP="00D10639">
                  <w:pPr>
                    <w:pStyle w:val="ListParagraph"/>
                    <w:numPr>
                      <w:ilvl w:val="0"/>
                      <w:numId w:val="4"/>
                    </w:numPr>
                    <w:ind w:left="453"/>
                    <w:rPr>
                      <w:rStyle w:val="normaltextrun"/>
                    </w:rPr>
                  </w:pPr>
                  <w:r w:rsidRPr="00340426">
                    <w:rPr>
                      <w:rStyle w:val="normaltextrun"/>
                    </w:rPr>
                    <w:t>Co-design Labs</w:t>
                  </w:r>
                </w:p>
              </w:tc>
              <w:tc>
                <w:tcPr>
                  <w:tcW w:w="2173" w:type="dxa"/>
                  <w:tcBorders>
                    <w:top w:val="single" w:sz="4" w:space="0" w:color="747474" w:themeColor="background2" w:themeShade="80"/>
                    <w:bottom w:val="single" w:sz="4" w:space="0" w:color="747474" w:themeColor="background2" w:themeShade="80"/>
                  </w:tcBorders>
                </w:tcPr>
                <w:p w14:paraId="6E5B19CC" w14:textId="497EE857" w:rsidR="00086314" w:rsidRPr="00EA4D66" w:rsidRDefault="00086314" w:rsidP="00EA4D66">
                  <w:pPr>
                    <w:jc w:val="center"/>
                    <w:rPr>
                      <w:lang w:val="en-US"/>
                    </w:rPr>
                  </w:pPr>
                  <w:r w:rsidRPr="00EA4D66">
                    <w:rPr>
                      <w:lang w:val="en-US"/>
                    </w:rPr>
                    <w:t>$1</w:t>
                  </w:r>
                  <w:r w:rsidR="00F44D38">
                    <w:rPr>
                      <w:lang w:val="en-US"/>
                    </w:rPr>
                    <w:t>2.0</w:t>
                  </w:r>
                  <w:r w:rsidRPr="00EA4D66">
                    <w:rPr>
                      <w:lang w:val="en-US"/>
                    </w:rPr>
                    <w:t>m</w:t>
                  </w:r>
                </w:p>
              </w:tc>
              <w:tc>
                <w:tcPr>
                  <w:tcW w:w="1984" w:type="dxa"/>
                  <w:tcBorders>
                    <w:top w:val="single" w:sz="4" w:space="0" w:color="747474" w:themeColor="background2" w:themeShade="80"/>
                    <w:bottom w:val="single" w:sz="4" w:space="0" w:color="747474" w:themeColor="background2" w:themeShade="80"/>
                  </w:tcBorders>
                </w:tcPr>
                <w:p w14:paraId="37F99ACD" w14:textId="479ABE66" w:rsidR="00086314" w:rsidRPr="00EA4D66" w:rsidRDefault="00086314" w:rsidP="00EA4D66">
                  <w:pPr>
                    <w:jc w:val="center"/>
                    <w:rPr>
                      <w:lang w:val="en-US"/>
                    </w:rPr>
                  </w:pPr>
                  <w:r w:rsidRPr="00EA4D66">
                    <w:rPr>
                      <w:lang w:val="en-US"/>
                    </w:rPr>
                    <w:t>$</w:t>
                  </w:r>
                  <w:r w:rsidR="00543A3E">
                    <w:rPr>
                      <w:lang w:val="en-US"/>
                    </w:rPr>
                    <w:t>5.3</w:t>
                  </w:r>
                  <w:r w:rsidRPr="00EA4D66">
                    <w:rPr>
                      <w:lang w:val="en-US"/>
                    </w:rPr>
                    <w:t>m</w:t>
                  </w:r>
                </w:p>
              </w:tc>
            </w:tr>
            <w:tr w:rsidR="00086314" w:rsidRPr="00086314" w14:paraId="3091C8A0" w14:textId="77777777" w:rsidTr="00340426">
              <w:trPr>
                <w:jc w:val="center"/>
              </w:trPr>
              <w:tc>
                <w:tcPr>
                  <w:tcW w:w="4615" w:type="dxa"/>
                  <w:tcBorders>
                    <w:top w:val="single" w:sz="4" w:space="0" w:color="747474" w:themeColor="background2" w:themeShade="80"/>
                    <w:bottom w:val="single" w:sz="4" w:space="0" w:color="747474" w:themeColor="background2" w:themeShade="80"/>
                  </w:tcBorders>
                  <w:shd w:val="clear" w:color="auto" w:fill="D1D1D1" w:themeFill="background2" w:themeFillShade="E6"/>
                </w:tcPr>
                <w:p w14:paraId="0E1FE6F3" w14:textId="1570F319" w:rsidR="00086314" w:rsidRPr="00340426" w:rsidRDefault="004F5AD6" w:rsidP="00D10639">
                  <w:pPr>
                    <w:pStyle w:val="ListParagraph"/>
                    <w:numPr>
                      <w:ilvl w:val="0"/>
                      <w:numId w:val="4"/>
                    </w:numPr>
                    <w:ind w:left="453"/>
                    <w:rPr>
                      <w:rStyle w:val="normaltextrun"/>
                    </w:rPr>
                  </w:pPr>
                  <w:r>
                    <w:rPr>
                      <w:rStyle w:val="normaltextrun"/>
                    </w:rPr>
                    <w:t>Question/thematic repository</w:t>
                  </w:r>
                </w:p>
              </w:tc>
              <w:tc>
                <w:tcPr>
                  <w:tcW w:w="2173" w:type="dxa"/>
                  <w:tcBorders>
                    <w:top w:val="single" w:sz="4" w:space="0" w:color="747474" w:themeColor="background2" w:themeShade="80"/>
                    <w:bottom w:val="single" w:sz="4" w:space="0" w:color="747474" w:themeColor="background2" w:themeShade="80"/>
                  </w:tcBorders>
                </w:tcPr>
                <w:p w14:paraId="78EBAE73" w14:textId="7B2B388E" w:rsidR="00086314" w:rsidRPr="00EA4D66" w:rsidRDefault="00086314" w:rsidP="00EA4D66">
                  <w:pPr>
                    <w:jc w:val="center"/>
                    <w:rPr>
                      <w:rStyle w:val="normaltextrun"/>
                    </w:rPr>
                  </w:pPr>
                  <w:r w:rsidRPr="00EA4D66">
                    <w:rPr>
                      <w:rStyle w:val="normaltextrun"/>
                    </w:rPr>
                    <w:t>$</w:t>
                  </w:r>
                  <w:r w:rsidR="00543A3E">
                    <w:rPr>
                      <w:rStyle w:val="normaltextrun"/>
                    </w:rPr>
                    <w:t>4.7</w:t>
                  </w:r>
                  <w:r w:rsidRPr="00EA4D66">
                    <w:rPr>
                      <w:rStyle w:val="normaltextrun"/>
                    </w:rPr>
                    <w:t>m</w:t>
                  </w:r>
                </w:p>
              </w:tc>
              <w:tc>
                <w:tcPr>
                  <w:tcW w:w="1984" w:type="dxa"/>
                  <w:tcBorders>
                    <w:top w:val="single" w:sz="4" w:space="0" w:color="747474" w:themeColor="background2" w:themeShade="80"/>
                    <w:bottom w:val="single" w:sz="4" w:space="0" w:color="747474" w:themeColor="background2" w:themeShade="80"/>
                  </w:tcBorders>
                </w:tcPr>
                <w:p w14:paraId="04905822" w14:textId="2787A571" w:rsidR="00086314" w:rsidRPr="00EA4D66" w:rsidRDefault="00086314" w:rsidP="00EA4D66">
                  <w:pPr>
                    <w:jc w:val="center"/>
                    <w:rPr>
                      <w:rStyle w:val="normaltextrun"/>
                    </w:rPr>
                  </w:pPr>
                  <w:r w:rsidRPr="00EA4D66">
                    <w:rPr>
                      <w:rStyle w:val="normaltextrun"/>
                    </w:rPr>
                    <w:t>$</w:t>
                  </w:r>
                  <w:r w:rsidR="00543A3E">
                    <w:rPr>
                      <w:rStyle w:val="normaltextrun"/>
                    </w:rPr>
                    <w:t>3.7</w:t>
                  </w:r>
                  <w:r w:rsidRPr="00EA4D66">
                    <w:rPr>
                      <w:rStyle w:val="normaltextrun"/>
                    </w:rPr>
                    <w:t>m</w:t>
                  </w:r>
                </w:p>
              </w:tc>
            </w:tr>
            <w:tr w:rsidR="00086314" w14:paraId="59D55264" w14:textId="77777777" w:rsidTr="00340426">
              <w:trPr>
                <w:jc w:val="center"/>
              </w:trPr>
              <w:tc>
                <w:tcPr>
                  <w:tcW w:w="4615" w:type="dxa"/>
                  <w:tcBorders>
                    <w:top w:val="single" w:sz="4" w:space="0" w:color="747474" w:themeColor="background2" w:themeShade="80"/>
                  </w:tcBorders>
                  <w:shd w:val="clear" w:color="auto" w:fill="D1D1D1" w:themeFill="background2" w:themeFillShade="E6"/>
                </w:tcPr>
                <w:p w14:paraId="63CA6569" w14:textId="77777777" w:rsidR="00086314" w:rsidRPr="00340426" w:rsidRDefault="00086314" w:rsidP="00D10639">
                  <w:pPr>
                    <w:pStyle w:val="ListParagraph"/>
                    <w:numPr>
                      <w:ilvl w:val="0"/>
                      <w:numId w:val="4"/>
                    </w:numPr>
                    <w:ind w:left="453"/>
                  </w:pPr>
                  <w:r w:rsidRPr="00340426">
                    <w:rPr>
                      <w:rStyle w:val="normaltextrun"/>
                    </w:rPr>
                    <w:t>Grants to End Users</w:t>
                  </w:r>
                </w:p>
              </w:tc>
              <w:tc>
                <w:tcPr>
                  <w:tcW w:w="2173" w:type="dxa"/>
                  <w:tcBorders>
                    <w:top w:val="single" w:sz="4" w:space="0" w:color="747474" w:themeColor="background2" w:themeShade="80"/>
                  </w:tcBorders>
                </w:tcPr>
                <w:p w14:paraId="66A14B54" w14:textId="7289B8E3" w:rsidR="00086314" w:rsidRPr="00EA4D66" w:rsidRDefault="00086314" w:rsidP="00EA4D66">
                  <w:pPr>
                    <w:jc w:val="center"/>
                    <w:rPr>
                      <w:lang w:val="en-US"/>
                    </w:rPr>
                  </w:pPr>
                  <w:r w:rsidRPr="00EA4D66">
                    <w:rPr>
                      <w:lang w:val="en-US"/>
                    </w:rPr>
                    <w:t>$15.</w:t>
                  </w:r>
                  <w:r w:rsidR="00543A3E">
                    <w:rPr>
                      <w:lang w:val="en-US"/>
                    </w:rPr>
                    <w:t>7</w:t>
                  </w:r>
                  <w:r w:rsidRPr="00EA4D66">
                    <w:rPr>
                      <w:lang w:val="en-US"/>
                    </w:rPr>
                    <w:t>m</w:t>
                  </w:r>
                </w:p>
              </w:tc>
              <w:tc>
                <w:tcPr>
                  <w:tcW w:w="1984" w:type="dxa"/>
                  <w:tcBorders>
                    <w:top w:val="single" w:sz="4" w:space="0" w:color="747474" w:themeColor="background2" w:themeShade="80"/>
                  </w:tcBorders>
                </w:tcPr>
                <w:p w14:paraId="54D3BBB8" w14:textId="0237E4A0" w:rsidR="00086314" w:rsidRPr="00EA4D66" w:rsidRDefault="00086314" w:rsidP="00EA4D66">
                  <w:pPr>
                    <w:jc w:val="center"/>
                    <w:rPr>
                      <w:lang w:val="en-US"/>
                    </w:rPr>
                  </w:pPr>
                  <w:r w:rsidRPr="00EA4D66">
                    <w:rPr>
                      <w:lang w:val="en-US"/>
                    </w:rPr>
                    <w:t>$9.</w:t>
                  </w:r>
                  <w:r w:rsidR="002C7EDB">
                    <w:rPr>
                      <w:lang w:val="en-US"/>
                    </w:rPr>
                    <w:t>4</w:t>
                  </w:r>
                  <w:r w:rsidRPr="00EA4D66">
                    <w:rPr>
                      <w:lang w:val="en-US"/>
                    </w:rPr>
                    <w:t>m</w:t>
                  </w:r>
                </w:p>
              </w:tc>
            </w:tr>
          </w:tbl>
          <w:p w14:paraId="4350A590" w14:textId="77777777" w:rsidR="00550F79" w:rsidRDefault="00550F79" w:rsidP="00550F79">
            <w:pPr>
              <w:spacing w:before="120"/>
            </w:pPr>
            <w:r>
              <w:t xml:space="preserve">A description is presented followed by a costing breakdown and total figure for the option. </w:t>
            </w:r>
          </w:p>
          <w:p w14:paraId="03D67125" w14:textId="6E19CD24" w:rsidR="006909C1" w:rsidRDefault="00B45730" w:rsidP="00E43DC5">
            <w:pPr>
              <w:spacing w:before="120"/>
            </w:pPr>
            <w:r w:rsidRPr="00AB2A61">
              <w:rPr>
                <w:b/>
                <w:bCs/>
              </w:rPr>
              <w:t>Part Two</w:t>
            </w:r>
            <w:r>
              <w:t xml:space="preserve"> </w:t>
            </w:r>
            <w:r w:rsidR="003835CD">
              <w:t xml:space="preserve">– </w:t>
            </w:r>
            <w:r w:rsidR="00212F11">
              <w:t xml:space="preserve">looks at practical elements of implementation and timing. </w:t>
            </w:r>
          </w:p>
          <w:p w14:paraId="7FC8D75C" w14:textId="768919CF" w:rsidR="00550F79" w:rsidRPr="00F63AB4" w:rsidRDefault="00550F79" w:rsidP="00E43DC5">
            <w:pPr>
              <w:spacing w:before="120"/>
            </w:pPr>
            <w:r w:rsidRPr="006A24E3">
              <w:rPr>
                <w:b/>
                <w:bCs/>
              </w:rPr>
              <w:t>Appendices</w:t>
            </w:r>
            <w:r>
              <w:t xml:space="preserve"> provid</w:t>
            </w:r>
            <w:r w:rsidR="003E4507">
              <w:t>e</w:t>
            </w:r>
            <w:r>
              <w:t xml:space="preserve"> a glossary and comparative overview of options</w:t>
            </w:r>
            <w:r w:rsidR="003E4507">
              <w:t xml:space="preserve"> (from Report 4</w:t>
            </w:r>
            <w:r w:rsidR="008326B0">
              <w:t>a) and</w:t>
            </w:r>
            <w:r w:rsidR="00F63AB4">
              <w:t xml:space="preserve"> a summary of how Options connect with the work from Stages 1 and 2. </w:t>
            </w:r>
          </w:p>
        </w:tc>
      </w:tr>
    </w:tbl>
    <w:p w14:paraId="16E56615" w14:textId="77777777" w:rsidR="00550F79" w:rsidRDefault="00550F79" w:rsidP="00D35A73">
      <w:pPr>
        <w:spacing w:after="120" w:line="240" w:lineRule="auto"/>
        <w:rPr>
          <w:szCs w:val="30"/>
          <w:lang w:val="en-AU" w:bidi="th-TH"/>
        </w:rPr>
      </w:pPr>
    </w:p>
    <w:p w14:paraId="2EB0E3EF" w14:textId="306984A9" w:rsidR="00117C64" w:rsidRDefault="00117C64">
      <w:bookmarkStart w:id="0" w:name="_Toc195539442"/>
      <w:r>
        <w:br w:type="page"/>
      </w:r>
    </w:p>
    <w:p w14:paraId="1DF713B4" w14:textId="5AAE4AAF" w:rsidR="003835CD" w:rsidRPr="003835CD" w:rsidRDefault="003835CD" w:rsidP="00E336E6">
      <w:pPr>
        <w:pStyle w:val="Heading1"/>
        <w:rPr>
          <w:b/>
          <w:bCs/>
        </w:rPr>
      </w:pPr>
      <w:r w:rsidRPr="003835CD">
        <w:rPr>
          <w:b/>
          <w:bCs/>
        </w:rPr>
        <w:lastRenderedPageBreak/>
        <w:t>PART ONE – COSTING OF OPTIONS FOR WG1</w:t>
      </w:r>
    </w:p>
    <w:p w14:paraId="3B0CBFB1" w14:textId="1B7977D6" w:rsidR="002276BA" w:rsidRPr="00E336E6" w:rsidRDefault="0097559E" w:rsidP="00E336E6">
      <w:pPr>
        <w:pStyle w:val="Heading1"/>
      </w:pPr>
      <w:r>
        <w:t>Option 1A - R</w:t>
      </w:r>
      <w:r w:rsidR="002276BA" w:rsidRPr="0097559E">
        <w:t>egional demand-side secretariats</w:t>
      </w:r>
      <w:r w:rsidR="00D051E5">
        <w:t xml:space="preserve">: </w:t>
      </w:r>
      <w:r w:rsidR="00F96DCD">
        <w:t>$17.7m</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2122"/>
        <w:gridCol w:w="7376"/>
      </w:tblGrid>
      <w:tr w:rsidR="00E336E6" w:rsidRPr="00E336E6" w14:paraId="3A316151" w14:textId="77777777" w:rsidTr="00E75BE2">
        <w:tc>
          <w:tcPr>
            <w:tcW w:w="9498" w:type="dxa"/>
            <w:gridSpan w:val="2"/>
            <w:shd w:val="clear" w:color="auto" w:fill="DEF1FA"/>
          </w:tcPr>
          <w:p w14:paraId="79AC5583" w14:textId="71A87697" w:rsidR="003F5D2F" w:rsidRPr="00E336E6" w:rsidRDefault="003F5D2F" w:rsidP="0093000C">
            <w:pPr>
              <w:spacing w:after="120"/>
              <w:rPr>
                <w:color w:val="0F4761" w:themeColor="accent1" w:themeShade="BF"/>
                <w:sz w:val="22"/>
                <w:szCs w:val="22"/>
              </w:rPr>
            </w:pPr>
            <w:r w:rsidRPr="00E336E6">
              <w:rPr>
                <w:color w:val="0F4761" w:themeColor="accent1" w:themeShade="BF"/>
                <w:sz w:val="22"/>
                <w:szCs w:val="22"/>
              </w:rPr>
              <w:t xml:space="preserve">Establish regional demand-side secretariats – decentralised coordination bodies focused on actively engaging evidence intermediaries and evidence users who can directly influence, are affected by, or inform/support policy and other decision-making processes. This ensures that evidence </w:t>
            </w:r>
            <w:r w:rsidR="27D5BEAC" w:rsidRPr="52421FB7">
              <w:rPr>
                <w:color w:val="0F4761" w:themeColor="accent1" w:themeShade="BF"/>
                <w:sz w:val="22"/>
                <w:szCs w:val="22"/>
              </w:rPr>
              <w:t>users’</w:t>
            </w:r>
            <w:r w:rsidRPr="00E336E6">
              <w:rPr>
                <w:color w:val="0F4761" w:themeColor="accent1" w:themeShade="BF"/>
                <w:sz w:val="22"/>
                <w:szCs w:val="22"/>
              </w:rPr>
              <w:t xml:space="preserve"> needs, concerns, contexts</w:t>
            </w:r>
            <w:r w:rsidR="2E337E83" w:rsidRPr="6E0772CE">
              <w:rPr>
                <w:color w:val="0F4761" w:themeColor="accent1" w:themeShade="BF"/>
                <w:sz w:val="22"/>
                <w:szCs w:val="22"/>
              </w:rPr>
              <w:t>,</w:t>
            </w:r>
            <w:r w:rsidRPr="00E336E6">
              <w:rPr>
                <w:color w:val="0F4761" w:themeColor="accent1" w:themeShade="BF"/>
                <w:sz w:val="22"/>
                <w:szCs w:val="22"/>
              </w:rPr>
              <w:t xml:space="preserve"> and perspectives shape evidence syntheses for greater relevance and impact in applied settings. </w:t>
            </w:r>
          </w:p>
          <w:p w14:paraId="5C4ABC94" w14:textId="679DD15B" w:rsidR="003F5D2F" w:rsidRPr="00E336E6" w:rsidRDefault="003F5D2F" w:rsidP="0093000C">
            <w:pPr>
              <w:rPr>
                <w:color w:val="0F4761" w:themeColor="accent1" w:themeShade="BF"/>
                <w:sz w:val="22"/>
                <w:szCs w:val="22"/>
              </w:rPr>
            </w:pPr>
            <w:r w:rsidRPr="00E336E6">
              <w:rPr>
                <w:color w:val="0F4761" w:themeColor="accent1" w:themeShade="BF"/>
                <w:sz w:val="22"/>
                <w:szCs w:val="22"/>
              </w:rPr>
              <w:t xml:space="preserve">This option proposes establishing regional secretariats to coordinate and support demand-side engagement in evidence synthesis. These secretariats will serve as decentralised governance hubs and will also actively </w:t>
            </w:r>
            <w:r w:rsidRPr="4B84F054">
              <w:rPr>
                <w:color w:val="0F4761" w:themeColor="accent1" w:themeShade="BF"/>
                <w:sz w:val="22"/>
                <w:szCs w:val="22"/>
              </w:rPr>
              <w:t>carry</w:t>
            </w:r>
            <w:r w:rsidRPr="00E336E6">
              <w:rPr>
                <w:color w:val="0F4761" w:themeColor="accent1" w:themeShade="BF"/>
                <w:sz w:val="22"/>
                <w:szCs w:val="22"/>
              </w:rPr>
              <w:t xml:space="preserve"> out work across various sectors and contexts. Their aim is to strengthen regional capabilities while promoting global alignment and shared learning</w:t>
            </w:r>
          </w:p>
        </w:tc>
      </w:tr>
      <w:tr w:rsidR="003F5D2F" w14:paraId="12F9F040" w14:textId="77777777" w:rsidTr="003F5D2F">
        <w:tc>
          <w:tcPr>
            <w:tcW w:w="2122" w:type="dxa"/>
          </w:tcPr>
          <w:p w14:paraId="587A7946" w14:textId="77777777" w:rsidR="003F5D2F" w:rsidRPr="0093000C" w:rsidRDefault="003F5D2F" w:rsidP="00943858">
            <w:pPr>
              <w:ind w:left="2160" w:hanging="2160"/>
              <w:jc w:val="both"/>
              <w:rPr>
                <w:b/>
                <w:bCs/>
                <w:sz w:val="20"/>
                <w:szCs w:val="20"/>
              </w:rPr>
            </w:pPr>
          </w:p>
        </w:tc>
        <w:tc>
          <w:tcPr>
            <w:tcW w:w="7376" w:type="dxa"/>
          </w:tcPr>
          <w:p w14:paraId="6D8B4599" w14:textId="77777777" w:rsidR="003F5D2F" w:rsidRPr="00CF6280" w:rsidRDefault="003F5D2F" w:rsidP="0093000C">
            <w:pPr>
              <w:rPr>
                <w:color w:val="156082" w:themeColor="accent1"/>
                <w:sz w:val="20"/>
                <w:szCs w:val="20"/>
              </w:rPr>
            </w:pPr>
          </w:p>
        </w:tc>
      </w:tr>
      <w:tr w:rsidR="002276BA" w14:paraId="217D8684" w14:textId="77777777" w:rsidTr="003F5D2F">
        <w:tc>
          <w:tcPr>
            <w:tcW w:w="2122" w:type="dxa"/>
          </w:tcPr>
          <w:p w14:paraId="0116E1C5" w14:textId="77777777" w:rsidR="002276BA" w:rsidRPr="0093000C" w:rsidRDefault="002276BA" w:rsidP="00943858">
            <w:pPr>
              <w:ind w:left="2160" w:hanging="2160"/>
              <w:jc w:val="both"/>
              <w:rPr>
                <w:b/>
                <w:bCs/>
                <w:sz w:val="20"/>
                <w:szCs w:val="20"/>
              </w:rPr>
            </w:pPr>
            <w:r w:rsidRPr="0093000C">
              <w:rPr>
                <w:b/>
                <w:bCs/>
                <w:sz w:val="20"/>
                <w:szCs w:val="20"/>
              </w:rPr>
              <w:t>Implementation</w:t>
            </w:r>
          </w:p>
          <w:p w14:paraId="65E00361" w14:textId="77777777" w:rsidR="002276BA" w:rsidRPr="0093000C" w:rsidRDefault="002276BA" w:rsidP="00943858">
            <w:pPr>
              <w:jc w:val="both"/>
              <w:rPr>
                <w:b/>
                <w:bCs/>
                <w:sz w:val="20"/>
                <w:szCs w:val="20"/>
              </w:rPr>
            </w:pPr>
            <w:r w:rsidRPr="0093000C">
              <w:rPr>
                <w:b/>
                <w:bCs/>
                <w:sz w:val="20"/>
                <w:szCs w:val="20"/>
              </w:rPr>
              <w:t>Caveats</w:t>
            </w:r>
          </w:p>
        </w:tc>
        <w:tc>
          <w:tcPr>
            <w:tcW w:w="7376" w:type="dxa"/>
          </w:tcPr>
          <w:p w14:paraId="5DEE7EA6" w14:textId="77777777" w:rsidR="002276BA" w:rsidRDefault="002276BA" w:rsidP="0093000C">
            <w:pPr>
              <w:rPr>
                <w:sz w:val="20"/>
                <w:szCs w:val="20"/>
              </w:rPr>
            </w:pPr>
            <w:r w:rsidRPr="00CF6280">
              <w:rPr>
                <w:color w:val="156082" w:themeColor="accent1"/>
                <w:sz w:val="20"/>
                <w:szCs w:val="20"/>
              </w:rPr>
              <w:t>Before establishing the secretariats, feasibility studies should be conducted to gather evidence on the availability of existing organisations that can house and operate the regional secretariats, ensuring they have the necessary capacity and reach. Additionally, we need to assess whether to develop from country nodes and how to effectively group and support the sectors that require assistance</w:t>
            </w:r>
          </w:p>
        </w:tc>
      </w:tr>
      <w:tr w:rsidR="002276BA" w14:paraId="00CCE083" w14:textId="77777777" w:rsidTr="0093000C">
        <w:tc>
          <w:tcPr>
            <w:tcW w:w="2122" w:type="dxa"/>
          </w:tcPr>
          <w:p w14:paraId="679E321E" w14:textId="77777777" w:rsidR="002276BA" w:rsidRPr="0093000C" w:rsidRDefault="002276BA" w:rsidP="00943858">
            <w:pPr>
              <w:jc w:val="both"/>
              <w:rPr>
                <w:b/>
                <w:bCs/>
                <w:sz w:val="20"/>
                <w:szCs w:val="20"/>
              </w:rPr>
            </w:pPr>
            <w:r w:rsidRPr="0093000C">
              <w:rPr>
                <w:b/>
                <w:bCs/>
                <w:sz w:val="20"/>
                <w:szCs w:val="20"/>
              </w:rPr>
              <w:t>Staff Profile</w:t>
            </w:r>
          </w:p>
        </w:tc>
        <w:tc>
          <w:tcPr>
            <w:tcW w:w="7376" w:type="dxa"/>
          </w:tcPr>
          <w:p w14:paraId="3AF5A3A2" w14:textId="77777777" w:rsidR="002276BA" w:rsidRPr="00F66025" w:rsidRDefault="002276BA" w:rsidP="0093000C">
            <w:pPr>
              <w:ind w:left="2160" w:hanging="2160"/>
              <w:rPr>
                <w:color w:val="156082" w:themeColor="accent1"/>
                <w:sz w:val="20"/>
                <w:szCs w:val="20"/>
              </w:rPr>
            </w:pPr>
            <w:r w:rsidRPr="00F66025">
              <w:rPr>
                <w:color w:val="156082" w:themeColor="accent1"/>
                <w:sz w:val="20"/>
                <w:szCs w:val="20"/>
              </w:rPr>
              <w:t xml:space="preserve">1 x Director and Advocacy lead </w:t>
            </w:r>
            <w:r>
              <w:rPr>
                <w:color w:val="156082" w:themeColor="accent1"/>
                <w:sz w:val="20"/>
                <w:szCs w:val="20"/>
              </w:rPr>
              <w:t>(Tier 1)</w:t>
            </w:r>
          </w:p>
          <w:p w14:paraId="7C93458E" w14:textId="77777777" w:rsidR="002276BA" w:rsidRPr="00F66025" w:rsidRDefault="002276BA" w:rsidP="0093000C">
            <w:pPr>
              <w:rPr>
                <w:color w:val="156082" w:themeColor="accent1"/>
                <w:sz w:val="20"/>
                <w:szCs w:val="20"/>
              </w:rPr>
            </w:pPr>
            <w:r w:rsidRPr="00F66025">
              <w:rPr>
                <w:color w:val="156082" w:themeColor="accent1"/>
                <w:sz w:val="20"/>
                <w:szCs w:val="20"/>
              </w:rPr>
              <w:t xml:space="preserve">3 x Sector Specialists </w:t>
            </w:r>
            <w:r>
              <w:rPr>
                <w:color w:val="156082" w:themeColor="accent1"/>
                <w:sz w:val="20"/>
                <w:szCs w:val="20"/>
              </w:rPr>
              <w:t>(Tier 1)</w:t>
            </w:r>
          </w:p>
          <w:p w14:paraId="38E05245" w14:textId="77777777" w:rsidR="002276BA" w:rsidRPr="00F66025" w:rsidRDefault="002276BA" w:rsidP="0093000C">
            <w:pPr>
              <w:rPr>
                <w:color w:val="156082" w:themeColor="accent1"/>
                <w:sz w:val="20"/>
                <w:szCs w:val="20"/>
              </w:rPr>
            </w:pPr>
            <w:r w:rsidRPr="00F66025">
              <w:rPr>
                <w:color w:val="156082" w:themeColor="accent1"/>
                <w:sz w:val="20"/>
                <w:szCs w:val="20"/>
              </w:rPr>
              <w:t xml:space="preserve">3 x Sector Leads </w:t>
            </w:r>
            <w:r>
              <w:rPr>
                <w:color w:val="156082" w:themeColor="accent1"/>
                <w:sz w:val="20"/>
                <w:szCs w:val="20"/>
              </w:rPr>
              <w:t>(Tier 2)</w:t>
            </w:r>
          </w:p>
          <w:p w14:paraId="10C0FA4F" w14:textId="77777777" w:rsidR="002276BA" w:rsidRPr="00F66025" w:rsidRDefault="002276BA" w:rsidP="0093000C">
            <w:pPr>
              <w:rPr>
                <w:color w:val="156082" w:themeColor="accent1"/>
                <w:sz w:val="20"/>
                <w:szCs w:val="20"/>
              </w:rPr>
            </w:pPr>
            <w:r w:rsidRPr="00F66025">
              <w:rPr>
                <w:color w:val="156082" w:themeColor="accent1"/>
                <w:sz w:val="20"/>
                <w:szCs w:val="20"/>
              </w:rPr>
              <w:t>1 x Communications &amp; Partnerships Lead</w:t>
            </w:r>
            <w:r>
              <w:rPr>
                <w:color w:val="156082" w:themeColor="accent1"/>
                <w:sz w:val="20"/>
                <w:szCs w:val="20"/>
              </w:rPr>
              <w:t xml:space="preserve"> (Tier 2)</w:t>
            </w:r>
          </w:p>
          <w:p w14:paraId="564F68FD" w14:textId="77777777" w:rsidR="002276BA" w:rsidRPr="00F66025" w:rsidRDefault="002276BA" w:rsidP="0093000C">
            <w:pPr>
              <w:rPr>
                <w:color w:val="156082" w:themeColor="accent1"/>
                <w:sz w:val="20"/>
                <w:szCs w:val="20"/>
              </w:rPr>
            </w:pPr>
            <w:r w:rsidRPr="00F66025">
              <w:rPr>
                <w:color w:val="156082" w:themeColor="accent1"/>
                <w:sz w:val="20"/>
                <w:szCs w:val="20"/>
              </w:rPr>
              <w:t xml:space="preserve">1 x Administrative Support </w:t>
            </w:r>
            <w:r>
              <w:rPr>
                <w:color w:val="156082" w:themeColor="accent1"/>
                <w:sz w:val="20"/>
                <w:szCs w:val="20"/>
              </w:rPr>
              <w:t>(Tier 3)</w:t>
            </w:r>
          </w:p>
          <w:p w14:paraId="3F7B85E8" w14:textId="58C1E6C7" w:rsidR="002276BA" w:rsidRPr="007019C8" w:rsidRDefault="002276BA" w:rsidP="0093000C">
            <w:pPr>
              <w:rPr>
                <w:color w:val="156082" w:themeColor="accent1"/>
                <w:sz w:val="20"/>
                <w:szCs w:val="20"/>
              </w:rPr>
            </w:pPr>
            <w:r w:rsidRPr="00F66025">
              <w:rPr>
                <w:color w:val="156082" w:themeColor="accent1"/>
                <w:sz w:val="20"/>
                <w:szCs w:val="20"/>
              </w:rPr>
              <w:t xml:space="preserve">0.3 x Grants Administration Support </w:t>
            </w:r>
            <w:r>
              <w:rPr>
                <w:color w:val="156082" w:themeColor="accent1"/>
                <w:sz w:val="20"/>
                <w:szCs w:val="20"/>
              </w:rPr>
              <w:t>(to be costed in option 5)</w:t>
            </w:r>
          </w:p>
        </w:tc>
      </w:tr>
      <w:tr w:rsidR="002276BA" w14:paraId="0C6CBF45" w14:textId="77777777" w:rsidTr="00C150D3">
        <w:tc>
          <w:tcPr>
            <w:tcW w:w="2122" w:type="dxa"/>
          </w:tcPr>
          <w:p w14:paraId="4ECDC327" w14:textId="77777777" w:rsidR="002276BA" w:rsidRPr="0093000C" w:rsidRDefault="002276BA" w:rsidP="00943858">
            <w:pPr>
              <w:jc w:val="both"/>
              <w:rPr>
                <w:b/>
                <w:bCs/>
                <w:sz w:val="20"/>
                <w:szCs w:val="20"/>
              </w:rPr>
            </w:pPr>
            <w:r w:rsidRPr="0093000C">
              <w:rPr>
                <w:b/>
                <w:bCs/>
                <w:sz w:val="20"/>
                <w:szCs w:val="20"/>
              </w:rPr>
              <w:t>Sequencing</w:t>
            </w:r>
          </w:p>
        </w:tc>
        <w:tc>
          <w:tcPr>
            <w:tcW w:w="7376" w:type="dxa"/>
          </w:tcPr>
          <w:p w14:paraId="46C48689" w14:textId="59513538" w:rsidR="002276BA" w:rsidRPr="00F66025" w:rsidRDefault="002276BA" w:rsidP="0093000C">
            <w:pPr>
              <w:ind w:left="2160" w:hanging="2160"/>
              <w:rPr>
                <w:color w:val="156082" w:themeColor="accent1"/>
                <w:sz w:val="20"/>
                <w:szCs w:val="20"/>
              </w:rPr>
            </w:pPr>
            <w:r w:rsidRPr="00F66025">
              <w:rPr>
                <w:color w:val="156082" w:themeColor="accent1"/>
                <w:sz w:val="20"/>
                <w:szCs w:val="20"/>
              </w:rPr>
              <w:t>Year 1: set up 3 secretariats (Africa, Asia and LAC</w:t>
            </w:r>
            <w:r w:rsidR="001024A4">
              <w:rPr>
                <w:color w:val="156082" w:themeColor="accent1"/>
                <w:sz w:val="20"/>
                <w:szCs w:val="20"/>
              </w:rPr>
              <w:t>)</w:t>
            </w:r>
            <w:r w:rsidRPr="00F66025">
              <w:rPr>
                <w:color w:val="156082" w:themeColor="accent1"/>
                <w:sz w:val="20"/>
                <w:szCs w:val="20"/>
              </w:rPr>
              <w:t xml:space="preserve"> </w:t>
            </w:r>
            <w:r>
              <w:rPr>
                <w:color w:val="156082" w:themeColor="accent1"/>
                <w:sz w:val="20"/>
                <w:szCs w:val="20"/>
              </w:rPr>
              <w:t xml:space="preserve"> </w:t>
            </w:r>
          </w:p>
          <w:p w14:paraId="7C6A1320" w14:textId="1B738C26" w:rsidR="002276BA" w:rsidRDefault="002276BA" w:rsidP="0093000C">
            <w:pPr>
              <w:rPr>
                <w:sz w:val="20"/>
                <w:szCs w:val="20"/>
              </w:rPr>
            </w:pPr>
            <w:r w:rsidRPr="00F66025">
              <w:rPr>
                <w:color w:val="156082" w:themeColor="accent1"/>
                <w:sz w:val="20"/>
                <w:szCs w:val="20"/>
              </w:rPr>
              <w:t>Year 1: Set up 2 Secretariats (Eastern Europe and Western Europe &amp; Other States</w:t>
            </w:r>
            <w:r w:rsidR="001024A4">
              <w:rPr>
                <w:color w:val="156082" w:themeColor="accent1"/>
                <w:sz w:val="20"/>
                <w:szCs w:val="20"/>
              </w:rPr>
              <w:t>)</w:t>
            </w:r>
          </w:p>
        </w:tc>
      </w:tr>
      <w:tr w:rsidR="002276BA" w14:paraId="6680C54A" w14:textId="77777777" w:rsidTr="00C150D3">
        <w:tc>
          <w:tcPr>
            <w:tcW w:w="2122" w:type="dxa"/>
            <w:tcBorders>
              <w:bottom w:val="single" w:sz="4" w:space="0" w:color="auto"/>
            </w:tcBorders>
          </w:tcPr>
          <w:p w14:paraId="42F26B4B" w14:textId="77777777" w:rsidR="002276BA" w:rsidRPr="0093000C" w:rsidRDefault="002276BA" w:rsidP="00943858">
            <w:pPr>
              <w:jc w:val="both"/>
              <w:rPr>
                <w:b/>
                <w:bCs/>
                <w:sz w:val="20"/>
                <w:szCs w:val="20"/>
              </w:rPr>
            </w:pPr>
            <w:r w:rsidRPr="0093000C">
              <w:rPr>
                <w:b/>
                <w:bCs/>
                <w:sz w:val="20"/>
                <w:szCs w:val="20"/>
              </w:rPr>
              <w:t>Operational needs</w:t>
            </w:r>
          </w:p>
        </w:tc>
        <w:tc>
          <w:tcPr>
            <w:tcW w:w="7376" w:type="dxa"/>
            <w:tcBorders>
              <w:bottom w:val="single" w:sz="4" w:space="0" w:color="auto"/>
            </w:tcBorders>
          </w:tcPr>
          <w:p w14:paraId="690B030C" w14:textId="77777777" w:rsidR="002276BA" w:rsidRDefault="002276BA" w:rsidP="0093000C">
            <w:pPr>
              <w:rPr>
                <w:sz w:val="20"/>
                <w:szCs w:val="20"/>
              </w:rPr>
            </w:pPr>
            <w:r w:rsidRPr="004E1043">
              <w:rPr>
                <w:color w:val="156082" w:themeColor="accent1"/>
                <w:sz w:val="20"/>
                <w:szCs w:val="20"/>
              </w:rPr>
              <w:t>An annual provision of $100,000 in contracted</w:t>
            </w:r>
            <w:r w:rsidRPr="00F66025">
              <w:rPr>
                <w:color w:val="156082" w:themeColor="accent1"/>
                <w:sz w:val="20"/>
                <w:szCs w:val="20"/>
              </w:rPr>
              <w:t xml:space="preserve"> or commissioned work to support expert input, facilitation, and infrastructure development</w:t>
            </w:r>
          </w:p>
        </w:tc>
      </w:tr>
    </w:tbl>
    <w:p w14:paraId="61327912" w14:textId="77777777" w:rsidR="00BB7FB3" w:rsidRDefault="002276BA" w:rsidP="002276BA">
      <w:pPr>
        <w:rPr>
          <w:sz w:val="20"/>
          <w:szCs w:val="20"/>
        </w:rPr>
      </w:pPr>
      <w:r>
        <w:rPr>
          <w:sz w:val="20"/>
          <w:szCs w:val="20"/>
        </w:rPr>
        <w:t xml:space="preserve"> </w:t>
      </w:r>
    </w:p>
    <w:tbl>
      <w:tblPr>
        <w:tblW w:w="8020" w:type="dxa"/>
        <w:tblLook w:val="04A0" w:firstRow="1" w:lastRow="0" w:firstColumn="1" w:lastColumn="0" w:noHBand="0" w:noVBand="1"/>
      </w:tblPr>
      <w:tblGrid>
        <w:gridCol w:w="2820"/>
        <w:gridCol w:w="3000"/>
        <w:gridCol w:w="2200"/>
      </w:tblGrid>
      <w:tr w:rsidR="000754D9" w:rsidRPr="000754D9" w14:paraId="3F37DC44" w14:textId="77777777" w:rsidTr="000754D9">
        <w:trPr>
          <w:trHeight w:val="902"/>
        </w:trPr>
        <w:tc>
          <w:tcPr>
            <w:tcW w:w="2820"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5CA71BDD" w14:textId="77777777" w:rsidR="000754D9" w:rsidRPr="000754D9" w:rsidRDefault="000754D9" w:rsidP="000754D9">
            <w:pPr>
              <w:spacing w:after="0" w:line="240" w:lineRule="auto"/>
              <w:rPr>
                <w:rFonts w:ascii="Aptos" w:eastAsia="Times New Roman" w:hAnsi="Aptos" w:cs="Times New Roman"/>
                <w:b/>
                <w:bCs/>
                <w:color w:val="000000"/>
                <w:kern w:val="0"/>
                <w:sz w:val="22"/>
                <w:szCs w:val="22"/>
                <w:lang w:val="en-GB" w:eastAsia="en-GB"/>
                <w14:ligatures w14:val="none"/>
              </w:rPr>
            </w:pPr>
            <w:r w:rsidRPr="000754D9">
              <w:rPr>
                <w:rFonts w:ascii="Aptos" w:eastAsia="Times New Roman" w:hAnsi="Aptos" w:cs="Times New Roman"/>
                <w:b/>
                <w:bCs/>
                <w:color w:val="000000"/>
                <w:kern w:val="0"/>
                <w:sz w:val="22"/>
                <w:szCs w:val="22"/>
                <w:lang w:val="en-GB" w:eastAsia="en-GB"/>
                <w14:ligatures w14:val="none"/>
              </w:rPr>
              <w:t xml:space="preserve">Category </w:t>
            </w:r>
          </w:p>
        </w:tc>
        <w:tc>
          <w:tcPr>
            <w:tcW w:w="3000" w:type="dxa"/>
            <w:tcBorders>
              <w:top w:val="single" w:sz="4" w:space="0" w:color="auto"/>
              <w:left w:val="nil"/>
              <w:bottom w:val="single" w:sz="4" w:space="0" w:color="auto"/>
              <w:right w:val="single" w:sz="4" w:space="0" w:color="auto"/>
            </w:tcBorders>
            <w:shd w:val="clear" w:color="auto" w:fill="DAE9F7" w:themeFill="text2" w:themeFillTint="1A"/>
            <w:vAlign w:val="center"/>
            <w:hideMark/>
          </w:tcPr>
          <w:p w14:paraId="11E4C900" w14:textId="77777777" w:rsidR="000754D9" w:rsidRPr="000754D9" w:rsidRDefault="000754D9" w:rsidP="000754D9">
            <w:pPr>
              <w:spacing w:after="0" w:line="240" w:lineRule="auto"/>
              <w:rPr>
                <w:rFonts w:ascii="Aptos" w:eastAsia="Times New Roman" w:hAnsi="Aptos" w:cs="Times New Roman"/>
                <w:b/>
                <w:bCs/>
                <w:color w:val="000000"/>
                <w:kern w:val="0"/>
                <w:sz w:val="22"/>
                <w:szCs w:val="22"/>
                <w:lang w:val="en-GB" w:eastAsia="en-GB"/>
                <w14:ligatures w14:val="none"/>
              </w:rPr>
            </w:pPr>
            <w:r w:rsidRPr="000754D9">
              <w:rPr>
                <w:rFonts w:ascii="Aptos" w:eastAsia="Times New Roman" w:hAnsi="Aptos" w:cs="Times New Roman"/>
                <w:b/>
                <w:bCs/>
                <w:color w:val="000000"/>
                <w:kern w:val="0"/>
                <w:sz w:val="22"/>
                <w:szCs w:val="22"/>
                <w:lang w:val="en-GB" w:eastAsia="en-GB"/>
                <w14:ligatures w14:val="none"/>
              </w:rPr>
              <w:t>Direct Costs by category</w:t>
            </w:r>
          </w:p>
        </w:tc>
        <w:tc>
          <w:tcPr>
            <w:tcW w:w="2200" w:type="dxa"/>
            <w:tcBorders>
              <w:top w:val="single" w:sz="4" w:space="0" w:color="auto"/>
              <w:left w:val="nil"/>
              <w:bottom w:val="single" w:sz="4" w:space="0" w:color="auto"/>
              <w:right w:val="single" w:sz="4" w:space="0" w:color="auto"/>
            </w:tcBorders>
            <w:shd w:val="clear" w:color="auto" w:fill="DAE9F7" w:themeFill="text2" w:themeFillTint="1A"/>
            <w:vAlign w:val="center"/>
            <w:hideMark/>
          </w:tcPr>
          <w:p w14:paraId="10FFC511" w14:textId="77777777" w:rsidR="000754D9" w:rsidRPr="000754D9" w:rsidRDefault="000754D9" w:rsidP="000754D9">
            <w:pPr>
              <w:spacing w:after="0" w:line="240" w:lineRule="auto"/>
              <w:rPr>
                <w:rFonts w:ascii="Aptos" w:eastAsia="Times New Roman" w:hAnsi="Aptos" w:cs="Times New Roman"/>
                <w:b/>
                <w:bCs/>
                <w:color w:val="000000"/>
                <w:kern w:val="0"/>
                <w:sz w:val="22"/>
                <w:szCs w:val="22"/>
                <w:lang w:val="en-GB" w:eastAsia="en-GB"/>
                <w14:ligatures w14:val="none"/>
              </w:rPr>
            </w:pPr>
            <w:r w:rsidRPr="000754D9">
              <w:rPr>
                <w:rFonts w:ascii="Aptos" w:eastAsia="Times New Roman" w:hAnsi="Aptos" w:cs="Times New Roman"/>
                <w:b/>
                <w:bCs/>
                <w:color w:val="000000"/>
                <w:kern w:val="0"/>
                <w:sz w:val="22"/>
                <w:szCs w:val="22"/>
                <w:lang w:val="en-GB" w:eastAsia="en-GB"/>
                <w14:ligatures w14:val="none"/>
              </w:rPr>
              <w:t xml:space="preserve">Percentage of total direct costs </w:t>
            </w:r>
          </w:p>
        </w:tc>
      </w:tr>
      <w:tr w:rsidR="000754D9" w:rsidRPr="000754D9" w14:paraId="459B3E3B"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D09F44B" w14:textId="77777777" w:rsidR="000754D9" w:rsidRPr="000754D9" w:rsidRDefault="000754D9" w:rsidP="000754D9">
            <w:pPr>
              <w:spacing w:after="0" w:line="240" w:lineRule="auto"/>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People</w:t>
            </w:r>
          </w:p>
        </w:tc>
        <w:tc>
          <w:tcPr>
            <w:tcW w:w="3000" w:type="dxa"/>
            <w:tcBorders>
              <w:top w:val="nil"/>
              <w:left w:val="nil"/>
              <w:bottom w:val="single" w:sz="4" w:space="0" w:color="auto"/>
              <w:right w:val="single" w:sz="4" w:space="0" w:color="auto"/>
            </w:tcBorders>
            <w:shd w:val="clear" w:color="auto" w:fill="auto"/>
            <w:noWrap/>
            <w:vAlign w:val="bottom"/>
            <w:hideMark/>
          </w:tcPr>
          <w:p w14:paraId="61EDC80C" w14:textId="77777777" w:rsidR="000754D9" w:rsidRPr="000754D9" w:rsidRDefault="000754D9" w:rsidP="000754D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$14,892,775</w:t>
            </w:r>
          </w:p>
        </w:tc>
        <w:tc>
          <w:tcPr>
            <w:tcW w:w="2200" w:type="dxa"/>
            <w:tcBorders>
              <w:top w:val="nil"/>
              <w:left w:val="nil"/>
              <w:bottom w:val="single" w:sz="4" w:space="0" w:color="auto"/>
              <w:right w:val="single" w:sz="4" w:space="0" w:color="auto"/>
            </w:tcBorders>
            <w:shd w:val="clear" w:color="auto" w:fill="auto"/>
            <w:noWrap/>
            <w:vAlign w:val="bottom"/>
            <w:hideMark/>
          </w:tcPr>
          <w:p w14:paraId="7A20564A" w14:textId="77777777" w:rsidR="000754D9" w:rsidRPr="000754D9" w:rsidRDefault="000754D9" w:rsidP="000754D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77.61%</w:t>
            </w:r>
          </w:p>
        </w:tc>
      </w:tr>
      <w:tr w:rsidR="000754D9" w:rsidRPr="000754D9" w14:paraId="521E6843"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FAF4641" w14:textId="77777777" w:rsidR="000754D9" w:rsidRPr="000754D9" w:rsidRDefault="000754D9" w:rsidP="000754D9">
            <w:pPr>
              <w:spacing w:after="0" w:line="240" w:lineRule="auto"/>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 xml:space="preserve">Contracts </w:t>
            </w:r>
          </w:p>
        </w:tc>
        <w:tc>
          <w:tcPr>
            <w:tcW w:w="3000" w:type="dxa"/>
            <w:tcBorders>
              <w:top w:val="nil"/>
              <w:left w:val="nil"/>
              <w:bottom w:val="single" w:sz="4" w:space="0" w:color="auto"/>
              <w:right w:val="single" w:sz="4" w:space="0" w:color="auto"/>
            </w:tcBorders>
            <w:shd w:val="clear" w:color="auto" w:fill="auto"/>
            <w:noWrap/>
            <w:vAlign w:val="bottom"/>
            <w:hideMark/>
          </w:tcPr>
          <w:p w14:paraId="3227303D" w14:textId="77777777" w:rsidR="000754D9" w:rsidRPr="000754D9" w:rsidRDefault="000754D9" w:rsidP="000754D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$2,300,000</w:t>
            </w:r>
          </w:p>
        </w:tc>
        <w:tc>
          <w:tcPr>
            <w:tcW w:w="2200" w:type="dxa"/>
            <w:tcBorders>
              <w:top w:val="nil"/>
              <w:left w:val="nil"/>
              <w:bottom w:val="single" w:sz="4" w:space="0" w:color="auto"/>
              <w:right w:val="single" w:sz="4" w:space="0" w:color="auto"/>
            </w:tcBorders>
            <w:shd w:val="clear" w:color="auto" w:fill="auto"/>
            <w:noWrap/>
            <w:vAlign w:val="bottom"/>
            <w:hideMark/>
          </w:tcPr>
          <w:p w14:paraId="24725B1F" w14:textId="77777777" w:rsidR="000754D9" w:rsidRPr="000754D9" w:rsidRDefault="000754D9" w:rsidP="000754D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11.99%</w:t>
            </w:r>
          </w:p>
        </w:tc>
      </w:tr>
      <w:tr w:rsidR="000754D9" w:rsidRPr="000754D9" w14:paraId="2369EE95"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392AE6D" w14:textId="77777777" w:rsidR="000754D9" w:rsidRPr="000754D9" w:rsidRDefault="000754D9" w:rsidP="000754D9">
            <w:pPr>
              <w:spacing w:after="0" w:line="240" w:lineRule="auto"/>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 xml:space="preserve">Tools </w:t>
            </w:r>
          </w:p>
        </w:tc>
        <w:tc>
          <w:tcPr>
            <w:tcW w:w="3000" w:type="dxa"/>
            <w:tcBorders>
              <w:top w:val="nil"/>
              <w:left w:val="nil"/>
              <w:bottom w:val="single" w:sz="4" w:space="0" w:color="auto"/>
              <w:right w:val="single" w:sz="4" w:space="0" w:color="auto"/>
            </w:tcBorders>
            <w:shd w:val="clear" w:color="auto" w:fill="auto"/>
            <w:noWrap/>
            <w:vAlign w:val="bottom"/>
            <w:hideMark/>
          </w:tcPr>
          <w:p w14:paraId="5D3A6E80" w14:textId="77777777" w:rsidR="000754D9" w:rsidRPr="000754D9" w:rsidRDefault="000754D9" w:rsidP="000754D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$108,858</w:t>
            </w:r>
          </w:p>
        </w:tc>
        <w:tc>
          <w:tcPr>
            <w:tcW w:w="2200" w:type="dxa"/>
            <w:tcBorders>
              <w:top w:val="nil"/>
              <w:left w:val="nil"/>
              <w:bottom w:val="single" w:sz="4" w:space="0" w:color="auto"/>
              <w:right w:val="single" w:sz="4" w:space="0" w:color="auto"/>
            </w:tcBorders>
            <w:shd w:val="clear" w:color="auto" w:fill="auto"/>
            <w:noWrap/>
            <w:vAlign w:val="bottom"/>
            <w:hideMark/>
          </w:tcPr>
          <w:p w14:paraId="25AE1BB6" w14:textId="77777777" w:rsidR="000754D9" w:rsidRPr="000754D9" w:rsidRDefault="000754D9" w:rsidP="000754D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0.57%</w:t>
            </w:r>
          </w:p>
        </w:tc>
      </w:tr>
      <w:tr w:rsidR="000754D9" w:rsidRPr="000754D9" w14:paraId="58F0C2DF"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1F29F53" w14:textId="77777777" w:rsidR="000754D9" w:rsidRPr="000754D9" w:rsidRDefault="000754D9" w:rsidP="000754D9">
            <w:pPr>
              <w:spacing w:after="0" w:line="240" w:lineRule="auto"/>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 xml:space="preserve">Training event attendance </w:t>
            </w:r>
          </w:p>
        </w:tc>
        <w:tc>
          <w:tcPr>
            <w:tcW w:w="3000" w:type="dxa"/>
            <w:tcBorders>
              <w:top w:val="nil"/>
              <w:left w:val="nil"/>
              <w:bottom w:val="single" w:sz="4" w:space="0" w:color="auto"/>
              <w:right w:val="single" w:sz="4" w:space="0" w:color="auto"/>
            </w:tcBorders>
            <w:shd w:val="clear" w:color="auto" w:fill="auto"/>
            <w:noWrap/>
            <w:vAlign w:val="bottom"/>
            <w:hideMark/>
          </w:tcPr>
          <w:p w14:paraId="43D6FAC9" w14:textId="77777777" w:rsidR="000754D9" w:rsidRPr="000754D9" w:rsidRDefault="000754D9" w:rsidP="000754D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$1,116,000</w:t>
            </w:r>
          </w:p>
        </w:tc>
        <w:tc>
          <w:tcPr>
            <w:tcW w:w="2200" w:type="dxa"/>
            <w:tcBorders>
              <w:top w:val="nil"/>
              <w:left w:val="nil"/>
              <w:bottom w:val="single" w:sz="4" w:space="0" w:color="auto"/>
              <w:right w:val="single" w:sz="4" w:space="0" w:color="auto"/>
            </w:tcBorders>
            <w:shd w:val="clear" w:color="auto" w:fill="auto"/>
            <w:noWrap/>
            <w:vAlign w:val="bottom"/>
            <w:hideMark/>
          </w:tcPr>
          <w:p w14:paraId="295FBD60" w14:textId="77777777" w:rsidR="000754D9" w:rsidRPr="000754D9" w:rsidRDefault="000754D9" w:rsidP="000754D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5.82%</w:t>
            </w:r>
          </w:p>
        </w:tc>
      </w:tr>
      <w:tr w:rsidR="000754D9" w:rsidRPr="000754D9" w14:paraId="59A54784"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770CB4A" w14:textId="77777777" w:rsidR="000754D9" w:rsidRPr="000754D9" w:rsidRDefault="000754D9" w:rsidP="000754D9">
            <w:pPr>
              <w:spacing w:after="0" w:line="240" w:lineRule="auto"/>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 xml:space="preserve">Citizen engagement </w:t>
            </w:r>
          </w:p>
        </w:tc>
        <w:tc>
          <w:tcPr>
            <w:tcW w:w="3000" w:type="dxa"/>
            <w:tcBorders>
              <w:top w:val="nil"/>
              <w:left w:val="nil"/>
              <w:bottom w:val="single" w:sz="4" w:space="0" w:color="auto"/>
              <w:right w:val="single" w:sz="4" w:space="0" w:color="auto"/>
            </w:tcBorders>
            <w:shd w:val="clear" w:color="auto" w:fill="auto"/>
            <w:noWrap/>
            <w:vAlign w:val="bottom"/>
            <w:hideMark/>
          </w:tcPr>
          <w:p w14:paraId="2D33AD67" w14:textId="77777777" w:rsidR="000754D9" w:rsidRPr="000754D9" w:rsidRDefault="000754D9" w:rsidP="000754D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$223,200</w:t>
            </w:r>
          </w:p>
        </w:tc>
        <w:tc>
          <w:tcPr>
            <w:tcW w:w="2200" w:type="dxa"/>
            <w:tcBorders>
              <w:top w:val="nil"/>
              <w:left w:val="nil"/>
              <w:bottom w:val="single" w:sz="4" w:space="0" w:color="auto"/>
              <w:right w:val="single" w:sz="4" w:space="0" w:color="auto"/>
            </w:tcBorders>
            <w:shd w:val="clear" w:color="auto" w:fill="auto"/>
            <w:noWrap/>
            <w:vAlign w:val="bottom"/>
            <w:hideMark/>
          </w:tcPr>
          <w:p w14:paraId="329001E4" w14:textId="77777777" w:rsidR="000754D9" w:rsidRPr="000754D9" w:rsidRDefault="000754D9" w:rsidP="000754D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1.16%</w:t>
            </w:r>
          </w:p>
        </w:tc>
      </w:tr>
      <w:tr w:rsidR="000754D9" w:rsidRPr="000754D9" w14:paraId="643F3C86"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4B57BEE" w14:textId="77777777" w:rsidR="000754D9" w:rsidRPr="000754D9" w:rsidRDefault="000754D9" w:rsidP="000754D9">
            <w:pPr>
              <w:spacing w:after="0" w:line="240" w:lineRule="auto"/>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Travel</w:t>
            </w:r>
          </w:p>
        </w:tc>
        <w:tc>
          <w:tcPr>
            <w:tcW w:w="3000" w:type="dxa"/>
            <w:tcBorders>
              <w:top w:val="nil"/>
              <w:left w:val="nil"/>
              <w:bottom w:val="single" w:sz="4" w:space="0" w:color="auto"/>
              <w:right w:val="single" w:sz="4" w:space="0" w:color="auto"/>
            </w:tcBorders>
            <w:shd w:val="clear" w:color="auto" w:fill="auto"/>
            <w:noWrap/>
            <w:vAlign w:val="bottom"/>
            <w:hideMark/>
          </w:tcPr>
          <w:p w14:paraId="31601F4C" w14:textId="77777777" w:rsidR="000754D9" w:rsidRPr="000754D9" w:rsidRDefault="000754D9" w:rsidP="000754D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$419,750</w:t>
            </w:r>
          </w:p>
        </w:tc>
        <w:tc>
          <w:tcPr>
            <w:tcW w:w="2200" w:type="dxa"/>
            <w:tcBorders>
              <w:top w:val="nil"/>
              <w:left w:val="nil"/>
              <w:bottom w:val="single" w:sz="4" w:space="0" w:color="auto"/>
              <w:right w:val="single" w:sz="4" w:space="0" w:color="auto"/>
            </w:tcBorders>
            <w:shd w:val="clear" w:color="auto" w:fill="auto"/>
            <w:noWrap/>
            <w:vAlign w:val="bottom"/>
            <w:hideMark/>
          </w:tcPr>
          <w:p w14:paraId="4F9D652D" w14:textId="77777777" w:rsidR="000754D9" w:rsidRPr="000754D9" w:rsidRDefault="000754D9" w:rsidP="000754D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2.19%</w:t>
            </w:r>
          </w:p>
        </w:tc>
      </w:tr>
      <w:tr w:rsidR="000754D9" w:rsidRPr="000754D9" w14:paraId="4C433187"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901BDF7" w14:textId="77777777" w:rsidR="000754D9" w:rsidRPr="000754D9" w:rsidRDefault="000754D9" w:rsidP="000754D9">
            <w:pPr>
              <w:spacing w:after="0" w:line="240" w:lineRule="auto"/>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Dissemination</w:t>
            </w:r>
          </w:p>
        </w:tc>
        <w:tc>
          <w:tcPr>
            <w:tcW w:w="3000" w:type="dxa"/>
            <w:tcBorders>
              <w:top w:val="nil"/>
              <w:left w:val="nil"/>
              <w:bottom w:val="single" w:sz="4" w:space="0" w:color="auto"/>
              <w:right w:val="single" w:sz="4" w:space="0" w:color="auto"/>
            </w:tcBorders>
            <w:shd w:val="clear" w:color="auto" w:fill="auto"/>
            <w:noWrap/>
            <w:vAlign w:val="bottom"/>
            <w:hideMark/>
          </w:tcPr>
          <w:p w14:paraId="02E18C0B" w14:textId="77777777" w:rsidR="000754D9" w:rsidRPr="000754D9" w:rsidRDefault="000754D9" w:rsidP="000754D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$127,650</w:t>
            </w:r>
          </w:p>
        </w:tc>
        <w:tc>
          <w:tcPr>
            <w:tcW w:w="2200" w:type="dxa"/>
            <w:tcBorders>
              <w:top w:val="nil"/>
              <w:left w:val="nil"/>
              <w:bottom w:val="single" w:sz="4" w:space="0" w:color="auto"/>
              <w:right w:val="single" w:sz="4" w:space="0" w:color="auto"/>
            </w:tcBorders>
            <w:shd w:val="clear" w:color="auto" w:fill="auto"/>
            <w:noWrap/>
            <w:vAlign w:val="bottom"/>
            <w:hideMark/>
          </w:tcPr>
          <w:p w14:paraId="21C63746" w14:textId="77777777" w:rsidR="000754D9" w:rsidRPr="000754D9" w:rsidRDefault="000754D9" w:rsidP="000754D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0.67%</w:t>
            </w:r>
          </w:p>
        </w:tc>
      </w:tr>
      <w:tr w:rsidR="000754D9" w:rsidRPr="000754D9" w14:paraId="0078C608"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8CFE242" w14:textId="77777777" w:rsidR="000754D9" w:rsidRPr="000754D9" w:rsidRDefault="000754D9" w:rsidP="000754D9">
            <w:pPr>
              <w:spacing w:after="0" w:line="240" w:lineRule="auto"/>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 xml:space="preserve">Other </w:t>
            </w:r>
          </w:p>
        </w:tc>
        <w:tc>
          <w:tcPr>
            <w:tcW w:w="3000" w:type="dxa"/>
            <w:tcBorders>
              <w:top w:val="nil"/>
              <w:left w:val="nil"/>
              <w:bottom w:val="single" w:sz="4" w:space="0" w:color="auto"/>
              <w:right w:val="single" w:sz="4" w:space="0" w:color="auto"/>
            </w:tcBorders>
            <w:shd w:val="clear" w:color="auto" w:fill="auto"/>
            <w:noWrap/>
            <w:vAlign w:val="bottom"/>
            <w:hideMark/>
          </w:tcPr>
          <w:p w14:paraId="6A27CC20" w14:textId="77777777" w:rsidR="000754D9" w:rsidRPr="000754D9" w:rsidRDefault="000754D9" w:rsidP="000754D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13CED2C7" w14:textId="77777777" w:rsidR="000754D9" w:rsidRPr="000754D9" w:rsidRDefault="000754D9" w:rsidP="000754D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0.00%</w:t>
            </w:r>
          </w:p>
        </w:tc>
      </w:tr>
      <w:tr w:rsidR="000754D9" w:rsidRPr="000754D9" w14:paraId="15BA0FAD"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451DB0D" w14:textId="77777777" w:rsidR="000754D9" w:rsidRPr="000754D9" w:rsidRDefault="000754D9" w:rsidP="000754D9">
            <w:pPr>
              <w:spacing w:after="0" w:line="240" w:lineRule="auto"/>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 xml:space="preserve">Total direct costs </w:t>
            </w:r>
          </w:p>
        </w:tc>
        <w:tc>
          <w:tcPr>
            <w:tcW w:w="3000" w:type="dxa"/>
            <w:tcBorders>
              <w:top w:val="nil"/>
              <w:left w:val="nil"/>
              <w:bottom w:val="single" w:sz="4" w:space="0" w:color="auto"/>
              <w:right w:val="single" w:sz="4" w:space="0" w:color="auto"/>
            </w:tcBorders>
            <w:shd w:val="clear" w:color="auto" w:fill="auto"/>
            <w:noWrap/>
            <w:vAlign w:val="bottom"/>
            <w:hideMark/>
          </w:tcPr>
          <w:p w14:paraId="434D59C4" w14:textId="77777777" w:rsidR="000754D9" w:rsidRPr="000754D9" w:rsidRDefault="000754D9" w:rsidP="000754D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$19,188,233</w:t>
            </w:r>
          </w:p>
        </w:tc>
        <w:tc>
          <w:tcPr>
            <w:tcW w:w="2200" w:type="dxa"/>
            <w:tcBorders>
              <w:top w:val="nil"/>
              <w:left w:val="nil"/>
              <w:bottom w:val="single" w:sz="4" w:space="0" w:color="auto"/>
              <w:right w:val="single" w:sz="4" w:space="0" w:color="auto"/>
            </w:tcBorders>
            <w:shd w:val="clear" w:color="auto" w:fill="auto"/>
            <w:noWrap/>
            <w:vAlign w:val="bottom"/>
            <w:hideMark/>
          </w:tcPr>
          <w:p w14:paraId="09798398" w14:textId="77777777" w:rsidR="000754D9" w:rsidRPr="000754D9" w:rsidRDefault="000754D9" w:rsidP="000754D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100.00%</w:t>
            </w:r>
          </w:p>
        </w:tc>
      </w:tr>
      <w:tr w:rsidR="000754D9" w:rsidRPr="000754D9" w14:paraId="46A4A80E"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DF80ED5" w14:textId="77777777" w:rsidR="000754D9" w:rsidRPr="000754D9" w:rsidRDefault="000754D9" w:rsidP="000754D9">
            <w:pPr>
              <w:spacing w:after="0" w:line="240" w:lineRule="auto"/>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 xml:space="preserve">Grand total with 20% overheads </w:t>
            </w:r>
          </w:p>
        </w:tc>
        <w:tc>
          <w:tcPr>
            <w:tcW w:w="3000" w:type="dxa"/>
            <w:tcBorders>
              <w:top w:val="nil"/>
              <w:left w:val="nil"/>
              <w:bottom w:val="single" w:sz="4" w:space="0" w:color="auto"/>
              <w:right w:val="single" w:sz="4" w:space="0" w:color="auto"/>
            </w:tcBorders>
            <w:shd w:val="clear" w:color="auto" w:fill="auto"/>
            <w:noWrap/>
            <w:vAlign w:val="bottom"/>
            <w:hideMark/>
          </w:tcPr>
          <w:p w14:paraId="505DB095" w14:textId="77777777" w:rsidR="000754D9" w:rsidRPr="000754D9" w:rsidRDefault="000754D9" w:rsidP="000754D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$23,025,880</w:t>
            </w:r>
          </w:p>
        </w:tc>
        <w:tc>
          <w:tcPr>
            <w:tcW w:w="2200" w:type="dxa"/>
            <w:tcBorders>
              <w:top w:val="nil"/>
              <w:left w:val="nil"/>
              <w:bottom w:val="single" w:sz="4" w:space="0" w:color="auto"/>
              <w:right w:val="single" w:sz="4" w:space="0" w:color="auto"/>
            </w:tcBorders>
            <w:shd w:val="clear" w:color="auto" w:fill="auto"/>
            <w:noWrap/>
            <w:vAlign w:val="bottom"/>
            <w:hideMark/>
          </w:tcPr>
          <w:p w14:paraId="354C2E9A" w14:textId="77777777" w:rsidR="000754D9" w:rsidRPr="000754D9" w:rsidRDefault="000754D9" w:rsidP="000754D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754D9">
              <w:rPr>
                <w:rFonts w:ascii="Aptos Narrow" w:eastAsia="Times New Roman" w:hAnsi="Aptos Narrow" w:cs="Times New Roman"/>
                <w:color w:val="000000"/>
                <w:kern w:val="0"/>
                <w:sz w:val="22"/>
                <w:szCs w:val="22"/>
                <w:lang w:val="en-GB" w:eastAsia="en-GB"/>
                <w14:ligatures w14:val="none"/>
              </w:rPr>
              <w:t> </w:t>
            </w:r>
          </w:p>
        </w:tc>
      </w:tr>
    </w:tbl>
    <w:p w14:paraId="4A81D572" w14:textId="77777777" w:rsidR="00C64DA2" w:rsidRDefault="00C64DA2" w:rsidP="002276BA">
      <w:pPr>
        <w:rPr>
          <w:sz w:val="20"/>
          <w:szCs w:val="20"/>
        </w:rPr>
      </w:pPr>
    </w:p>
    <w:p w14:paraId="7BC4CC78" w14:textId="77777777" w:rsidR="00AB2A61" w:rsidRPr="00E336E6" w:rsidRDefault="00AB2A61" w:rsidP="00AB2A61">
      <w:pPr>
        <w:pStyle w:val="Heading1"/>
      </w:pPr>
      <w:r>
        <w:lastRenderedPageBreak/>
        <w:t>Option 1B - R</w:t>
      </w:r>
      <w:r w:rsidRPr="0097559E">
        <w:t>egional demand-side secretariats</w:t>
      </w:r>
      <w:r>
        <w:t>: $8.7m</w:t>
      </w:r>
      <w:r w:rsidRPr="0097559E">
        <w:t xml:space="preserve"> </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2122"/>
        <w:gridCol w:w="7376"/>
      </w:tblGrid>
      <w:tr w:rsidR="00C034F5" w:rsidRPr="00A855E9" w14:paraId="294CCFDF" w14:textId="77777777" w:rsidTr="00AB2A61">
        <w:tc>
          <w:tcPr>
            <w:tcW w:w="9498" w:type="dxa"/>
            <w:gridSpan w:val="2"/>
            <w:shd w:val="clear" w:color="auto" w:fill="F2CEED" w:themeFill="accent5" w:themeFillTint="33"/>
          </w:tcPr>
          <w:p w14:paraId="06C75D24" w14:textId="77777777" w:rsidR="00C034F5" w:rsidRPr="00A855E9" w:rsidRDefault="00C034F5" w:rsidP="00AB2A61">
            <w:pPr>
              <w:rPr>
                <w:color w:val="0F4761" w:themeColor="accent1" w:themeShade="BF"/>
                <w:sz w:val="22"/>
                <w:szCs w:val="22"/>
              </w:rPr>
            </w:pPr>
            <w:r w:rsidRPr="00A855E9">
              <w:rPr>
                <w:color w:val="0F4761" w:themeColor="accent1" w:themeShade="BF"/>
                <w:sz w:val="22"/>
                <w:szCs w:val="22"/>
              </w:rPr>
              <w:t>As per 1A but scope of work is reduced; core staff compliment is reduced; sequencing changed – changes in purple</w:t>
            </w:r>
          </w:p>
        </w:tc>
      </w:tr>
      <w:tr w:rsidR="00C034F5" w14:paraId="3A94A386" w14:textId="77777777" w:rsidTr="00AB2A61">
        <w:tc>
          <w:tcPr>
            <w:tcW w:w="2122" w:type="dxa"/>
          </w:tcPr>
          <w:p w14:paraId="02CF74C8" w14:textId="77777777" w:rsidR="00C034F5" w:rsidRPr="0093000C" w:rsidRDefault="00C034F5" w:rsidP="00AB2A61">
            <w:pPr>
              <w:ind w:left="2160" w:hanging="2160"/>
              <w:jc w:val="both"/>
              <w:rPr>
                <w:b/>
                <w:bCs/>
                <w:sz w:val="20"/>
                <w:szCs w:val="20"/>
              </w:rPr>
            </w:pPr>
          </w:p>
        </w:tc>
        <w:tc>
          <w:tcPr>
            <w:tcW w:w="7376" w:type="dxa"/>
          </w:tcPr>
          <w:p w14:paraId="6BBFDD2B" w14:textId="77777777" w:rsidR="00C034F5" w:rsidRDefault="00C034F5" w:rsidP="00AB2A61">
            <w:pPr>
              <w:rPr>
                <w:sz w:val="20"/>
                <w:szCs w:val="20"/>
              </w:rPr>
            </w:pPr>
          </w:p>
        </w:tc>
      </w:tr>
      <w:tr w:rsidR="00C034F5" w14:paraId="413C5465" w14:textId="77777777" w:rsidTr="00AB2A61">
        <w:tc>
          <w:tcPr>
            <w:tcW w:w="2122" w:type="dxa"/>
          </w:tcPr>
          <w:p w14:paraId="7352219F" w14:textId="77777777" w:rsidR="00C034F5" w:rsidRPr="0093000C" w:rsidRDefault="00C034F5" w:rsidP="00AB2A61">
            <w:pPr>
              <w:ind w:left="2160" w:hanging="2160"/>
              <w:jc w:val="both"/>
              <w:rPr>
                <w:b/>
                <w:bCs/>
                <w:sz w:val="20"/>
                <w:szCs w:val="20"/>
              </w:rPr>
            </w:pPr>
            <w:r w:rsidRPr="0093000C">
              <w:rPr>
                <w:b/>
                <w:bCs/>
                <w:sz w:val="20"/>
                <w:szCs w:val="20"/>
              </w:rPr>
              <w:t>Implementation</w:t>
            </w:r>
          </w:p>
          <w:p w14:paraId="30E0B7B7" w14:textId="77777777" w:rsidR="00C034F5" w:rsidRPr="0093000C" w:rsidRDefault="00C034F5" w:rsidP="00AB2A61">
            <w:pPr>
              <w:jc w:val="both"/>
              <w:rPr>
                <w:b/>
                <w:bCs/>
                <w:sz w:val="20"/>
                <w:szCs w:val="20"/>
              </w:rPr>
            </w:pPr>
            <w:r w:rsidRPr="0093000C">
              <w:rPr>
                <w:b/>
                <w:bCs/>
                <w:sz w:val="20"/>
                <w:szCs w:val="20"/>
              </w:rPr>
              <w:t>Caveats</w:t>
            </w:r>
          </w:p>
        </w:tc>
        <w:tc>
          <w:tcPr>
            <w:tcW w:w="7376" w:type="dxa"/>
          </w:tcPr>
          <w:p w14:paraId="37F4B123" w14:textId="77777777" w:rsidR="00C034F5" w:rsidRPr="0051425C" w:rsidRDefault="00C034F5" w:rsidP="00AB2A61">
            <w:pPr>
              <w:rPr>
                <w:color w:val="156082" w:themeColor="accent1"/>
                <w:sz w:val="20"/>
                <w:szCs w:val="20"/>
              </w:rPr>
            </w:pPr>
            <w:r w:rsidRPr="0051425C">
              <w:rPr>
                <w:color w:val="156082" w:themeColor="accent1"/>
                <w:sz w:val="20"/>
                <w:szCs w:val="20"/>
              </w:rPr>
              <w:t>As per 1A</w:t>
            </w:r>
          </w:p>
        </w:tc>
      </w:tr>
      <w:tr w:rsidR="00C034F5" w14:paraId="6E726FBD" w14:textId="77777777" w:rsidTr="00AB2A61">
        <w:tc>
          <w:tcPr>
            <w:tcW w:w="2122" w:type="dxa"/>
          </w:tcPr>
          <w:p w14:paraId="427E87E0" w14:textId="77777777" w:rsidR="00C034F5" w:rsidRPr="0093000C" w:rsidRDefault="00C034F5" w:rsidP="00AB2A61">
            <w:pPr>
              <w:jc w:val="both"/>
              <w:rPr>
                <w:b/>
                <w:bCs/>
                <w:sz w:val="20"/>
                <w:szCs w:val="20"/>
              </w:rPr>
            </w:pPr>
            <w:r w:rsidRPr="0093000C">
              <w:rPr>
                <w:b/>
                <w:bCs/>
                <w:sz w:val="20"/>
                <w:szCs w:val="20"/>
              </w:rPr>
              <w:t>Staff Profile</w:t>
            </w:r>
          </w:p>
        </w:tc>
        <w:tc>
          <w:tcPr>
            <w:tcW w:w="7376" w:type="dxa"/>
          </w:tcPr>
          <w:p w14:paraId="0B2F6668" w14:textId="77777777" w:rsidR="00C034F5" w:rsidRPr="00F243B6" w:rsidRDefault="00C034F5" w:rsidP="00AB2A61">
            <w:pPr>
              <w:spacing w:after="120"/>
              <w:rPr>
                <w:color w:val="156082" w:themeColor="accent1"/>
                <w:sz w:val="20"/>
                <w:szCs w:val="20"/>
                <w:lang w:val="en-AU"/>
              </w:rPr>
            </w:pPr>
            <w:r w:rsidRPr="00F243B6">
              <w:rPr>
                <w:color w:val="156082" w:themeColor="accent1"/>
                <w:sz w:val="20"/>
                <w:szCs w:val="20"/>
                <w:lang w:val="en-GB"/>
              </w:rPr>
              <w:t>1 x Director (Tier 1)</w:t>
            </w:r>
            <w:r w:rsidRPr="00F243B6">
              <w:rPr>
                <w:color w:val="156082" w:themeColor="accent1"/>
                <w:sz w:val="20"/>
                <w:szCs w:val="20"/>
                <w:lang w:val="en-AU"/>
              </w:rPr>
              <w:t> </w:t>
            </w:r>
          </w:p>
          <w:p w14:paraId="347868F1" w14:textId="3EAC13EE" w:rsidR="00C034F5" w:rsidRPr="00F243B6" w:rsidRDefault="00C034F5" w:rsidP="00AB2A61">
            <w:pPr>
              <w:spacing w:after="120"/>
              <w:rPr>
                <w:color w:val="156082" w:themeColor="accent1"/>
                <w:sz w:val="20"/>
                <w:szCs w:val="20"/>
                <w:lang w:val="en-AU"/>
              </w:rPr>
            </w:pPr>
            <w:r w:rsidRPr="550DC08A">
              <w:rPr>
                <w:color w:val="156082" w:themeColor="accent1"/>
                <w:sz w:val="20"/>
                <w:szCs w:val="20"/>
                <w:lang w:val="en-GB"/>
              </w:rPr>
              <w:t>2 x Sector Leads (Evidence Leads for</w:t>
            </w:r>
            <w:r w:rsidR="00382219">
              <w:rPr>
                <w:color w:val="156082" w:themeColor="accent1"/>
                <w:sz w:val="20"/>
                <w:szCs w:val="20"/>
                <w:lang w:val="en-GB"/>
              </w:rPr>
              <w:t xml:space="preserve"> 3 areas: for example </w:t>
            </w:r>
            <w:r w:rsidR="00DB7BE9">
              <w:rPr>
                <w:color w:val="156082" w:themeColor="accent1"/>
                <w:sz w:val="20"/>
                <w:szCs w:val="20"/>
                <w:lang w:val="en-GB"/>
              </w:rPr>
              <w:t xml:space="preserve">- </w:t>
            </w:r>
            <w:r w:rsidR="00DB7BE9" w:rsidRPr="550DC08A">
              <w:rPr>
                <w:color w:val="156082" w:themeColor="accent1"/>
                <w:sz w:val="20"/>
                <w:szCs w:val="20"/>
                <w:lang w:val="en-GB"/>
              </w:rPr>
              <w:t>economics</w:t>
            </w:r>
            <w:r w:rsidRPr="550DC08A">
              <w:rPr>
                <w:color w:val="156082" w:themeColor="accent1"/>
                <w:sz w:val="20"/>
                <w:szCs w:val="20"/>
                <w:lang w:val="en-GB"/>
              </w:rPr>
              <w:t>; social services/health; environment</w:t>
            </w:r>
            <w:r w:rsidR="00382219">
              <w:rPr>
                <w:color w:val="156082" w:themeColor="accent1"/>
                <w:sz w:val="20"/>
                <w:szCs w:val="20"/>
                <w:lang w:val="en-GB"/>
              </w:rPr>
              <w:t>)</w:t>
            </w:r>
            <w:r w:rsidRPr="550DC08A">
              <w:rPr>
                <w:color w:val="156082" w:themeColor="accent1"/>
                <w:sz w:val="20"/>
                <w:szCs w:val="20"/>
                <w:lang w:val="en-GB"/>
              </w:rPr>
              <w:t xml:space="preserve"> (Tier 2)</w:t>
            </w:r>
            <w:r w:rsidRPr="550DC08A">
              <w:rPr>
                <w:color w:val="156082" w:themeColor="accent1"/>
                <w:sz w:val="20"/>
                <w:szCs w:val="20"/>
                <w:lang w:val="en-AU"/>
              </w:rPr>
              <w:t> </w:t>
            </w:r>
          </w:p>
          <w:p w14:paraId="0A5EB222" w14:textId="77777777" w:rsidR="00C034F5" w:rsidRPr="00F243B6" w:rsidRDefault="00C034F5" w:rsidP="00AB2A61">
            <w:pPr>
              <w:spacing w:after="120"/>
              <w:rPr>
                <w:color w:val="156082" w:themeColor="accent1"/>
                <w:sz w:val="20"/>
                <w:szCs w:val="20"/>
                <w:lang w:val="en-AU"/>
              </w:rPr>
            </w:pPr>
            <w:r w:rsidRPr="00F243B6">
              <w:rPr>
                <w:color w:val="156082" w:themeColor="accent1"/>
                <w:sz w:val="20"/>
                <w:szCs w:val="20"/>
                <w:lang w:val="en-GB"/>
              </w:rPr>
              <w:t>1 x Admin support and Communications &amp; Partnerships Lead (Tier 2)</w:t>
            </w:r>
            <w:r w:rsidRPr="00F243B6">
              <w:rPr>
                <w:color w:val="156082" w:themeColor="accent1"/>
                <w:sz w:val="20"/>
                <w:szCs w:val="20"/>
                <w:lang w:val="en-AU"/>
              </w:rPr>
              <w:t> </w:t>
            </w:r>
          </w:p>
          <w:p w14:paraId="6DE467E3" w14:textId="77777777" w:rsidR="00C034F5" w:rsidRPr="00F243B6" w:rsidRDefault="00C034F5" w:rsidP="00AB2A61">
            <w:pPr>
              <w:spacing w:after="120"/>
              <w:rPr>
                <w:color w:val="A02B93" w:themeColor="accent5"/>
                <w:sz w:val="20"/>
                <w:szCs w:val="20"/>
                <w:lang w:val="en-AU"/>
              </w:rPr>
            </w:pPr>
            <w:r w:rsidRPr="00F243B6">
              <w:rPr>
                <w:color w:val="A02B93" w:themeColor="accent5"/>
                <w:sz w:val="20"/>
                <w:szCs w:val="20"/>
                <w:lang w:val="en-GB"/>
              </w:rPr>
              <w:t>Reduced 3 x sector specialists; 1 x sector lead; 1 x comms and partnerships (merged with admin)</w:t>
            </w:r>
            <w:r w:rsidRPr="00F243B6">
              <w:rPr>
                <w:color w:val="A02B93" w:themeColor="accent5"/>
                <w:sz w:val="20"/>
                <w:szCs w:val="20"/>
                <w:lang w:val="en-AU"/>
              </w:rPr>
              <w:t> </w:t>
            </w:r>
          </w:p>
        </w:tc>
      </w:tr>
      <w:tr w:rsidR="00C034F5" w14:paraId="443B7D7F" w14:textId="77777777" w:rsidTr="00AB2A61">
        <w:tc>
          <w:tcPr>
            <w:tcW w:w="2122" w:type="dxa"/>
          </w:tcPr>
          <w:p w14:paraId="3735A4AA" w14:textId="77777777" w:rsidR="00C034F5" w:rsidRPr="0093000C" w:rsidRDefault="00C034F5" w:rsidP="00AB2A61">
            <w:pPr>
              <w:jc w:val="both"/>
              <w:rPr>
                <w:b/>
                <w:bCs/>
                <w:sz w:val="20"/>
                <w:szCs w:val="20"/>
              </w:rPr>
            </w:pPr>
            <w:r w:rsidRPr="0093000C">
              <w:rPr>
                <w:b/>
                <w:bCs/>
                <w:sz w:val="20"/>
                <w:szCs w:val="20"/>
              </w:rPr>
              <w:t>Sequencing</w:t>
            </w:r>
          </w:p>
        </w:tc>
        <w:tc>
          <w:tcPr>
            <w:tcW w:w="7376" w:type="dxa"/>
          </w:tcPr>
          <w:p w14:paraId="1FFAE31A" w14:textId="77777777" w:rsidR="00C034F5" w:rsidRDefault="00C034F5" w:rsidP="00AB2A61">
            <w:pPr>
              <w:pStyle w:val="paragraph"/>
              <w:spacing w:before="0" w:beforeAutospacing="0" w:after="120" w:afterAutospacing="0"/>
              <w:textAlignment w:val="baseline"/>
              <w:rPr>
                <w:rFonts w:ascii="Segoe UI" w:hAnsi="Segoe UI" w:cs="Segoe UI"/>
                <w:sz w:val="18"/>
                <w:szCs w:val="18"/>
              </w:rPr>
            </w:pPr>
            <w:r>
              <w:rPr>
                <w:rStyle w:val="normaltextrun"/>
                <w:rFonts w:ascii="Aptos" w:eastAsiaTheme="majorEastAsia" w:hAnsi="Aptos" w:cs="Segoe UI"/>
                <w:color w:val="156082"/>
                <w:sz w:val="20"/>
                <w:szCs w:val="20"/>
                <w:lang w:val="en-GB"/>
              </w:rPr>
              <w:t xml:space="preserve">Year 1: set up </w:t>
            </w:r>
            <w:r>
              <w:rPr>
                <w:rStyle w:val="normaltextrun"/>
                <w:rFonts w:ascii="Aptos" w:eastAsiaTheme="majorEastAsia" w:hAnsi="Aptos" w:cs="Segoe UI"/>
                <w:color w:val="A02B93"/>
                <w:sz w:val="20"/>
                <w:szCs w:val="20"/>
                <w:lang w:val="en-GB"/>
              </w:rPr>
              <w:t xml:space="preserve">2 Secretariats </w:t>
            </w:r>
            <w:r>
              <w:rPr>
                <w:rStyle w:val="normaltextrun"/>
                <w:rFonts w:ascii="Aptos" w:eastAsiaTheme="majorEastAsia" w:hAnsi="Aptos" w:cs="Segoe UI"/>
                <w:color w:val="156082"/>
                <w:sz w:val="20"/>
                <w:szCs w:val="20"/>
                <w:lang w:val="en-GB"/>
              </w:rPr>
              <w:t xml:space="preserve">(Africa and LAC); </w:t>
            </w:r>
            <w:r>
              <w:rPr>
                <w:rStyle w:val="normaltextrun"/>
                <w:rFonts w:ascii="Aptos" w:eastAsiaTheme="majorEastAsia" w:hAnsi="Aptos" w:cs="Segoe UI"/>
                <w:color w:val="A02B93"/>
                <w:sz w:val="20"/>
                <w:szCs w:val="20"/>
                <w:lang w:val="en-GB"/>
              </w:rPr>
              <w:t>50% initial year funding; transition to full operational budgets in subsequent years</w:t>
            </w:r>
            <w:r>
              <w:rPr>
                <w:rStyle w:val="eop"/>
                <w:rFonts w:ascii="Aptos" w:eastAsiaTheme="majorEastAsia" w:hAnsi="Aptos" w:cs="Segoe UI"/>
                <w:color w:val="A02B93"/>
                <w:sz w:val="20"/>
                <w:szCs w:val="20"/>
              </w:rPr>
              <w:t> </w:t>
            </w:r>
          </w:p>
          <w:p w14:paraId="76E73203" w14:textId="77777777" w:rsidR="00C034F5" w:rsidRDefault="00C034F5" w:rsidP="00AB2A61">
            <w:pPr>
              <w:pStyle w:val="paragraph"/>
              <w:spacing w:before="0" w:beforeAutospacing="0" w:after="120" w:afterAutospacing="0"/>
              <w:ind w:firstLine="25"/>
              <w:textAlignment w:val="baseline"/>
              <w:rPr>
                <w:rStyle w:val="normaltextrun"/>
                <w:rFonts w:ascii="Aptos" w:eastAsiaTheme="majorEastAsia" w:hAnsi="Aptos" w:cs="Segoe UI"/>
                <w:color w:val="A02B93"/>
                <w:sz w:val="20"/>
                <w:szCs w:val="20"/>
                <w:lang w:val="en-GB"/>
              </w:rPr>
            </w:pPr>
            <w:r>
              <w:rPr>
                <w:rStyle w:val="normaltextrun"/>
                <w:rFonts w:ascii="Aptos" w:eastAsiaTheme="majorEastAsia" w:hAnsi="Aptos" w:cs="Segoe UI"/>
                <w:color w:val="156082"/>
                <w:sz w:val="20"/>
                <w:szCs w:val="20"/>
                <w:lang w:val="en-GB"/>
              </w:rPr>
              <w:t xml:space="preserve">Year 1: set up 2 Secretariats (Eastern Europe and Asia); </w:t>
            </w:r>
            <w:r>
              <w:rPr>
                <w:rStyle w:val="normaltextrun"/>
                <w:rFonts w:ascii="Aptos" w:eastAsiaTheme="majorEastAsia" w:hAnsi="Aptos" w:cs="Segoe UI"/>
                <w:color w:val="A02B93"/>
                <w:sz w:val="20"/>
                <w:szCs w:val="20"/>
                <w:lang w:val="en-GB"/>
              </w:rPr>
              <w:t xml:space="preserve">50% initial year funding; transition to full operational budgets in subsequent years </w:t>
            </w:r>
          </w:p>
          <w:p w14:paraId="1E768791" w14:textId="1C01F42E" w:rsidR="00C034F5" w:rsidRPr="00F243B6" w:rsidRDefault="00C034F5" w:rsidP="00AB2A61">
            <w:pPr>
              <w:pStyle w:val="paragraph"/>
              <w:spacing w:before="0" w:beforeAutospacing="0" w:after="120" w:afterAutospacing="0"/>
              <w:ind w:firstLine="25"/>
              <w:textAlignment w:val="baseline"/>
              <w:rPr>
                <w:rFonts w:ascii="Segoe UI" w:hAnsi="Segoe UI" w:cs="Segoe UI"/>
                <w:sz w:val="18"/>
                <w:szCs w:val="18"/>
              </w:rPr>
            </w:pPr>
            <w:r>
              <w:rPr>
                <w:rStyle w:val="normaltextrun"/>
                <w:rFonts w:ascii="Aptos" w:eastAsiaTheme="majorEastAsia" w:hAnsi="Aptos" w:cs="Segoe UI"/>
                <w:color w:val="156082"/>
                <w:sz w:val="20"/>
                <w:szCs w:val="20"/>
                <w:lang w:val="en-GB"/>
              </w:rPr>
              <w:t xml:space="preserve">Year 3: set up </w:t>
            </w:r>
            <w:r>
              <w:rPr>
                <w:rStyle w:val="normaltextrun"/>
                <w:rFonts w:ascii="Aptos" w:eastAsiaTheme="majorEastAsia" w:hAnsi="Aptos" w:cs="Segoe UI"/>
                <w:color w:val="A02B93"/>
                <w:sz w:val="20"/>
                <w:szCs w:val="20"/>
                <w:lang w:val="en-GB"/>
              </w:rPr>
              <w:t xml:space="preserve">1 Secretariat </w:t>
            </w:r>
            <w:r w:rsidR="00DB7BE9">
              <w:rPr>
                <w:rStyle w:val="normaltextrun"/>
                <w:rFonts w:ascii="Aptos" w:eastAsiaTheme="majorEastAsia" w:hAnsi="Aptos" w:cs="Segoe UI"/>
                <w:color w:val="156082"/>
                <w:sz w:val="20"/>
                <w:szCs w:val="20"/>
                <w:lang w:val="en-GB"/>
              </w:rPr>
              <w:t>(Western</w:t>
            </w:r>
            <w:r>
              <w:rPr>
                <w:rStyle w:val="normaltextrun"/>
                <w:rFonts w:ascii="Aptos" w:eastAsiaTheme="majorEastAsia" w:hAnsi="Aptos" w:cs="Segoe UI"/>
                <w:color w:val="156082"/>
                <w:sz w:val="20"/>
                <w:szCs w:val="20"/>
                <w:lang w:val="en-GB"/>
              </w:rPr>
              <w:t xml:space="preserve"> Europe &amp; Other States); </w:t>
            </w:r>
            <w:r>
              <w:rPr>
                <w:rStyle w:val="normaltextrun"/>
                <w:rFonts w:ascii="Aptos" w:eastAsiaTheme="majorEastAsia" w:hAnsi="Aptos" w:cs="Segoe UI"/>
                <w:color w:val="A02B93"/>
                <w:sz w:val="20"/>
                <w:szCs w:val="20"/>
                <w:lang w:val="en-GB"/>
              </w:rPr>
              <w:t>50% initial year funding; transition to full operational budgets in subsequent years</w:t>
            </w:r>
            <w:r>
              <w:rPr>
                <w:rStyle w:val="eop"/>
                <w:rFonts w:ascii="Aptos" w:eastAsiaTheme="majorEastAsia" w:hAnsi="Aptos" w:cs="Segoe UI"/>
                <w:color w:val="A02B93"/>
                <w:sz w:val="20"/>
                <w:szCs w:val="20"/>
              </w:rPr>
              <w:t> </w:t>
            </w:r>
          </w:p>
        </w:tc>
      </w:tr>
      <w:tr w:rsidR="00C034F5" w14:paraId="106C3D20" w14:textId="77777777" w:rsidTr="00AB2A61">
        <w:tc>
          <w:tcPr>
            <w:tcW w:w="2122" w:type="dxa"/>
            <w:tcBorders>
              <w:bottom w:val="single" w:sz="4" w:space="0" w:color="auto"/>
            </w:tcBorders>
          </w:tcPr>
          <w:p w14:paraId="394A5757" w14:textId="77777777" w:rsidR="00C034F5" w:rsidRPr="0093000C" w:rsidRDefault="00C034F5" w:rsidP="00AB2A61">
            <w:pPr>
              <w:jc w:val="both"/>
              <w:rPr>
                <w:b/>
                <w:bCs/>
                <w:sz w:val="20"/>
                <w:szCs w:val="20"/>
              </w:rPr>
            </w:pPr>
            <w:r w:rsidRPr="0093000C">
              <w:rPr>
                <w:b/>
                <w:bCs/>
                <w:sz w:val="20"/>
                <w:szCs w:val="20"/>
              </w:rPr>
              <w:t>Operational needs</w:t>
            </w:r>
          </w:p>
        </w:tc>
        <w:tc>
          <w:tcPr>
            <w:tcW w:w="7376" w:type="dxa"/>
            <w:tcBorders>
              <w:bottom w:val="single" w:sz="4" w:space="0" w:color="auto"/>
            </w:tcBorders>
          </w:tcPr>
          <w:p w14:paraId="181341AC" w14:textId="105920F0" w:rsidR="00C64DA2" w:rsidRPr="00C150D3" w:rsidRDefault="00C034F5" w:rsidP="00AB2A61">
            <w:pPr>
              <w:rPr>
                <w:rFonts w:ascii="Aptos" w:hAnsi="Aptos"/>
                <w:color w:val="156082"/>
                <w:sz w:val="20"/>
                <w:szCs w:val="20"/>
                <w:shd w:val="clear" w:color="auto" w:fill="FFFFFF"/>
              </w:rPr>
            </w:pPr>
            <w:r>
              <w:rPr>
                <w:rStyle w:val="normaltextrun"/>
                <w:rFonts w:ascii="Aptos" w:hAnsi="Aptos"/>
                <w:color w:val="156082"/>
                <w:sz w:val="20"/>
                <w:szCs w:val="20"/>
                <w:shd w:val="clear" w:color="auto" w:fill="FFFFFF"/>
              </w:rPr>
              <w:t>An annual provision of $100,000 in contracted or commissioned work to support expert input, facilitation, and infrastructure development. </w:t>
            </w:r>
          </w:p>
          <w:p w14:paraId="74057527" w14:textId="77777777" w:rsidR="00C64DA2" w:rsidRDefault="00C64DA2" w:rsidP="00AB2A61">
            <w:pPr>
              <w:rPr>
                <w:sz w:val="20"/>
                <w:szCs w:val="20"/>
              </w:rPr>
            </w:pPr>
          </w:p>
        </w:tc>
      </w:tr>
    </w:tbl>
    <w:p w14:paraId="64A97BDB" w14:textId="77777777" w:rsidR="006A24E3" w:rsidRDefault="006A24E3"/>
    <w:p w14:paraId="2A5EB0F5" w14:textId="77777777" w:rsidR="00796296" w:rsidRDefault="00453F50">
      <w:r w:rsidRPr="00453F50">
        <w:t xml:space="preserve"> </w:t>
      </w:r>
    </w:p>
    <w:tbl>
      <w:tblPr>
        <w:tblW w:w="9209" w:type="dxa"/>
        <w:tblLook w:val="04A0" w:firstRow="1" w:lastRow="0" w:firstColumn="1" w:lastColumn="0" w:noHBand="0" w:noVBand="1"/>
      </w:tblPr>
      <w:tblGrid>
        <w:gridCol w:w="2122"/>
        <w:gridCol w:w="3698"/>
        <w:gridCol w:w="3389"/>
      </w:tblGrid>
      <w:tr w:rsidR="00796296" w:rsidRPr="00796296" w14:paraId="234B65DE" w14:textId="77777777" w:rsidTr="00796296">
        <w:trPr>
          <w:trHeight w:val="902"/>
        </w:trPr>
        <w:tc>
          <w:tcPr>
            <w:tcW w:w="2122" w:type="dxa"/>
            <w:tcBorders>
              <w:top w:val="single" w:sz="4" w:space="0" w:color="auto"/>
              <w:left w:val="single" w:sz="4" w:space="0" w:color="auto"/>
              <w:bottom w:val="single" w:sz="4" w:space="0" w:color="auto"/>
              <w:right w:val="single" w:sz="4" w:space="0" w:color="auto"/>
            </w:tcBorders>
            <w:shd w:val="clear" w:color="auto" w:fill="F2CEED" w:themeFill="accent5" w:themeFillTint="33"/>
            <w:vAlign w:val="center"/>
            <w:hideMark/>
          </w:tcPr>
          <w:p w14:paraId="0DB77741" w14:textId="77777777" w:rsidR="00796296" w:rsidRPr="00796296" w:rsidRDefault="00796296" w:rsidP="00796296">
            <w:pPr>
              <w:spacing w:after="0" w:line="240" w:lineRule="auto"/>
              <w:rPr>
                <w:rFonts w:ascii="Aptos" w:eastAsia="Times New Roman" w:hAnsi="Aptos" w:cs="Times New Roman"/>
                <w:b/>
                <w:bCs/>
                <w:color w:val="000000"/>
                <w:kern w:val="0"/>
                <w:sz w:val="22"/>
                <w:szCs w:val="22"/>
                <w:lang w:val="en-GB" w:eastAsia="en-GB"/>
                <w14:ligatures w14:val="none"/>
              </w:rPr>
            </w:pPr>
            <w:r w:rsidRPr="00796296">
              <w:rPr>
                <w:rFonts w:ascii="Aptos" w:eastAsia="Times New Roman" w:hAnsi="Aptos" w:cs="Times New Roman"/>
                <w:b/>
                <w:bCs/>
                <w:color w:val="000000"/>
                <w:kern w:val="0"/>
                <w:sz w:val="22"/>
                <w:szCs w:val="22"/>
                <w:lang w:val="en-GB" w:eastAsia="en-GB"/>
                <w14:ligatures w14:val="none"/>
              </w:rPr>
              <w:t xml:space="preserve">Category </w:t>
            </w:r>
          </w:p>
        </w:tc>
        <w:tc>
          <w:tcPr>
            <w:tcW w:w="3698" w:type="dxa"/>
            <w:tcBorders>
              <w:top w:val="single" w:sz="4" w:space="0" w:color="auto"/>
              <w:left w:val="nil"/>
              <w:bottom w:val="single" w:sz="4" w:space="0" w:color="auto"/>
              <w:right w:val="single" w:sz="4" w:space="0" w:color="auto"/>
            </w:tcBorders>
            <w:shd w:val="clear" w:color="auto" w:fill="F2CEED" w:themeFill="accent5" w:themeFillTint="33"/>
            <w:vAlign w:val="center"/>
            <w:hideMark/>
          </w:tcPr>
          <w:p w14:paraId="5266C0B2" w14:textId="77777777" w:rsidR="00796296" w:rsidRPr="00796296" w:rsidRDefault="00796296" w:rsidP="00796296">
            <w:pPr>
              <w:spacing w:after="0" w:line="240" w:lineRule="auto"/>
              <w:rPr>
                <w:rFonts w:ascii="Aptos" w:eastAsia="Times New Roman" w:hAnsi="Aptos" w:cs="Times New Roman"/>
                <w:b/>
                <w:bCs/>
                <w:color w:val="000000"/>
                <w:kern w:val="0"/>
                <w:sz w:val="22"/>
                <w:szCs w:val="22"/>
                <w:lang w:val="en-GB" w:eastAsia="en-GB"/>
                <w14:ligatures w14:val="none"/>
              </w:rPr>
            </w:pPr>
            <w:r w:rsidRPr="00796296">
              <w:rPr>
                <w:rFonts w:ascii="Aptos" w:eastAsia="Times New Roman" w:hAnsi="Aptos" w:cs="Times New Roman"/>
                <w:b/>
                <w:bCs/>
                <w:color w:val="000000"/>
                <w:kern w:val="0"/>
                <w:sz w:val="22"/>
                <w:szCs w:val="22"/>
                <w:lang w:val="en-GB" w:eastAsia="en-GB"/>
                <w14:ligatures w14:val="none"/>
              </w:rPr>
              <w:t>Direct Costs by category</w:t>
            </w:r>
          </w:p>
        </w:tc>
        <w:tc>
          <w:tcPr>
            <w:tcW w:w="3389" w:type="dxa"/>
            <w:tcBorders>
              <w:top w:val="single" w:sz="4" w:space="0" w:color="auto"/>
              <w:left w:val="nil"/>
              <w:bottom w:val="single" w:sz="4" w:space="0" w:color="auto"/>
              <w:right w:val="single" w:sz="4" w:space="0" w:color="auto"/>
            </w:tcBorders>
            <w:shd w:val="clear" w:color="auto" w:fill="F2CEED" w:themeFill="accent5" w:themeFillTint="33"/>
            <w:vAlign w:val="center"/>
            <w:hideMark/>
          </w:tcPr>
          <w:p w14:paraId="4AFB3C76" w14:textId="77777777" w:rsidR="00796296" w:rsidRPr="00796296" w:rsidRDefault="00796296" w:rsidP="00796296">
            <w:pPr>
              <w:spacing w:after="0" w:line="240" w:lineRule="auto"/>
              <w:rPr>
                <w:rFonts w:ascii="Aptos" w:eastAsia="Times New Roman" w:hAnsi="Aptos" w:cs="Times New Roman"/>
                <w:b/>
                <w:bCs/>
                <w:color w:val="000000"/>
                <w:kern w:val="0"/>
                <w:sz w:val="22"/>
                <w:szCs w:val="22"/>
                <w:lang w:val="en-GB" w:eastAsia="en-GB"/>
                <w14:ligatures w14:val="none"/>
              </w:rPr>
            </w:pPr>
            <w:r w:rsidRPr="00796296">
              <w:rPr>
                <w:rFonts w:ascii="Aptos" w:eastAsia="Times New Roman" w:hAnsi="Aptos" w:cs="Times New Roman"/>
                <w:b/>
                <w:bCs/>
                <w:color w:val="000000"/>
                <w:kern w:val="0"/>
                <w:sz w:val="22"/>
                <w:szCs w:val="22"/>
                <w:lang w:val="en-GB" w:eastAsia="en-GB"/>
                <w14:ligatures w14:val="none"/>
              </w:rPr>
              <w:t xml:space="preserve">Percentage of total direct costs </w:t>
            </w:r>
          </w:p>
        </w:tc>
      </w:tr>
      <w:tr w:rsidR="00796296" w:rsidRPr="00796296" w14:paraId="16E9F0F8" w14:textId="77777777">
        <w:trPr>
          <w:trHeight w:val="301"/>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E8FB7D0" w14:textId="77777777" w:rsidR="00796296" w:rsidRPr="00796296" w:rsidRDefault="00796296" w:rsidP="00796296">
            <w:pPr>
              <w:spacing w:after="0" w:line="240" w:lineRule="auto"/>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People</w:t>
            </w:r>
          </w:p>
        </w:tc>
        <w:tc>
          <w:tcPr>
            <w:tcW w:w="3698" w:type="dxa"/>
            <w:tcBorders>
              <w:top w:val="nil"/>
              <w:left w:val="nil"/>
              <w:bottom w:val="single" w:sz="4" w:space="0" w:color="auto"/>
              <w:right w:val="single" w:sz="4" w:space="0" w:color="auto"/>
            </w:tcBorders>
            <w:shd w:val="clear" w:color="auto" w:fill="auto"/>
            <w:noWrap/>
            <w:vAlign w:val="bottom"/>
            <w:hideMark/>
          </w:tcPr>
          <w:p w14:paraId="0A8B68F4" w14:textId="77777777" w:rsidR="00796296" w:rsidRPr="00796296" w:rsidRDefault="00796296" w:rsidP="00796296">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$5,807,852</w:t>
            </w:r>
          </w:p>
        </w:tc>
        <w:tc>
          <w:tcPr>
            <w:tcW w:w="3389" w:type="dxa"/>
            <w:tcBorders>
              <w:top w:val="nil"/>
              <w:left w:val="nil"/>
              <w:bottom w:val="single" w:sz="4" w:space="0" w:color="auto"/>
              <w:right w:val="single" w:sz="4" w:space="0" w:color="auto"/>
            </w:tcBorders>
            <w:shd w:val="clear" w:color="auto" w:fill="auto"/>
            <w:noWrap/>
            <w:vAlign w:val="bottom"/>
            <w:hideMark/>
          </w:tcPr>
          <w:p w14:paraId="21460992" w14:textId="77777777" w:rsidR="00796296" w:rsidRPr="00796296" w:rsidRDefault="00796296" w:rsidP="00796296">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63.62%</w:t>
            </w:r>
          </w:p>
        </w:tc>
      </w:tr>
      <w:tr w:rsidR="00796296" w:rsidRPr="00796296" w14:paraId="58EA51F5" w14:textId="77777777">
        <w:trPr>
          <w:trHeight w:val="301"/>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7CE2626" w14:textId="77777777" w:rsidR="00796296" w:rsidRPr="00796296" w:rsidRDefault="00796296" w:rsidP="00796296">
            <w:pPr>
              <w:spacing w:after="0" w:line="240" w:lineRule="auto"/>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 xml:space="preserve">Contracts </w:t>
            </w:r>
          </w:p>
        </w:tc>
        <w:tc>
          <w:tcPr>
            <w:tcW w:w="3698" w:type="dxa"/>
            <w:tcBorders>
              <w:top w:val="nil"/>
              <w:left w:val="nil"/>
              <w:bottom w:val="single" w:sz="4" w:space="0" w:color="auto"/>
              <w:right w:val="single" w:sz="4" w:space="0" w:color="auto"/>
            </w:tcBorders>
            <w:shd w:val="clear" w:color="auto" w:fill="auto"/>
            <w:noWrap/>
            <w:vAlign w:val="bottom"/>
            <w:hideMark/>
          </w:tcPr>
          <w:p w14:paraId="2A9A414B" w14:textId="77777777" w:rsidR="00796296" w:rsidRPr="00796296" w:rsidRDefault="00796296" w:rsidP="00796296">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$1,850,000</w:t>
            </w:r>
          </w:p>
        </w:tc>
        <w:tc>
          <w:tcPr>
            <w:tcW w:w="3389" w:type="dxa"/>
            <w:tcBorders>
              <w:top w:val="nil"/>
              <w:left w:val="nil"/>
              <w:bottom w:val="single" w:sz="4" w:space="0" w:color="auto"/>
              <w:right w:val="single" w:sz="4" w:space="0" w:color="auto"/>
            </w:tcBorders>
            <w:shd w:val="clear" w:color="auto" w:fill="auto"/>
            <w:noWrap/>
            <w:vAlign w:val="bottom"/>
            <w:hideMark/>
          </w:tcPr>
          <w:p w14:paraId="7AC7AAA4" w14:textId="77777777" w:rsidR="00796296" w:rsidRPr="00796296" w:rsidRDefault="00796296" w:rsidP="00796296">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20.27%</w:t>
            </w:r>
          </w:p>
        </w:tc>
      </w:tr>
      <w:tr w:rsidR="00796296" w:rsidRPr="00796296" w14:paraId="0B1CE72A" w14:textId="77777777">
        <w:trPr>
          <w:trHeight w:val="301"/>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05711ED" w14:textId="77777777" w:rsidR="00796296" w:rsidRPr="00796296" w:rsidRDefault="00796296" w:rsidP="00796296">
            <w:pPr>
              <w:spacing w:after="0" w:line="240" w:lineRule="auto"/>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 xml:space="preserve">Tools </w:t>
            </w:r>
          </w:p>
        </w:tc>
        <w:tc>
          <w:tcPr>
            <w:tcW w:w="3698" w:type="dxa"/>
            <w:tcBorders>
              <w:top w:val="nil"/>
              <w:left w:val="nil"/>
              <w:bottom w:val="single" w:sz="4" w:space="0" w:color="auto"/>
              <w:right w:val="single" w:sz="4" w:space="0" w:color="auto"/>
            </w:tcBorders>
            <w:shd w:val="clear" w:color="auto" w:fill="auto"/>
            <w:noWrap/>
            <w:vAlign w:val="bottom"/>
            <w:hideMark/>
          </w:tcPr>
          <w:p w14:paraId="1757767C" w14:textId="77777777" w:rsidR="00796296" w:rsidRPr="00796296" w:rsidRDefault="00796296" w:rsidP="00796296">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$60,856</w:t>
            </w:r>
          </w:p>
        </w:tc>
        <w:tc>
          <w:tcPr>
            <w:tcW w:w="3389" w:type="dxa"/>
            <w:tcBorders>
              <w:top w:val="nil"/>
              <w:left w:val="nil"/>
              <w:bottom w:val="single" w:sz="4" w:space="0" w:color="auto"/>
              <w:right w:val="single" w:sz="4" w:space="0" w:color="auto"/>
            </w:tcBorders>
            <w:shd w:val="clear" w:color="auto" w:fill="auto"/>
            <w:noWrap/>
            <w:vAlign w:val="bottom"/>
            <w:hideMark/>
          </w:tcPr>
          <w:p w14:paraId="11692E2B" w14:textId="77777777" w:rsidR="00796296" w:rsidRPr="00796296" w:rsidRDefault="00796296" w:rsidP="00796296">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0.67%</w:t>
            </w:r>
          </w:p>
        </w:tc>
      </w:tr>
      <w:tr w:rsidR="00796296" w:rsidRPr="00796296" w14:paraId="41D76F42" w14:textId="77777777">
        <w:trPr>
          <w:trHeight w:val="301"/>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EDCEAEE" w14:textId="77777777" w:rsidR="00796296" w:rsidRPr="00796296" w:rsidRDefault="00796296" w:rsidP="00796296">
            <w:pPr>
              <w:spacing w:after="0" w:line="240" w:lineRule="auto"/>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 xml:space="preserve">Training event attendance </w:t>
            </w:r>
          </w:p>
        </w:tc>
        <w:tc>
          <w:tcPr>
            <w:tcW w:w="3698" w:type="dxa"/>
            <w:tcBorders>
              <w:top w:val="nil"/>
              <w:left w:val="nil"/>
              <w:bottom w:val="single" w:sz="4" w:space="0" w:color="auto"/>
              <w:right w:val="single" w:sz="4" w:space="0" w:color="auto"/>
            </w:tcBorders>
            <w:shd w:val="clear" w:color="auto" w:fill="auto"/>
            <w:noWrap/>
            <w:vAlign w:val="bottom"/>
            <w:hideMark/>
          </w:tcPr>
          <w:p w14:paraId="2C2DA0E7" w14:textId="77777777" w:rsidR="00796296" w:rsidRPr="00796296" w:rsidRDefault="00796296" w:rsidP="00796296">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$780,000</w:t>
            </w:r>
          </w:p>
        </w:tc>
        <w:tc>
          <w:tcPr>
            <w:tcW w:w="3389" w:type="dxa"/>
            <w:tcBorders>
              <w:top w:val="nil"/>
              <w:left w:val="nil"/>
              <w:bottom w:val="single" w:sz="4" w:space="0" w:color="auto"/>
              <w:right w:val="single" w:sz="4" w:space="0" w:color="auto"/>
            </w:tcBorders>
            <w:shd w:val="clear" w:color="auto" w:fill="auto"/>
            <w:noWrap/>
            <w:vAlign w:val="bottom"/>
            <w:hideMark/>
          </w:tcPr>
          <w:p w14:paraId="6D827BE2" w14:textId="77777777" w:rsidR="00796296" w:rsidRPr="00796296" w:rsidRDefault="00796296" w:rsidP="00796296">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8.54%</w:t>
            </w:r>
          </w:p>
        </w:tc>
      </w:tr>
      <w:tr w:rsidR="00796296" w:rsidRPr="00796296" w14:paraId="60905E47" w14:textId="77777777">
        <w:trPr>
          <w:trHeight w:val="301"/>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0D40F06" w14:textId="77777777" w:rsidR="00796296" w:rsidRPr="00796296" w:rsidRDefault="00796296" w:rsidP="00796296">
            <w:pPr>
              <w:spacing w:after="0" w:line="240" w:lineRule="auto"/>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 xml:space="preserve">Citizen engagement </w:t>
            </w:r>
          </w:p>
        </w:tc>
        <w:tc>
          <w:tcPr>
            <w:tcW w:w="3698" w:type="dxa"/>
            <w:tcBorders>
              <w:top w:val="nil"/>
              <w:left w:val="nil"/>
              <w:bottom w:val="single" w:sz="4" w:space="0" w:color="auto"/>
              <w:right w:val="single" w:sz="4" w:space="0" w:color="auto"/>
            </w:tcBorders>
            <w:shd w:val="clear" w:color="auto" w:fill="auto"/>
            <w:noWrap/>
            <w:vAlign w:val="bottom"/>
            <w:hideMark/>
          </w:tcPr>
          <w:p w14:paraId="6250F6B3" w14:textId="77777777" w:rsidR="00796296" w:rsidRPr="00796296" w:rsidRDefault="00796296" w:rsidP="00796296">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$186,000</w:t>
            </w:r>
          </w:p>
        </w:tc>
        <w:tc>
          <w:tcPr>
            <w:tcW w:w="3389" w:type="dxa"/>
            <w:tcBorders>
              <w:top w:val="nil"/>
              <w:left w:val="nil"/>
              <w:bottom w:val="single" w:sz="4" w:space="0" w:color="auto"/>
              <w:right w:val="single" w:sz="4" w:space="0" w:color="auto"/>
            </w:tcBorders>
            <w:shd w:val="clear" w:color="auto" w:fill="auto"/>
            <w:noWrap/>
            <w:vAlign w:val="bottom"/>
            <w:hideMark/>
          </w:tcPr>
          <w:p w14:paraId="57152098" w14:textId="77777777" w:rsidR="00796296" w:rsidRPr="00796296" w:rsidRDefault="00796296" w:rsidP="00796296">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2.04%</w:t>
            </w:r>
          </w:p>
        </w:tc>
      </w:tr>
      <w:tr w:rsidR="00796296" w:rsidRPr="00796296" w14:paraId="2AAE8F01" w14:textId="77777777">
        <w:trPr>
          <w:trHeight w:val="301"/>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D7DBBB0" w14:textId="77777777" w:rsidR="00796296" w:rsidRPr="00796296" w:rsidRDefault="00796296" w:rsidP="00796296">
            <w:pPr>
              <w:spacing w:after="0" w:line="240" w:lineRule="auto"/>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Travel</w:t>
            </w:r>
          </w:p>
        </w:tc>
        <w:tc>
          <w:tcPr>
            <w:tcW w:w="3698" w:type="dxa"/>
            <w:tcBorders>
              <w:top w:val="nil"/>
              <w:left w:val="nil"/>
              <w:bottom w:val="single" w:sz="4" w:space="0" w:color="auto"/>
              <w:right w:val="single" w:sz="4" w:space="0" w:color="auto"/>
            </w:tcBorders>
            <w:shd w:val="clear" w:color="auto" w:fill="auto"/>
            <w:noWrap/>
            <w:vAlign w:val="bottom"/>
            <w:hideMark/>
          </w:tcPr>
          <w:p w14:paraId="7B960602" w14:textId="77777777" w:rsidR="00796296" w:rsidRPr="00796296" w:rsidRDefault="00796296" w:rsidP="00796296">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$327,000</w:t>
            </w:r>
          </w:p>
        </w:tc>
        <w:tc>
          <w:tcPr>
            <w:tcW w:w="3389" w:type="dxa"/>
            <w:tcBorders>
              <w:top w:val="nil"/>
              <w:left w:val="nil"/>
              <w:bottom w:val="single" w:sz="4" w:space="0" w:color="auto"/>
              <w:right w:val="single" w:sz="4" w:space="0" w:color="auto"/>
            </w:tcBorders>
            <w:shd w:val="clear" w:color="auto" w:fill="auto"/>
            <w:noWrap/>
            <w:vAlign w:val="bottom"/>
            <w:hideMark/>
          </w:tcPr>
          <w:p w14:paraId="457167F9" w14:textId="77777777" w:rsidR="00796296" w:rsidRPr="00796296" w:rsidRDefault="00796296" w:rsidP="00796296">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3.58%</w:t>
            </w:r>
          </w:p>
        </w:tc>
      </w:tr>
      <w:tr w:rsidR="00796296" w:rsidRPr="00796296" w14:paraId="79A71ABF" w14:textId="77777777">
        <w:trPr>
          <w:trHeight w:val="301"/>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5B0E126" w14:textId="77777777" w:rsidR="00796296" w:rsidRPr="00796296" w:rsidRDefault="00796296" w:rsidP="00796296">
            <w:pPr>
              <w:spacing w:after="0" w:line="240" w:lineRule="auto"/>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Dissemination</w:t>
            </w:r>
          </w:p>
        </w:tc>
        <w:tc>
          <w:tcPr>
            <w:tcW w:w="3698" w:type="dxa"/>
            <w:tcBorders>
              <w:top w:val="nil"/>
              <w:left w:val="nil"/>
              <w:bottom w:val="single" w:sz="4" w:space="0" w:color="auto"/>
              <w:right w:val="single" w:sz="4" w:space="0" w:color="auto"/>
            </w:tcBorders>
            <w:shd w:val="clear" w:color="auto" w:fill="auto"/>
            <w:noWrap/>
            <w:vAlign w:val="bottom"/>
            <w:hideMark/>
          </w:tcPr>
          <w:p w14:paraId="6DBA22BA" w14:textId="77777777" w:rsidR="00796296" w:rsidRPr="00796296" w:rsidRDefault="00796296" w:rsidP="00796296">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$116,550</w:t>
            </w:r>
          </w:p>
        </w:tc>
        <w:tc>
          <w:tcPr>
            <w:tcW w:w="3389" w:type="dxa"/>
            <w:tcBorders>
              <w:top w:val="nil"/>
              <w:left w:val="nil"/>
              <w:bottom w:val="single" w:sz="4" w:space="0" w:color="auto"/>
              <w:right w:val="single" w:sz="4" w:space="0" w:color="auto"/>
            </w:tcBorders>
            <w:shd w:val="clear" w:color="auto" w:fill="auto"/>
            <w:noWrap/>
            <w:vAlign w:val="bottom"/>
            <w:hideMark/>
          </w:tcPr>
          <w:p w14:paraId="18D3350E" w14:textId="77777777" w:rsidR="00796296" w:rsidRPr="00796296" w:rsidRDefault="00796296" w:rsidP="00796296">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1.28%</w:t>
            </w:r>
          </w:p>
        </w:tc>
      </w:tr>
      <w:tr w:rsidR="00796296" w:rsidRPr="00796296" w14:paraId="0D4C3623" w14:textId="77777777">
        <w:trPr>
          <w:trHeight w:val="301"/>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ABA083A" w14:textId="77777777" w:rsidR="00796296" w:rsidRPr="00796296" w:rsidRDefault="00796296" w:rsidP="00796296">
            <w:pPr>
              <w:spacing w:after="0" w:line="240" w:lineRule="auto"/>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 xml:space="preserve">Other </w:t>
            </w:r>
          </w:p>
        </w:tc>
        <w:tc>
          <w:tcPr>
            <w:tcW w:w="3698" w:type="dxa"/>
            <w:tcBorders>
              <w:top w:val="nil"/>
              <w:left w:val="nil"/>
              <w:bottom w:val="single" w:sz="4" w:space="0" w:color="auto"/>
              <w:right w:val="single" w:sz="4" w:space="0" w:color="auto"/>
            </w:tcBorders>
            <w:shd w:val="clear" w:color="auto" w:fill="auto"/>
            <w:noWrap/>
            <w:vAlign w:val="bottom"/>
            <w:hideMark/>
          </w:tcPr>
          <w:p w14:paraId="6DDA4FD7" w14:textId="77777777" w:rsidR="00796296" w:rsidRPr="00796296" w:rsidRDefault="00796296" w:rsidP="00796296">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$0</w:t>
            </w:r>
          </w:p>
        </w:tc>
        <w:tc>
          <w:tcPr>
            <w:tcW w:w="3389" w:type="dxa"/>
            <w:tcBorders>
              <w:top w:val="nil"/>
              <w:left w:val="nil"/>
              <w:bottom w:val="single" w:sz="4" w:space="0" w:color="auto"/>
              <w:right w:val="single" w:sz="4" w:space="0" w:color="auto"/>
            </w:tcBorders>
            <w:shd w:val="clear" w:color="auto" w:fill="auto"/>
            <w:noWrap/>
            <w:vAlign w:val="bottom"/>
            <w:hideMark/>
          </w:tcPr>
          <w:p w14:paraId="6B35E2D7" w14:textId="77777777" w:rsidR="00796296" w:rsidRPr="00796296" w:rsidRDefault="00796296" w:rsidP="00796296">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0.00%</w:t>
            </w:r>
          </w:p>
        </w:tc>
      </w:tr>
      <w:tr w:rsidR="00796296" w:rsidRPr="00796296" w14:paraId="513147A7" w14:textId="77777777">
        <w:trPr>
          <w:trHeight w:val="301"/>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FC5A313" w14:textId="77777777" w:rsidR="00796296" w:rsidRPr="00796296" w:rsidRDefault="00796296" w:rsidP="00796296">
            <w:pPr>
              <w:spacing w:after="0" w:line="240" w:lineRule="auto"/>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 xml:space="preserve">Total direct costs </w:t>
            </w:r>
          </w:p>
        </w:tc>
        <w:tc>
          <w:tcPr>
            <w:tcW w:w="3698" w:type="dxa"/>
            <w:tcBorders>
              <w:top w:val="nil"/>
              <w:left w:val="nil"/>
              <w:bottom w:val="single" w:sz="4" w:space="0" w:color="auto"/>
              <w:right w:val="single" w:sz="4" w:space="0" w:color="auto"/>
            </w:tcBorders>
            <w:shd w:val="clear" w:color="auto" w:fill="auto"/>
            <w:noWrap/>
            <w:vAlign w:val="bottom"/>
            <w:hideMark/>
          </w:tcPr>
          <w:p w14:paraId="1C0DD8E3" w14:textId="77777777" w:rsidR="00796296" w:rsidRPr="00796296" w:rsidRDefault="00796296" w:rsidP="00796296">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$9,128,258</w:t>
            </w:r>
          </w:p>
        </w:tc>
        <w:tc>
          <w:tcPr>
            <w:tcW w:w="3389" w:type="dxa"/>
            <w:tcBorders>
              <w:top w:val="nil"/>
              <w:left w:val="nil"/>
              <w:bottom w:val="single" w:sz="4" w:space="0" w:color="auto"/>
              <w:right w:val="single" w:sz="4" w:space="0" w:color="auto"/>
            </w:tcBorders>
            <w:shd w:val="clear" w:color="auto" w:fill="auto"/>
            <w:noWrap/>
            <w:vAlign w:val="bottom"/>
            <w:hideMark/>
          </w:tcPr>
          <w:p w14:paraId="5A462CCB" w14:textId="77777777" w:rsidR="00796296" w:rsidRPr="00796296" w:rsidRDefault="00796296" w:rsidP="00796296">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100.00%</w:t>
            </w:r>
          </w:p>
        </w:tc>
      </w:tr>
      <w:tr w:rsidR="00796296" w:rsidRPr="00796296" w14:paraId="6192590C" w14:textId="77777777">
        <w:trPr>
          <w:trHeight w:val="301"/>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A96BEB0" w14:textId="77777777" w:rsidR="00796296" w:rsidRPr="00796296" w:rsidRDefault="00796296" w:rsidP="00796296">
            <w:pPr>
              <w:spacing w:after="0" w:line="240" w:lineRule="auto"/>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 xml:space="preserve">Grand total with 20% overheads </w:t>
            </w:r>
          </w:p>
        </w:tc>
        <w:tc>
          <w:tcPr>
            <w:tcW w:w="3698" w:type="dxa"/>
            <w:tcBorders>
              <w:top w:val="nil"/>
              <w:left w:val="nil"/>
              <w:bottom w:val="single" w:sz="4" w:space="0" w:color="auto"/>
              <w:right w:val="single" w:sz="4" w:space="0" w:color="auto"/>
            </w:tcBorders>
            <w:shd w:val="clear" w:color="auto" w:fill="auto"/>
            <w:noWrap/>
            <w:vAlign w:val="bottom"/>
            <w:hideMark/>
          </w:tcPr>
          <w:p w14:paraId="341E4ACB" w14:textId="77777777" w:rsidR="00796296" w:rsidRPr="00796296" w:rsidRDefault="00796296" w:rsidP="00796296">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$10,953,910</w:t>
            </w:r>
          </w:p>
        </w:tc>
        <w:tc>
          <w:tcPr>
            <w:tcW w:w="3389" w:type="dxa"/>
            <w:tcBorders>
              <w:top w:val="nil"/>
              <w:left w:val="nil"/>
              <w:bottom w:val="single" w:sz="4" w:space="0" w:color="auto"/>
              <w:right w:val="single" w:sz="4" w:space="0" w:color="auto"/>
            </w:tcBorders>
            <w:shd w:val="clear" w:color="auto" w:fill="auto"/>
            <w:noWrap/>
            <w:vAlign w:val="bottom"/>
            <w:hideMark/>
          </w:tcPr>
          <w:p w14:paraId="092813F5" w14:textId="77777777" w:rsidR="00796296" w:rsidRPr="00796296" w:rsidRDefault="00796296" w:rsidP="00796296">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96296">
              <w:rPr>
                <w:rFonts w:ascii="Aptos Narrow" w:eastAsia="Times New Roman" w:hAnsi="Aptos Narrow" w:cs="Times New Roman"/>
                <w:color w:val="000000"/>
                <w:kern w:val="0"/>
                <w:sz w:val="22"/>
                <w:szCs w:val="22"/>
                <w:lang w:val="en-GB" w:eastAsia="en-GB"/>
                <w14:ligatures w14:val="none"/>
              </w:rPr>
              <w:t> </w:t>
            </w:r>
          </w:p>
        </w:tc>
      </w:tr>
    </w:tbl>
    <w:p w14:paraId="5B263529" w14:textId="7F48E3F9" w:rsidR="00374F31" w:rsidRDefault="00374F31">
      <w:pPr>
        <w:rPr>
          <w:rFonts w:asciiTheme="majorHAnsi" w:eastAsiaTheme="majorEastAsia" w:hAnsiTheme="majorHAnsi" w:cstheme="majorBidi"/>
          <w:color w:val="0F4761" w:themeColor="accent1" w:themeShade="BF"/>
          <w:sz w:val="40"/>
          <w:szCs w:val="40"/>
        </w:rPr>
      </w:pPr>
      <w:r>
        <w:br w:type="page"/>
      </w:r>
    </w:p>
    <w:p w14:paraId="13F36B49" w14:textId="32A49788" w:rsidR="00FE40AF" w:rsidRDefault="00051D2C" w:rsidP="00051D2C">
      <w:pPr>
        <w:pStyle w:val="Heading1"/>
      </w:pPr>
      <w:r w:rsidRPr="00F66025">
        <w:lastRenderedPageBreak/>
        <w:t xml:space="preserve">Option </w:t>
      </w:r>
      <w:r>
        <w:t>2</w:t>
      </w:r>
      <w:r w:rsidRPr="00F66025">
        <w:t>A</w:t>
      </w:r>
      <w:r>
        <w:t>:</w:t>
      </w:r>
      <w:r w:rsidRPr="00051D2C">
        <w:t xml:space="preserve"> </w:t>
      </w:r>
      <w:r>
        <w:t>Support to Evidence Intermediaries</w:t>
      </w:r>
      <w:r w:rsidR="00F96DCD">
        <w:t>: $15.0m</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2122"/>
        <w:gridCol w:w="7376"/>
      </w:tblGrid>
      <w:tr w:rsidR="00762BD8" w:rsidRPr="00762BD8" w14:paraId="06AE7907" w14:textId="77777777" w:rsidTr="00E75BE2">
        <w:tc>
          <w:tcPr>
            <w:tcW w:w="9498" w:type="dxa"/>
            <w:gridSpan w:val="2"/>
            <w:shd w:val="clear" w:color="auto" w:fill="DEF1FA"/>
          </w:tcPr>
          <w:p w14:paraId="0044188B" w14:textId="298B183F" w:rsidR="00762BD8" w:rsidRPr="00762BD8" w:rsidRDefault="00762BD8" w:rsidP="00762BD8">
            <w:pPr>
              <w:spacing w:after="120"/>
              <w:rPr>
                <w:color w:val="0F4761" w:themeColor="accent1" w:themeShade="BF"/>
                <w:sz w:val="22"/>
                <w:szCs w:val="22"/>
              </w:rPr>
            </w:pPr>
            <w:r w:rsidRPr="00762BD8">
              <w:rPr>
                <w:color w:val="0F4761" w:themeColor="accent1" w:themeShade="BF"/>
                <w:sz w:val="22"/>
                <w:szCs w:val="22"/>
              </w:rPr>
              <w:t>(There can be overlap/integration with WG5, Options 1, 3 &amp; 4; these options must be considered by investors)</w:t>
            </w:r>
          </w:p>
          <w:p w14:paraId="2EF1A0B1" w14:textId="0C1E80F2" w:rsidR="00762BD8" w:rsidRPr="00762BD8" w:rsidRDefault="00762BD8" w:rsidP="00762BD8">
            <w:pPr>
              <w:spacing w:after="120"/>
              <w:rPr>
                <w:color w:val="0F4761" w:themeColor="accent1" w:themeShade="BF"/>
                <w:sz w:val="22"/>
                <w:szCs w:val="22"/>
              </w:rPr>
            </w:pPr>
            <w:r w:rsidRPr="00762BD8">
              <w:rPr>
                <w:color w:val="0F4761" w:themeColor="accent1" w:themeShade="BF"/>
                <w:sz w:val="22"/>
                <w:szCs w:val="22"/>
              </w:rPr>
              <w:t>This option aims to enhance the capacity and effectiveness of evidence intermediaries—organisations and individuals that connect evidence producers with decision-makers. Capacity strengthening will be achieved through targeted technical assistance and institutional partnerships, which will support intermediaries in developing, adapting, and assuming a more impactful role in bridging the evidence-to-policy gap within their respective contexts.</w:t>
            </w:r>
          </w:p>
        </w:tc>
      </w:tr>
      <w:tr w:rsidR="00762BD8" w14:paraId="25C040FC" w14:textId="77777777" w:rsidTr="00762BD8">
        <w:tc>
          <w:tcPr>
            <w:tcW w:w="2122" w:type="dxa"/>
          </w:tcPr>
          <w:p w14:paraId="662023D5" w14:textId="77777777" w:rsidR="00762BD8" w:rsidRPr="0093000C" w:rsidRDefault="00762BD8" w:rsidP="00943858">
            <w:pPr>
              <w:ind w:left="2160" w:hanging="2160"/>
              <w:jc w:val="both"/>
              <w:rPr>
                <w:b/>
                <w:bCs/>
                <w:sz w:val="20"/>
                <w:szCs w:val="20"/>
              </w:rPr>
            </w:pPr>
          </w:p>
        </w:tc>
        <w:tc>
          <w:tcPr>
            <w:tcW w:w="7376" w:type="dxa"/>
          </w:tcPr>
          <w:p w14:paraId="7A0B7CD0" w14:textId="77777777" w:rsidR="00762BD8" w:rsidRPr="00C0698E" w:rsidRDefault="00762BD8" w:rsidP="00943858">
            <w:pPr>
              <w:rPr>
                <w:color w:val="156082" w:themeColor="accent1"/>
                <w:sz w:val="20"/>
                <w:szCs w:val="20"/>
              </w:rPr>
            </w:pPr>
          </w:p>
        </w:tc>
      </w:tr>
      <w:tr w:rsidR="00051D2C" w14:paraId="4B2F3BC6" w14:textId="77777777" w:rsidTr="00762BD8">
        <w:tc>
          <w:tcPr>
            <w:tcW w:w="2122" w:type="dxa"/>
          </w:tcPr>
          <w:p w14:paraId="6E65A309" w14:textId="77777777" w:rsidR="00051D2C" w:rsidRPr="0093000C" w:rsidRDefault="00051D2C" w:rsidP="00943858">
            <w:pPr>
              <w:ind w:left="2160" w:hanging="2160"/>
              <w:jc w:val="both"/>
              <w:rPr>
                <w:b/>
                <w:bCs/>
                <w:sz w:val="20"/>
                <w:szCs w:val="20"/>
              </w:rPr>
            </w:pPr>
            <w:r w:rsidRPr="0093000C">
              <w:rPr>
                <w:b/>
                <w:bCs/>
                <w:sz w:val="20"/>
                <w:szCs w:val="20"/>
              </w:rPr>
              <w:t>Implementation</w:t>
            </w:r>
          </w:p>
          <w:p w14:paraId="4C2C7187" w14:textId="77777777" w:rsidR="00051D2C" w:rsidRPr="0093000C" w:rsidRDefault="00051D2C" w:rsidP="00943858">
            <w:pPr>
              <w:jc w:val="both"/>
              <w:rPr>
                <w:b/>
                <w:bCs/>
                <w:sz w:val="20"/>
                <w:szCs w:val="20"/>
              </w:rPr>
            </w:pPr>
            <w:r w:rsidRPr="0093000C">
              <w:rPr>
                <w:b/>
                <w:bCs/>
                <w:sz w:val="20"/>
                <w:szCs w:val="20"/>
              </w:rPr>
              <w:t>Caveats</w:t>
            </w:r>
          </w:p>
        </w:tc>
        <w:tc>
          <w:tcPr>
            <w:tcW w:w="7376" w:type="dxa"/>
          </w:tcPr>
          <w:p w14:paraId="600C1930" w14:textId="55C3658D" w:rsidR="00051D2C" w:rsidRDefault="00051D2C" w:rsidP="00943858">
            <w:pPr>
              <w:rPr>
                <w:sz w:val="20"/>
                <w:szCs w:val="20"/>
              </w:rPr>
            </w:pPr>
            <w:r w:rsidRPr="00C0698E">
              <w:rPr>
                <w:color w:val="156082" w:themeColor="accent1"/>
                <w:sz w:val="20"/>
                <w:szCs w:val="20"/>
              </w:rPr>
              <w:t>Support could be e</w:t>
            </w:r>
            <w:r w:rsidRPr="00361829">
              <w:rPr>
                <w:color w:val="156082" w:themeColor="accent1"/>
                <w:sz w:val="20"/>
                <w:szCs w:val="20"/>
              </w:rPr>
              <w:t xml:space="preserve">mbedded within existing institutions or hosted through regional secretariat; delivery model assumes </w:t>
            </w:r>
            <w:r>
              <w:rPr>
                <w:color w:val="156082" w:themeColor="accent1"/>
                <w:sz w:val="20"/>
                <w:szCs w:val="20"/>
              </w:rPr>
              <w:t xml:space="preserve">technical (expert) </w:t>
            </w:r>
            <w:r w:rsidRPr="00361829">
              <w:rPr>
                <w:color w:val="156082" w:themeColor="accent1"/>
                <w:sz w:val="20"/>
                <w:szCs w:val="20"/>
              </w:rPr>
              <w:t>staff are drawn from partner organisations, reducing need for permanent staffing</w:t>
            </w:r>
            <w:r>
              <w:rPr>
                <w:color w:val="156082" w:themeColor="accent1"/>
                <w:sz w:val="20"/>
                <w:szCs w:val="20"/>
              </w:rPr>
              <w:t xml:space="preserve">. </w:t>
            </w:r>
            <w:r w:rsidRPr="00F55107">
              <w:rPr>
                <w:color w:val="156082" w:themeColor="accent1"/>
                <w:sz w:val="20"/>
                <w:szCs w:val="20"/>
              </w:rPr>
              <w:t xml:space="preserve">Implementation will be regionally distributed, with one coordination node per global region (5 total). These </w:t>
            </w:r>
            <w:r>
              <w:rPr>
                <w:color w:val="156082" w:themeColor="accent1"/>
                <w:sz w:val="20"/>
                <w:szCs w:val="20"/>
              </w:rPr>
              <w:t>nodes</w:t>
            </w:r>
            <w:r w:rsidRPr="00F55107">
              <w:rPr>
                <w:color w:val="156082" w:themeColor="accent1"/>
                <w:sz w:val="20"/>
                <w:szCs w:val="20"/>
              </w:rPr>
              <w:t xml:space="preserve"> will leverage established organisations and networks to mentor and support new or emerging intermediaries. Subsidised engagement will be offered to ensure inclusivity and access, especially in low-resource settings or nascent </w:t>
            </w:r>
            <w:r w:rsidR="005912CC" w:rsidRPr="00F55107">
              <w:rPr>
                <w:color w:val="156082" w:themeColor="accent1"/>
                <w:sz w:val="20"/>
                <w:szCs w:val="20"/>
              </w:rPr>
              <w:t>sectors.</w:t>
            </w:r>
            <w:r w:rsidR="005912CC">
              <w:rPr>
                <w:color w:val="156082" w:themeColor="accent1"/>
                <w:sz w:val="20"/>
                <w:szCs w:val="20"/>
              </w:rPr>
              <w:t xml:space="preserve"> The</w:t>
            </w:r>
            <w:r w:rsidR="009D4171">
              <w:rPr>
                <w:color w:val="156082" w:themeColor="accent1"/>
                <w:sz w:val="20"/>
                <w:szCs w:val="20"/>
              </w:rPr>
              <w:t xml:space="preserve"> </w:t>
            </w:r>
            <w:r w:rsidR="005912CC" w:rsidRPr="009D4171">
              <w:rPr>
                <w:color w:val="156082" w:themeColor="accent1"/>
                <w:sz w:val="20"/>
                <w:szCs w:val="20"/>
              </w:rPr>
              <w:t>secretariat</w:t>
            </w:r>
            <w:r w:rsidR="009D4171" w:rsidRPr="009D4171">
              <w:rPr>
                <w:color w:val="156082" w:themeColor="accent1"/>
                <w:sz w:val="20"/>
                <w:szCs w:val="20"/>
              </w:rPr>
              <w:t xml:space="preserve"> </w:t>
            </w:r>
            <w:r w:rsidR="009D4171">
              <w:rPr>
                <w:color w:val="156082" w:themeColor="accent1"/>
                <w:sz w:val="20"/>
                <w:szCs w:val="20"/>
              </w:rPr>
              <w:t>would</w:t>
            </w:r>
            <w:r w:rsidR="009D4171" w:rsidRPr="009D4171">
              <w:rPr>
                <w:color w:val="156082" w:themeColor="accent1"/>
                <w:sz w:val="20"/>
                <w:szCs w:val="20"/>
              </w:rPr>
              <w:t xml:space="preserve"> ensure cross sectoral balance and not become too aligned with dominant sectors.</w:t>
            </w:r>
          </w:p>
        </w:tc>
      </w:tr>
      <w:tr w:rsidR="00051D2C" w14:paraId="38C668E1" w14:textId="77777777" w:rsidTr="00762BD8">
        <w:tc>
          <w:tcPr>
            <w:tcW w:w="2122" w:type="dxa"/>
          </w:tcPr>
          <w:p w14:paraId="6E150600" w14:textId="77777777" w:rsidR="00051D2C" w:rsidRPr="0093000C" w:rsidRDefault="00051D2C" w:rsidP="00943858">
            <w:pPr>
              <w:jc w:val="both"/>
              <w:rPr>
                <w:b/>
                <w:bCs/>
                <w:sz w:val="20"/>
                <w:szCs w:val="20"/>
              </w:rPr>
            </w:pPr>
            <w:r w:rsidRPr="0093000C">
              <w:rPr>
                <w:b/>
                <w:bCs/>
                <w:sz w:val="20"/>
                <w:szCs w:val="20"/>
              </w:rPr>
              <w:t>Staff Profile</w:t>
            </w:r>
          </w:p>
        </w:tc>
        <w:tc>
          <w:tcPr>
            <w:tcW w:w="7376" w:type="dxa"/>
          </w:tcPr>
          <w:p w14:paraId="2240BD7E" w14:textId="77777777" w:rsidR="00051D2C" w:rsidRPr="00361829" w:rsidRDefault="00051D2C" w:rsidP="00051D2C">
            <w:pPr>
              <w:ind w:left="2160" w:hanging="2160"/>
              <w:jc w:val="both"/>
              <w:rPr>
                <w:color w:val="156082" w:themeColor="accent1"/>
                <w:sz w:val="20"/>
                <w:szCs w:val="20"/>
              </w:rPr>
            </w:pPr>
            <w:r w:rsidRPr="00361829">
              <w:rPr>
                <w:color w:val="156082" w:themeColor="accent1"/>
                <w:sz w:val="20"/>
                <w:szCs w:val="20"/>
              </w:rPr>
              <w:t>1 x Coordinator</w:t>
            </w:r>
            <w:r>
              <w:rPr>
                <w:color w:val="156082" w:themeColor="accent1"/>
                <w:sz w:val="20"/>
                <w:szCs w:val="20"/>
              </w:rPr>
              <w:t xml:space="preserve"> (Tier 2)</w:t>
            </w:r>
          </w:p>
          <w:p w14:paraId="28B256D4" w14:textId="77777777" w:rsidR="00051D2C" w:rsidRPr="00361829" w:rsidRDefault="00051D2C" w:rsidP="00051D2C">
            <w:pPr>
              <w:jc w:val="both"/>
              <w:rPr>
                <w:color w:val="156082" w:themeColor="accent1"/>
                <w:sz w:val="20"/>
                <w:szCs w:val="20"/>
              </w:rPr>
            </w:pPr>
            <w:r w:rsidRPr="00361829">
              <w:rPr>
                <w:color w:val="156082" w:themeColor="accent1"/>
                <w:sz w:val="20"/>
                <w:szCs w:val="20"/>
              </w:rPr>
              <w:t>1 x Tech assistance/ support</w:t>
            </w:r>
            <w:r>
              <w:rPr>
                <w:color w:val="156082" w:themeColor="accent1"/>
                <w:sz w:val="20"/>
                <w:szCs w:val="20"/>
              </w:rPr>
              <w:t xml:space="preserve"> (Tier 2)</w:t>
            </w:r>
          </w:p>
          <w:p w14:paraId="2DBCA303" w14:textId="6EF71611" w:rsidR="00051D2C" w:rsidRPr="007019C8" w:rsidRDefault="00051D2C" w:rsidP="00DB7AE2">
            <w:pPr>
              <w:jc w:val="both"/>
              <w:rPr>
                <w:color w:val="156082" w:themeColor="accent1"/>
                <w:sz w:val="20"/>
                <w:szCs w:val="20"/>
              </w:rPr>
            </w:pPr>
            <w:r w:rsidRPr="00361829">
              <w:rPr>
                <w:color w:val="156082" w:themeColor="accent1"/>
                <w:sz w:val="20"/>
                <w:szCs w:val="20"/>
              </w:rPr>
              <w:t>0.5 x Administrative Support</w:t>
            </w:r>
            <w:r>
              <w:rPr>
                <w:color w:val="156082" w:themeColor="accent1"/>
                <w:sz w:val="20"/>
                <w:szCs w:val="20"/>
              </w:rPr>
              <w:t xml:space="preserve"> (Tier 1)</w:t>
            </w:r>
          </w:p>
        </w:tc>
      </w:tr>
      <w:tr w:rsidR="00051D2C" w14:paraId="456B11CC" w14:textId="77777777" w:rsidTr="00C150D3">
        <w:tc>
          <w:tcPr>
            <w:tcW w:w="2122" w:type="dxa"/>
          </w:tcPr>
          <w:p w14:paraId="2EB261D2" w14:textId="77777777" w:rsidR="00051D2C" w:rsidRPr="0093000C" w:rsidRDefault="00051D2C" w:rsidP="00943858">
            <w:pPr>
              <w:jc w:val="both"/>
              <w:rPr>
                <w:b/>
                <w:bCs/>
                <w:sz w:val="20"/>
                <w:szCs w:val="20"/>
              </w:rPr>
            </w:pPr>
            <w:r w:rsidRPr="0093000C">
              <w:rPr>
                <w:b/>
                <w:bCs/>
                <w:sz w:val="20"/>
                <w:szCs w:val="20"/>
              </w:rPr>
              <w:t>Sequencing</w:t>
            </w:r>
          </w:p>
        </w:tc>
        <w:tc>
          <w:tcPr>
            <w:tcW w:w="7376" w:type="dxa"/>
          </w:tcPr>
          <w:p w14:paraId="47ACA60D" w14:textId="3F6ED3AF" w:rsidR="00051D2C" w:rsidRDefault="00DB7AE2" w:rsidP="00943858">
            <w:pPr>
              <w:rPr>
                <w:sz w:val="20"/>
                <w:szCs w:val="20"/>
              </w:rPr>
            </w:pPr>
            <w:r w:rsidRPr="0045189B">
              <w:rPr>
                <w:color w:val="156082" w:themeColor="accent1"/>
                <w:sz w:val="20"/>
                <w:szCs w:val="20"/>
              </w:rPr>
              <w:t>All regional intermediary support activities are planned to commence in Year 1, enabling early-stage capacity development and system readiness.</w:t>
            </w:r>
          </w:p>
        </w:tc>
      </w:tr>
      <w:tr w:rsidR="00051D2C" w14:paraId="00D498B1" w14:textId="77777777" w:rsidTr="00C150D3">
        <w:tc>
          <w:tcPr>
            <w:tcW w:w="2122" w:type="dxa"/>
            <w:tcBorders>
              <w:bottom w:val="single" w:sz="4" w:space="0" w:color="auto"/>
            </w:tcBorders>
          </w:tcPr>
          <w:p w14:paraId="3796871E" w14:textId="77777777" w:rsidR="00051D2C" w:rsidRPr="0093000C" w:rsidRDefault="00051D2C" w:rsidP="00943858">
            <w:pPr>
              <w:jc w:val="both"/>
              <w:rPr>
                <w:b/>
                <w:bCs/>
                <w:sz w:val="20"/>
                <w:szCs w:val="20"/>
              </w:rPr>
            </w:pPr>
            <w:r w:rsidRPr="0093000C">
              <w:rPr>
                <w:b/>
                <w:bCs/>
                <w:sz w:val="20"/>
                <w:szCs w:val="20"/>
              </w:rPr>
              <w:t>Operational needs</w:t>
            </w:r>
          </w:p>
        </w:tc>
        <w:tc>
          <w:tcPr>
            <w:tcW w:w="7376" w:type="dxa"/>
            <w:tcBorders>
              <w:bottom w:val="single" w:sz="4" w:space="0" w:color="auto"/>
            </w:tcBorders>
          </w:tcPr>
          <w:p w14:paraId="24CA52BB" w14:textId="1A2E8433" w:rsidR="00051D2C" w:rsidRDefault="00DB7AE2" w:rsidP="00943858">
            <w:pPr>
              <w:rPr>
                <w:sz w:val="20"/>
                <w:szCs w:val="20"/>
              </w:rPr>
            </w:pPr>
            <w:r w:rsidRPr="00EE765C">
              <w:rPr>
                <w:color w:val="156082" w:themeColor="accent1"/>
                <w:sz w:val="20"/>
                <w:szCs w:val="20"/>
              </w:rPr>
              <w:t xml:space="preserve">Annual provision of </w:t>
            </w:r>
            <w:r w:rsidRPr="00060F2B">
              <w:rPr>
                <w:color w:val="156082" w:themeColor="accent1"/>
                <w:sz w:val="20"/>
                <w:szCs w:val="20"/>
              </w:rPr>
              <w:t>$400,000 to fund</w:t>
            </w:r>
            <w:r>
              <w:rPr>
                <w:color w:val="156082" w:themeColor="accent1"/>
                <w:sz w:val="20"/>
                <w:szCs w:val="20"/>
              </w:rPr>
              <w:t xml:space="preserve"> a suite of options that will include m</w:t>
            </w:r>
            <w:r w:rsidRPr="00EE765C">
              <w:rPr>
                <w:color w:val="156082" w:themeColor="accent1"/>
                <w:sz w:val="20"/>
                <w:szCs w:val="20"/>
              </w:rPr>
              <w:t>entorship program</w:t>
            </w:r>
            <w:r>
              <w:rPr>
                <w:color w:val="156082" w:themeColor="accent1"/>
                <w:sz w:val="20"/>
                <w:szCs w:val="20"/>
              </w:rPr>
              <w:t xml:space="preserve"> and training workshops</w:t>
            </w:r>
            <w:r w:rsidRPr="00EE765C">
              <w:rPr>
                <w:color w:val="156082" w:themeColor="accent1"/>
                <w:sz w:val="20"/>
                <w:szCs w:val="20"/>
              </w:rPr>
              <w:t xml:space="preserve"> ($50</w:t>
            </w:r>
            <w:r>
              <w:rPr>
                <w:color w:val="156082" w:themeColor="accent1"/>
                <w:sz w:val="20"/>
                <w:szCs w:val="20"/>
              </w:rPr>
              <w:t>,000</w:t>
            </w:r>
            <w:r w:rsidRPr="00EE765C">
              <w:rPr>
                <w:color w:val="156082" w:themeColor="accent1"/>
                <w:sz w:val="20"/>
                <w:szCs w:val="20"/>
              </w:rPr>
              <w:t>: split 70:30 between teacher and learner organisations)</w:t>
            </w:r>
            <w:r>
              <w:rPr>
                <w:color w:val="156082" w:themeColor="accent1"/>
                <w:sz w:val="20"/>
                <w:szCs w:val="20"/>
              </w:rPr>
              <w:t xml:space="preserve">; </w:t>
            </w:r>
            <w:r w:rsidRPr="00EE765C">
              <w:rPr>
                <w:color w:val="156082" w:themeColor="accent1"/>
                <w:sz w:val="20"/>
                <w:szCs w:val="20"/>
              </w:rPr>
              <w:t>regional secondments ($75</w:t>
            </w:r>
            <w:r>
              <w:rPr>
                <w:color w:val="156082" w:themeColor="accent1"/>
                <w:sz w:val="20"/>
                <w:szCs w:val="20"/>
              </w:rPr>
              <w:t>,000</w:t>
            </w:r>
            <w:r w:rsidRPr="00EE765C">
              <w:rPr>
                <w:color w:val="156082" w:themeColor="accent1"/>
                <w:sz w:val="20"/>
                <w:szCs w:val="20"/>
              </w:rPr>
              <w:t>)</w:t>
            </w:r>
            <w:r>
              <w:rPr>
                <w:color w:val="156082" w:themeColor="accent1"/>
                <w:sz w:val="20"/>
                <w:szCs w:val="20"/>
              </w:rPr>
              <w:t xml:space="preserve">; </w:t>
            </w:r>
            <w:r w:rsidRPr="00EE765C">
              <w:rPr>
                <w:color w:val="156082" w:themeColor="accent1"/>
                <w:sz w:val="20"/>
                <w:szCs w:val="20"/>
              </w:rPr>
              <w:t>fellowships ($50</w:t>
            </w:r>
            <w:r>
              <w:rPr>
                <w:color w:val="156082" w:themeColor="accent1"/>
                <w:sz w:val="20"/>
                <w:szCs w:val="20"/>
              </w:rPr>
              <w:t>,000</w:t>
            </w:r>
            <w:r w:rsidRPr="00EE765C">
              <w:rPr>
                <w:color w:val="156082" w:themeColor="accent1"/>
                <w:sz w:val="20"/>
                <w:szCs w:val="20"/>
              </w:rPr>
              <w:t>)</w:t>
            </w:r>
            <w:r>
              <w:rPr>
                <w:color w:val="156082" w:themeColor="accent1"/>
                <w:sz w:val="20"/>
                <w:szCs w:val="20"/>
              </w:rPr>
              <w:t xml:space="preserve">; and </w:t>
            </w:r>
            <w:r w:rsidRPr="00EE765C">
              <w:rPr>
                <w:color w:val="156082" w:themeColor="accent1"/>
                <w:sz w:val="20"/>
                <w:szCs w:val="20"/>
              </w:rPr>
              <w:t>major hosted events (learning or strategy)</w:t>
            </w:r>
            <w:r w:rsidR="003B16EC">
              <w:rPr>
                <w:color w:val="156082" w:themeColor="accent1"/>
                <w:sz w:val="20"/>
                <w:szCs w:val="20"/>
              </w:rPr>
              <w:t xml:space="preserve"> plus</w:t>
            </w:r>
            <w:r w:rsidRPr="00EE765C">
              <w:rPr>
                <w:color w:val="156082" w:themeColor="accent1"/>
                <w:sz w:val="20"/>
                <w:szCs w:val="20"/>
              </w:rPr>
              <w:t xml:space="preserve"> </w:t>
            </w:r>
            <w:r w:rsidR="003B16EC">
              <w:rPr>
                <w:color w:val="156082" w:themeColor="accent1"/>
                <w:sz w:val="20"/>
                <w:szCs w:val="20"/>
              </w:rPr>
              <w:t>learning outputs</w:t>
            </w:r>
            <w:r w:rsidR="003B16EC" w:rsidRPr="00EE765C">
              <w:rPr>
                <w:color w:val="156082" w:themeColor="accent1"/>
                <w:sz w:val="20"/>
                <w:szCs w:val="20"/>
              </w:rPr>
              <w:t xml:space="preserve"> </w:t>
            </w:r>
            <w:r w:rsidRPr="00EE765C">
              <w:rPr>
                <w:color w:val="156082" w:themeColor="accent1"/>
                <w:sz w:val="20"/>
                <w:szCs w:val="20"/>
              </w:rPr>
              <w:t>($15</w:t>
            </w:r>
            <w:r>
              <w:rPr>
                <w:color w:val="156082" w:themeColor="accent1"/>
                <w:sz w:val="20"/>
                <w:szCs w:val="20"/>
              </w:rPr>
              <w:t>,000)</w:t>
            </w:r>
            <w:r w:rsidR="00DA03AE">
              <w:rPr>
                <w:color w:val="156082" w:themeColor="accent1"/>
                <w:sz w:val="20"/>
                <w:szCs w:val="20"/>
              </w:rPr>
              <w:t xml:space="preserve">; </w:t>
            </w:r>
          </w:p>
        </w:tc>
      </w:tr>
    </w:tbl>
    <w:p w14:paraId="2BBFCF4D" w14:textId="77777777" w:rsidR="00FE40AF" w:rsidRDefault="00FE40AF" w:rsidP="001E3547">
      <w:pPr>
        <w:jc w:val="both"/>
        <w:rPr>
          <w:sz w:val="20"/>
          <w:szCs w:val="20"/>
        </w:rPr>
      </w:pPr>
    </w:p>
    <w:tbl>
      <w:tblPr>
        <w:tblW w:w="9209" w:type="dxa"/>
        <w:tblLook w:val="04A0" w:firstRow="1" w:lastRow="0" w:firstColumn="1" w:lastColumn="0" w:noHBand="0" w:noVBand="1"/>
      </w:tblPr>
      <w:tblGrid>
        <w:gridCol w:w="3238"/>
        <w:gridCol w:w="3445"/>
        <w:gridCol w:w="2526"/>
      </w:tblGrid>
      <w:tr w:rsidR="009D4171" w:rsidRPr="009D4171" w14:paraId="59D40FEC" w14:textId="77777777" w:rsidTr="009D4171">
        <w:trPr>
          <w:trHeight w:val="902"/>
        </w:trPr>
        <w:tc>
          <w:tcPr>
            <w:tcW w:w="282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3F334373" w14:textId="77777777" w:rsidR="009D4171" w:rsidRPr="009D4171" w:rsidRDefault="009D4171" w:rsidP="009D4171">
            <w:pPr>
              <w:spacing w:after="0" w:line="240" w:lineRule="auto"/>
              <w:rPr>
                <w:rFonts w:ascii="Aptos" w:eastAsia="Times New Roman" w:hAnsi="Aptos" w:cs="Times New Roman"/>
                <w:b/>
                <w:bCs/>
                <w:color w:val="000000"/>
                <w:kern w:val="0"/>
                <w:sz w:val="22"/>
                <w:szCs w:val="22"/>
                <w:lang w:val="en-GB" w:eastAsia="en-GB"/>
                <w14:ligatures w14:val="none"/>
              </w:rPr>
            </w:pPr>
            <w:r w:rsidRPr="009D4171">
              <w:rPr>
                <w:rFonts w:ascii="Aptos" w:eastAsia="Times New Roman" w:hAnsi="Aptos" w:cs="Times New Roman"/>
                <w:b/>
                <w:bCs/>
                <w:color w:val="000000"/>
                <w:kern w:val="0"/>
                <w:sz w:val="22"/>
                <w:szCs w:val="22"/>
                <w:lang w:val="en-GB" w:eastAsia="en-GB"/>
                <w14:ligatures w14:val="none"/>
              </w:rPr>
              <w:t xml:space="preserve">Category </w:t>
            </w:r>
          </w:p>
        </w:tc>
        <w:tc>
          <w:tcPr>
            <w:tcW w:w="3000" w:type="dxa"/>
            <w:tcBorders>
              <w:top w:val="single" w:sz="4" w:space="0" w:color="auto"/>
              <w:left w:val="nil"/>
              <w:bottom w:val="single" w:sz="4" w:space="0" w:color="auto"/>
              <w:right w:val="single" w:sz="4" w:space="0" w:color="auto"/>
            </w:tcBorders>
            <w:shd w:val="clear" w:color="auto" w:fill="C1E4F5" w:themeFill="accent1" w:themeFillTint="33"/>
            <w:vAlign w:val="center"/>
            <w:hideMark/>
          </w:tcPr>
          <w:p w14:paraId="2CAF5E3B" w14:textId="77777777" w:rsidR="009D4171" w:rsidRPr="009D4171" w:rsidRDefault="009D4171" w:rsidP="009D4171">
            <w:pPr>
              <w:spacing w:after="0" w:line="240" w:lineRule="auto"/>
              <w:rPr>
                <w:rFonts w:ascii="Aptos" w:eastAsia="Times New Roman" w:hAnsi="Aptos" w:cs="Times New Roman"/>
                <w:b/>
                <w:bCs/>
                <w:color w:val="000000"/>
                <w:kern w:val="0"/>
                <w:sz w:val="22"/>
                <w:szCs w:val="22"/>
                <w:lang w:val="en-GB" w:eastAsia="en-GB"/>
                <w14:ligatures w14:val="none"/>
              </w:rPr>
            </w:pPr>
            <w:r w:rsidRPr="009D4171">
              <w:rPr>
                <w:rFonts w:ascii="Aptos" w:eastAsia="Times New Roman" w:hAnsi="Aptos" w:cs="Times New Roman"/>
                <w:b/>
                <w:bCs/>
                <w:color w:val="000000"/>
                <w:kern w:val="0"/>
                <w:sz w:val="22"/>
                <w:szCs w:val="22"/>
                <w:lang w:val="en-GB" w:eastAsia="en-GB"/>
                <w14:ligatures w14:val="none"/>
              </w:rPr>
              <w:t>Direct Costs by category</w:t>
            </w:r>
          </w:p>
        </w:tc>
        <w:tc>
          <w:tcPr>
            <w:tcW w:w="2200" w:type="dxa"/>
            <w:tcBorders>
              <w:top w:val="single" w:sz="4" w:space="0" w:color="auto"/>
              <w:left w:val="nil"/>
              <w:bottom w:val="single" w:sz="4" w:space="0" w:color="auto"/>
              <w:right w:val="single" w:sz="4" w:space="0" w:color="auto"/>
            </w:tcBorders>
            <w:shd w:val="clear" w:color="auto" w:fill="C1E4F5" w:themeFill="accent1" w:themeFillTint="33"/>
            <w:vAlign w:val="center"/>
            <w:hideMark/>
          </w:tcPr>
          <w:p w14:paraId="5EBED3E6" w14:textId="77777777" w:rsidR="009D4171" w:rsidRPr="009D4171" w:rsidRDefault="009D4171" w:rsidP="009D4171">
            <w:pPr>
              <w:spacing w:after="0" w:line="240" w:lineRule="auto"/>
              <w:rPr>
                <w:rFonts w:ascii="Aptos" w:eastAsia="Times New Roman" w:hAnsi="Aptos" w:cs="Times New Roman"/>
                <w:b/>
                <w:bCs/>
                <w:color w:val="000000"/>
                <w:kern w:val="0"/>
                <w:sz w:val="22"/>
                <w:szCs w:val="22"/>
                <w:lang w:val="en-GB" w:eastAsia="en-GB"/>
                <w14:ligatures w14:val="none"/>
              </w:rPr>
            </w:pPr>
            <w:r w:rsidRPr="009D4171">
              <w:rPr>
                <w:rFonts w:ascii="Aptos" w:eastAsia="Times New Roman" w:hAnsi="Aptos" w:cs="Times New Roman"/>
                <w:b/>
                <w:bCs/>
                <w:color w:val="000000"/>
                <w:kern w:val="0"/>
                <w:sz w:val="22"/>
                <w:szCs w:val="22"/>
                <w:lang w:val="en-GB" w:eastAsia="en-GB"/>
                <w14:ligatures w14:val="none"/>
              </w:rPr>
              <w:t xml:space="preserve">Percentage of total direct costs </w:t>
            </w:r>
          </w:p>
        </w:tc>
      </w:tr>
      <w:tr w:rsidR="009D4171" w:rsidRPr="009D4171" w14:paraId="17BAE606"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773A3C1" w14:textId="77777777" w:rsidR="009D4171" w:rsidRPr="009D4171" w:rsidRDefault="009D4171" w:rsidP="009D4171">
            <w:pPr>
              <w:spacing w:after="0" w:line="240" w:lineRule="auto"/>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People</w:t>
            </w:r>
          </w:p>
        </w:tc>
        <w:tc>
          <w:tcPr>
            <w:tcW w:w="3000" w:type="dxa"/>
            <w:tcBorders>
              <w:top w:val="nil"/>
              <w:left w:val="nil"/>
              <w:bottom w:val="single" w:sz="4" w:space="0" w:color="auto"/>
              <w:right w:val="single" w:sz="4" w:space="0" w:color="auto"/>
            </w:tcBorders>
            <w:shd w:val="clear" w:color="auto" w:fill="auto"/>
            <w:noWrap/>
            <w:vAlign w:val="bottom"/>
            <w:hideMark/>
          </w:tcPr>
          <w:p w14:paraId="6A5E06D7" w14:textId="77777777" w:rsidR="009D4171" w:rsidRPr="009D4171" w:rsidRDefault="009D4171" w:rsidP="009D4171">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$2,669,019</w:t>
            </w:r>
          </w:p>
        </w:tc>
        <w:tc>
          <w:tcPr>
            <w:tcW w:w="2200" w:type="dxa"/>
            <w:tcBorders>
              <w:top w:val="nil"/>
              <w:left w:val="nil"/>
              <w:bottom w:val="single" w:sz="4" w:space="0" w:color="auto"/>
              <w:right w:val="single" w:sz="4" w:space="0" w:color="auto"/>
            </w:tcBorders>
            <w:shd w:val="clear" w:color="auto" w:fill="auto"/>
            <w:noWrap/>
            <w:vAlign w:val="bottom"/>
            <w:hideMark/>
          </w:tcPr>
          <w:p w14:paraId="34395D3E" w14:textId="77777777" w:rsidR="009D4171" w:rsidRPr="009D4171" w:rsidRDefault="009D4171" w:rsidP="009D4171">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19.99%</w:t>
            </w:r>
          </w:p>
        </w:tc>
      </w:tr>
      <w:tr w:rsidR="009D4171" w:rsidRPr="009D4171" w14:paraId="3E00F055"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8172721" w14:textId="77777777" w:rsidR="009D4171" w:rsidRPr="009D4171" w:rsidRDefault="009D4171" w:rsidP="009D4171">
            <w:pPr>
              <w:spacing w:after="0" w:line="240" w:lineRule="auto"/>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 xml:space="preserve">Contracts </w:t>
            </w:r>
          </w:p>
        </w:tc>
        <w:tc>
          <w:tcPr>
            <w:tcW w:w="3000" w:type="dxa"/>
            <w:tcBorders>
              <w:top w:val="nil"/>
              <w:left w:val="nil"/>
              <w:bottom w:val="single" w:sz="4" w:space="0" w:color="auto"/>
              <w:right w:val="single" w:sz="4" w:space="0" w:color="auto"/>
            </w:tcBorders>
            <w:shd w:val="clear" w:color="auto" w:fill="auto"/>
            <w:noWrap/>
            <w:vAlign w:val="bottom"/>
            <w:hideMark/>
          </w:tcPr>
          <w:p w14:paraId="2B450A9C" w14:textId="77777777" w:rsidR="009D4171" w:rsidRPr="009D4171" w:rsidRDefault="009D4171" w:rsidP="009D4171">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$10,000,000</w:t>
            </w:r>
          </w:p>
        </w:tc>
        <w:tc>
          <w:tcPr>
            <w:tcW w:w="2200" w:type="dxa"/>
            <w:tcBorders>
              <w:top w:val="nil"/>
              <w:left w:val="nil"/>
              <w:bottom w:val="single" w:sz="4" w:space="0" w:color="auto"/>
              <w:right w:val="single" w:sz="4" w:space="0" w:color="auto"/>
            </w:tcBorders>
            <w:shd w:val="clear" w:color="auto" w:fill="auto"/>
            <w:noWrap/>
            <w:vAlign w:val="bottom"/>
            <w:hideMark/>
          </w:tcPr>
          <w:p w14:paraId="12B4D2A0" w14:textId="77777777" w:rsidR="009D4171" w:rsidRPr="009D4171" w:rsidRDefault="009D4171" w:rsidP="009D4171">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74.89%</w:t>
            </w:r>
          </w:p>
        </w:tc>
      </w:tr>
      <w:tr w:rsidR="009D4171" w:rsidRPr="009D4171" w14:paraId="500BCEA2"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510CD29" w14:textId="77777777" w:rsidR="009D4171" w:rsidRPr="009D4171" w:rsidRDefault="009D4171" w:rsidP="009D4171">
            <w:pPr>
              <w:spacing w:after="0" w:line="240" w:lineRule="auto"/>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 xml:space="preserve">Tools </w:t>
            </w:r>
          </w:p>
        </w:tc>
        <w:tc>
          <w:tcPr>
            <w:tcW w:w="3000" w:type="dxa"/>
            <w:tcBorders>
              <w:top w:val="nil"/>
              <w:left w:val="nil"/>
              <w:bottom w:val="single" w:sz="4" w:space="0" w:color="auto"/>
              <w:right w:val="single" w:sz="4" w:space="0" w:color="auto"/>
            </w:tcBorders>
            <w:shd w:val="clear" w:color="auto" w:fill="auto"/>
            <w:noWrap/>
            <w:vAlign w:val="bottom"/>
            <w:hideMark/>
          </w:tcPr>
          <w:p w14:paraId="309B8765" w14:textId="77777777" w:rsidR="009D4171" w:rsidRPr="009D4171" w:rsidRDefault="009D4171" w:rsidP="009D4171">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$52,050</w:t>
            </w:r>
          </w:p>
        </w:tc>
        <w:tc>
          <w:tcPr>
            <w:tcW w:w="2200" w:type="dxa"/>
            <w:tcBorders>
              <w:top w:val="nil"/>
              <w:left w:val="nil"/>
              <w:bottom w:val="single" w:sz="4" w:space="0" w:color="auto"/>
              <w:right w:val="single" w:sz="4" w:space="0" w:color="auto"/>
            </w:tcBorders>
            <w:shd w:val="clear" w:color="auto" w:fill="auto"/>
            <w:noWrap/>
            <w:vAlign w:val="bottom"/>
            <w:hideMark/>
          </w:tcPr>
          <w:p w14:paraId="59A5FDF0" w14:textId="77777777" w:rsidR="009D4171" w:rsidRPr="009D4171" w:rsidRDefault="009D4171" w:rsidP="009D4171">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0.39%</w:t>
            </w:r>
          </w:p>
        </w:tc>
      </w:tr>
      <w:tr w:rsidR="009D4171" w:rsidRPr="009D4171" w14:paraId="3CE759E3"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002ECA6" w14:textId="77777777" w:rsidR="009D4171" w:rsidRPr="009D4171" w:rsidRDefault="009D4171" w:rsidP="009D4171">
            <w:pPr>
              <w:spacing w:after="0" w:line="240" w:lineRule="auto"/>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 xml:space="preserve">Training event attendance </w:t>
            </w:r>
          </w:p>
        </w:tc>
        <w:tc>
          <w:tcPr>
            <w:tcW w:w="3000" w:type="dxa"/>
            <w:tcBorders>
              <w:top w:val="nil"/>
              <w:left w:val="nil"/>
              <w:bottom w:val="single" w:sz="4" w:space="0" w:color="auto"/>
              <w:right w:val="single" w:sz="4" w:space="0" w:color="auto"/>
            </w:tcBorders>
            <w:shd w:val="clear" w:color="auto" w:fill="auto"/>
            <w:noWrap/>
            <w:vAlign w:val="bottom"/>
            <w:hideMark/>
          </w:tcPr>
          <w:p w14:paraId="3B3D874E" w14:textId="77777777" w:rsidR="009D4171" w:rsidRPr="009D4171" w:rsidRDefault="009D4171" w:rsidP="009D4171">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427C7D7F" w14:textId="77777777" w:rsidR="009D4171" w:rsidRPr="009D4171" w:rsidRDefault="009D4171" w:rsidP="009D4171">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0.00%</w:t>
            </w:r>
          </w:p>
        </w:tc>
      </w:tr>
      <w:tr w:rsidR="009D4171" w:rsidRPr="009D4171" w14:paraId="5B9A854E"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27030C2" w14:textId="77777777" w:rsidR="009D4171" w:rsidRPr="009D4171" w:rsidRDefault="009D4171" w:rsidP="009D4171">
            <w:pPr>
              <w:spacing w:after="0" w:line="240" w:lineRule="auto"/>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 xml:space="preserve">Citizen engagement </w:t>
            </w:r>
          </w:p>
        </w:tc>
        <w:tc>
          <w:tcPr>
            <w:tcW w:w="3000" w:type="dxa"/>
            <w:tcBorders>
              <w:top w:val="nil"/>
              <w:left w:val="nil"/>
              <w:bottom w:val="single" w:sz="4" w:space="0" w:color="auto"/>
              <w:right w:val="single" w:sz="4" w:space="0" w:color="auto"/>
            </w:tcBorders>
            <w:shd w:val="clear" w:color="auto" w:fill="auto"/>
            <w:noWrap/>
            <w:vAlign w:val="bottom"/>
            <w:hideMark/>
          </w:tcPr>
          <w:p w14:paraId="750B4D67" w14:textId="77777777" w:rsidR="009D4171" w:rsidRPr="009D4171" w:rsidRDefault="009D4171" w:rsidP="009D4171">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4DA55AD5" w14:textId="77777777" w:rsidR="009D4171" w:rsidRPr="009D4171" w:rsidRDefault="009D4171" w:rsidP="009D4171">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0.00%</w:t>
            </w:r>
          </w:p>
        </w:tc>
      </w:tr>
      <w:tr w:rsidR="009D4171" w:rsidRPr="009D4171" w14:paraId="308554CA"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1F8D8B4" w14:textId="77777777" w:rsidR="009D4171" w:rsidRPr="009D4171" w:rsidRDefault="009D4171" w:rsidP="009D4171">
            <w:pPr>
              <w:spacing w:after="0" w:line="240" w:lineRule="auto"/>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Travel</w:t>
            </w:r>
          </w:p>
        </w:tc>
        <w:tc>
          <w:tcPr>
            <w:tcW w:w="3000" w:type="dxa"/>
            <w:tcBorders>
              <w:top w:val="nil"/>
              <w:left w:val="nil"/>
              <w:bottom w:val="single" w:sz="4" w:space="0" w:color="auto"/>
              <w:right w:val="single" w:sz="4" w:space="0" w:color="auto"/>
            </w:tcBorders>
            <w:shd w:val="clear" w:color="auto" w:fill="auto"/>
            <w:noWrap/>
            <w:vAlign w:val="bottom"/>
            <w:hideMark/>
          </w:tcPr>
          <w:p w14:paraId="529E4349" w14:textId="77777777" w:rsidR="009D4171" w:rsidRPr="009D4171" w:rsidRDefault="009D4171" w:rsidP="009D4171">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$456,250</w:t>
            </w:r>
          </w:p>
        </w:tc>
        <w:tc>
          <w:tcPr>
            <w:tcW w:w="2200" w:type="dxa"/>
            <w:tcBorders>
              <w:top w:val="nil"/>
              <w:left w:val="nil"/>
              <w:bottom w:val="single" w:sz="4" w:space="0" w:color="auto"/>
              <w:right w:val="single" w:sz="4" w:space="0" w:color="auto"/>
            </w:tcBorders>
            <w:shd w:val="clear" w:color="auto" w:fill="auto"/>
            <w:noWrap/>
            <w:vAlign w:val="bottom"/>
            <w:hideMark/>
          </w:tcPr>
          <w:p w14:paraId="1C8835D1" w14:textId="77777777" w:rsidR="009D4171" w:rsidRPr="009D4171" w:rsidRDefault="009D4171" w:rsidP="009D4171">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3.42%</w:t>
            </w:r>
          </w:p>
        </w:tc>
      </w:tr>
      <w:tr w:rsidR="009D4171" w:rsidRPr="009D4171" w14:paraId="7D77C0A2"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6129643" w14:textId="77777777" w:rsidR="009D4171" w:rsidRPr="009D4171" w:rsidRDefault="009D4171" w:rsidP="009D4171">
            <w:pPr>
              <w:spacing w:after="0" w:line="240" w:lineRule="auto"/>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Dissemination</w:t>
            </w:r>
          </w:p>
        </w:tc>
        <w:tc>
          <w:tcPr>
            <w:tcW w:w="3000" w:type="dxa"/>
            <w:tcBorders>
              <w:top w:val="nil"/>
              <w:left w:val="nil"/>
              <w:bottom w:val="single" w:sz="4" w:space="0" w:color="auto"/>
              <w:right w:val="single" w:sz="4" w:space="0" w:color="auto"/>
            </w:tcBorders>
            <w:shd w:val="clear" w:color="auto" w:fill="auto"/>
            <w:noWrap/>
            <w:vAlign w:val="bottom"/>
            <w:hideMark/>
          </w:tcPr>
          <w:p w14:paraId="121B49C1" w14:textId="77777777" w:rsidR="009D4171" w:rsidRPr="009D4171" w:rsidRDefault="009D4171" w:rsidP="009D4171">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$176,250</w:t>
            </w:r>
          </w:p>
        </w:tc>
        <w:tc>
          <w:tcPr>
            <w:tcW w:w="2200" w:type="dxa"/>
            <w:tcBorders>
              <w:top w:val="nil"/>
              <w:left w:val="nil"/>
              <w:bottom w:val="single" w:sz="4" w:space="0" w:color="auto"/>
              <w:right w:val="single" w:sz="4" w:space="0" w:color="auto"/>
            </w:tcBorders>
            <w:shd w:val="clear" w:color="auto" w:fill="auto"/>
            <w:noWrap/>
            <w:vAlign w:val="bottom"/>
            <w:hideMark/>
          </w:tcPr>
          <w:p w14:paraId="3BE93A8B" w14:textId="77777777" w:rsidR="009D4171" w:rsidRPr="009D4171" w:rsidRDefault="009D4171" w:rsidP="009D4171">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1.32%</w:t>
            </w:r>
          </w:p>
        </w:tc>
      </w:tr>
      <w:tr w:rsidR="009D4171" w:rsidRPr="009D4171" w14:paraId="7A4E0009"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625F465" w14:textId="77777777" w:rsidR="009D4171" w:rsidRPr="009D4171" w:rsidRDefault="009D4171" w:rsidP="009D4171">
            <w:pPr>
              <w:spacing w:after="0" w:line="240" w:lineRule="auto"/>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 xml:space="preserve">Other </w:t>
            </w:r>
          </w:p>
        </w:tc>
        <w:tc>
          <w:tcPr>
            <w:tcW w:w="3000" w:type="dxa"/>
            <w:tcBorders>
              <w:top w:val="nil"/>
              <w:left w:val="nil"/>
              <w:bottom w:val="single" w:sz="4" w:space="0" w:color="auto"/>
              <w:right w:val="single" w:sz="4" w:space="0" w:color="auto"/>
            </w:tcBorders>
            <w:shd w:val="clear" w:color="auto" w:fill="auto"/>
            <w:noWrap/>
            <w:vAlign w:val="bottom"/>
            <w:hideMark/>
          </w:tcPr>
          <w:p w14:paraId="291DB61D" w14:textId="77777777" w:rsidR="009D4171" w:rsidRPr="009D4171" w:rsidRDefault="009D4171" w:rsidP="009D4171">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73E02DE8" w14:textId="77777777" w:rsidR="009D4171" w:rsidRPr="009D4171" w:rsidRDefault="009D4171" w:rsidP="009D4171">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0.00%</w:t>
            </w:r>
          </w:p>
        </w:tc>
      </w:tr>
      <w:tr w:rsidR="009D4171" w:rsidRPr="009D4171" w14:paraId="3D6BAF37"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D6442B2" w14:textId="77777777" w:rsidR="009D4171" w:rsidRPr="009D4171" w:rsidRDefault="009D4171" w:rsidP="009D4171">
            <w:pPr>
              <w:spacing w:after="0" w:line="240" w:lineRule="auto"/>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 xml:space="preserve">Total direct costs </w:t>
            </w:r>
          </w:p>
        </w:tc>
        <w:tc>
          <w:tcPr>
            <w:tcW w:w="3000" w:type="dxa"/>
            <w:tcBorders>
              <w:top w:val="nil"/>
              <w:left w:val="nil"/>
              <w:bottom w:val="single" w:sz="4" w:space="0" w:color="auto"/>
              <w:right w:val="single" w:sz="4" w:space="0" w:color="auto"/>
            </w:tcBorders>
            <w:shd w:val="clear" w:color="auto" w:fill="auto"/>
            <w:noWrap/>
            <w:vAlign w:val="bottom"/>
            <w:hideMark/>
          </w:tcPr>
          <w:p w14:paraId="2A5F7005" w14:textId="77777777" w:rsidR="009D4171" w:rsidRPr="009D4171" w:rsidRDefault="009D4171" w:rsidP="009D4171">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$13,353,569</w:t>
            </w:r>
          </w:p>
        </w:tc>
        <w:tc>
          <w:tcPr>
            <w:tcW w:w="2200" w:type="dxa"/>
            <w:tcBorders>
              <w:top w:val="nil"/>
              <w:left w:val="nil"/>
              <w:bottom w:val="single" w:sz="4" w:space="0" w:color="auto"/>
              <w:right w:val="single" w:sz="4" w:space="0" w:color="auto"/>
            </w:tcBorders>
            <w:shd w:val="clear" w:color="auto" w:fill="auto"/>
            <w:noWrap/>
            <w:vAlign w:val="bottom"/>
            <w:hideMark/>
          </w:tcPr>
          <w:p w14:paraId="2A5942FD" w14:textId="77777777" w:rsidR="009D4171" w:rsidRPr="009D4171" w:rsidRDefault="009D4171" w:rsidP="009D4171">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100.00%</w:t>
            </w:r>
          </w:p>
        </w:tc>
      </w:tr>
      <w:tr w:rsidR="009D4171" w:rsidRPr="009D4171" w14:paraId="30BF42DD"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72D9982" w14:textId="77777777" w:rsidR="009D4171" w:rsidRPr="009D4171" w:rsidRDefault="009D4171" w:rsidP="009D4171">
            <w:pPr>
              <w:spacing w:after="0" w:line="240" w:lineRule="auto"/>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 xml:space="preserve">Grand total with 20% overheads </w:t>
            </w:r>
          </w:p>
        </w:tc>
        <w:tc>
          <w:tcPr>
            <w:tcW w:w="3000" w:type="dxa"/>
            <w:tcBorders>
              <w:top w:val="nil"/>
              <w:left w:val="nil"/>
              <w:bottom w:val="single" w:sz="4" w:space="0" w:color="auto"/>
              <w:right w:val="single" w:sz="4" w:space="0" w:color="auto"/>
            </w:tcBorders>
            <w:shd w:val="clear" w:color="auto" w:fill="auto"/>
            <w:noWrap/>
            <w:vAlign w:val="bottom"/>
            <w:hideMark/>
          </w:tcPr>
          <w:p w14:paraId="5B6709D5" w14:textId="77777777" w:rsidR="009D4171" w:rsidRPr="009D4171" w:rsidRDefault="009D4171" w:rsidP="009D4171">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$16,024,283</w:t>
            </w:r>
          </w:p>
        </w:tc>
        <w:tc>
          <w:tcPr>
            <w:tcW w:w="2200" w:type="dxa"/>
            <w:tcBorders>
              <w:top w:val="nil"/>
              <w:left w:val="nil"/>
              <w:bottom w:val="single" w:sz="4" w:space="0" w:color="auto"/>
              <w:right w:val="single" w:sz="4" w:space="0" w:color="auto"/>
            </w:tcBorders>
            <w:shd w:val="clear" w:color="auto" w:fill="auto"/>
            <w:noWrap/>
            <w:vAlign w:val="bottom"/>
            <w:hideMark/>
          </w:tcPr>
          <w:p w14:paraId="1AF12904" w14:textId="77777777" w:rsidR="009D4171" w:rsidRPr="009D4171" w:rsidRDefault="009D4171" w:rsidP="009D4171">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9D4171">
              <w:rPr>
                <w:rFonts w:ascii="Aptos Narrow" w:eastAsia="Times New Roman" w:hAnsi="Aptos Narrow" w:cs="Times New Roman"/>
                <w:color w:val="000000"/>
                <w:kern w:val="0"/>
                <w:sz w:val="22"/>
                <w:szCs w:val="22"/>
                <w:lang w:val="en-GB" w:eastAsia="en-GB"/>
                <w14:ligatures w14:val="none"/>
              </w:rPr>
              <w:t> </w:t>
            </w:r>
          </w:p>
        </w:tc>
      </w:tr>
    </w:tbl>
    <w:p w14:paraId="6A0D4049" w14:textId="77777777" w:rsidR="00C64DA2" w:rsidRDefault="00C64DA2" w:rsidP="001E3547">
      <w:pPr>
        <w:jc w:val="both"/>
        <w:rPr>
          <w:sz w:val="20"/>
          <w:szCs w:val="20"/>
        </w:rPr>
      </w:pPr>
    </w:p>
    <w:p w14:paraId="1D45AC4D" w14:textId="399276E2" w:rsidR="001E3547" w:rsidRPr="00F66025" w:rsidRDefault="001E3547" w:rsidP="007019C8">
      <w:pPr>
        <w:spacing w:after="0"/>
        <w:ind w:left="2160" w:hanging="2160"/>
        <w:jc w:val="both"/>
        <w:rPr>
          <w:color w:val="156082" w:themeColor="accent1"/>
          <w:sz w:val="20"/>
          <w:szCs w:val="20"/>
        </w:rPr>
      </w:pPr>
      <w:r w:rsidRPr="00F66025">
        <w:rPr>
          <w:sz w:val="20"/>
          <w:szCs w:val="20"/>
        </w:rPr>
        <w:tab/>
      </w:r>
    </w:p>
    <w:p w14:paraId="46133CD8" w14:textId="77777777" w:rsidR="00DB7AE2" w:rsidRDefault="00DB7AE2">
      <w:pPr>
        <w:rPr>
          <w:sz w:val="20"/>
          <w:szCs w:val="20"/>
        </w:rPr>
      </w:pPr>
      <w:r>
        <w:rPr>
          <w:sz w:val="20"/>
          <w:szCs w:val="20"/>
        </w:rPr>
        <w:br w:type="page"/>
      </w:r>
    </w:p>
    <w:p w14:paraId="3E8F121C" w14:textId="1C2A30C0" w:rsidR="00374F31" w:rsidRDefault="00374F31" w:rsidP="00374F31">
      <w:pPr>
        <w:pStyle w:val="Heading1"/>
      </w:pPr>
      <w:r w:rsidRPr="00F66025">
        <w:lastRenderedPageBreak/>
        <w:t xml:space="preserve">Option </w:t>
      </w:r>
      <w:r>
        <w:t>2B:</w:t>
      </w:r>
      <w:r w:rsidRPr="00051D2C">
        <w:t xml:space="preserve"> </w:t>
      </w:r>
      <w:r>
        <w:t>Support to Evidence Intermediaries</w:t>
      </w:r>
      <w:r w:rsidR="00F96DCD">
        <w:t>: $11.4m</w:t>
      </w:r>
    </w:p>
    <w:tbl>
      <w:tblPr>
        <w:tblStyle w:val="TableGrid"/>
        <w:tblpPr w:leftFromText="180" w:rightFromText="180" w:vertAnchor="text" w:horzAnchor="margin" w:tblpY="25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2122"/>
        <w:gridCol w:w="7376"/>
      </w:tblGrid>
      <w:tr w:rsidR="00A855E9" w:rsidRPr="00A855E9" w14:paraId="169BD1CA" w14:textId="77777777" w:rsidTr="00A855E9">
        <w:tc>
          <w:tcPr>
            <w:tcW w:w="9498" w:type="dxa"/>
            <w:gridSpan w:val="2"/>
            <w:shd w:val="clear" w:color="auto" w:fill="F2CEED" w:themeFill="accent5" w:themeFillTint="33"/>
          </w:tcPr>
          <w:p w14:paraId="62FCC844" w14:textId="3E05A210" w:rsidR="00374F31" w:rsidRPr="00A855E9" w:rsidRDefault="009779B6" w:rsidP="00374F31">
            <w:pPr>
              <w:rPr>
                <w:color w:val="156082" w:themeColor="accent1"/>
                <w:sz w:val="22"/>
                <w:szCs w:val="22"/>
              </w:rPr>
            </w:pPr>
            <w:r w:rsidRPr="00A855E9">
              <w:rPr>
                <w:color w:val="156082" w:themeColor="accent1"/>
                <w:sz w:val="22"/>
                <w:szCs w:val="22"/>
              </w:rPr>
              <w:t xml:space="preserve">As per 2A - </w:t>
            </w:r>
            <w:r w:rsidRPr="009779B6">
              <w:rPr>
                <w:color w:val="156082" w:themeColor="accent1"/>
                <w:sz w:val="22"/>
                <w:szCs w:val="22"/>
                <w:lang w:val="en-GB"/>
              </w:rPr>
              <w:t>core staff compliment is reduced; sequencing changed</w:t>
            </w:r>
            <w:r w:rsidRPr="00A855E9">
              <w:rPr>
                <w:color w:val="156082" w:themeColor="accent1"/>
                <w:sz w:val="22"/>
                <w:szCs w:val="22"/>
                <w:lang w:val="en-GB"/>
              </w:rPr>
              <w:t xml:space="preserve"> - </w:t>
            </w:r>
            <w:r w:rsidRPr="009779B6">
              <w:rPr>
                <w:color w:val="156082" w:themeColor="accent1"/>
                <w:sz w:val="22"/>
                <w:szCs w:val="22"/>
                <w:lang w:val="en-GB"/>
              </w:rPr>
              <w:t>changes in purple</w:t>
            </w:r>
          </w:p>
        </w:tc>
      </w:tr>
      <w:tr w:rsidR="00374F31" w14:paraId="7693F504" w14:textId="77777777" w:rsidTr="00A855E9">
        <w:tc>
          <w:tcPr>
            <w:tcW w:w="2122" w:type="dxa"/>
          </w:tcPr>
          <w:p w14:paraId="72CBFA3C" w14:textId="77777777" w:rsidR="00374F31" w:rsidRPr="0093000C" w:rsidRDefault="00374F31" w:rsidP="00374F31">
            <w:pPr>
              <w:ind w:left="2160" w:hanging="2160"/>
              <w:jc w:val="both"/>
              <w:rPr>
                <w:b/>
                <w:bCs/>
                <w:sz w:val="20"/>
                <w:szCs w:val="20"/>
              </w:rPr>
            </w:pPr>
          </w:p>
        </w:tc>
        <w:tc>
          <w:tcPr>
            <w:tcW w:w="7376" w:type="dxa"/>
          </w:tcPr>
          <w:p w14:paraId="164BD76C" w14:textId="77777777" w:rsidR="00374F31" w:rsidRDefault="00374F31" w:rsidP="00374F31">
            <w:pPr>
              <w:rPr>
                <w:sz w:val="20"/>
                <w:szCs w:val="20"/>
              </w:rPr>
            </w:pPr>
          </w:p>
        </w:tc>
      </w:tr>
      <w:tr w:rsidR="00374F31" w14:paraId="77A5E742" w14:textId="77777777" w:rsidTr="00A855E9">
        <w:tc>
          <w:tcPr>
            <w:tcW w:w="2122" w:type="dxa"/>
          </w:tcPr>
          <w:p w14:paraId="252B8FCB" w14:textId="77777777" w:rsidR="00374F31" w:rsidRPr="0093000C" w:rsidRDefault="00374F31" w:rsidP="00374F31">
            <w:pPr>
              <w:ind w:left="2160" w:hanging="2160"/>
              <w:jc w:val="both"/>
              <w:rPr>
                <w:b/>
                <w:bCs/>
                <w:sz w:val="20"/>
                <w:szCs w:val="20"/>
              </w:rPr>
            </w:pPr>
            <w:r w:rsidRPr="0093000C">
              <w:rPr>
                <w:b/>
                <w:bCs/>
                <w:sz w:val="20"/>
                <w:szCs w:val="20"/>
              </w:rPr>
              <w:t>Implementation</w:t>
            </w:r>
          </w:p>
          <w:p w14:paraId="1338239C" w14:textId="77777777" w:rsidR="00374F31" w:rsidRPr="0093000C" w:rsidRDefault="00374F31" w:rsidP="00374F31">
            <w:pPr>
              <w:jc w:val="both"/>
              <w:rPr>
                <w:b/>
                <w:bCs/>
                <w:sz w:val="20"/>
                <w:szCs w:val="20"/>
              </w:rPr>
            </w:pPr>
            <w:r w:rsidRPr="0093000C">
              <w:rPr>
                <w:b/>
                <w:bCs/>
                <w:sz w:val="20"/>
                <w:szCs w:val="20"/>
              </w:rPr>
              <w:t>Caveats</w:t>
            </w:r>
          </w:p>
        </w:tc>
        <w:tc>
          <w:tcPr>
            <w:tcW w:w="7376" w:type="dxa"/>
          </w:tcPr>
          <w:p w14:paraId="6BBAC85F" w14:textId="10C1BAC0" w:rsidR="00374F31" w:rsidRDefault="00CC3555" w:rsidP="00374F31">
            <w:pPr>
              <w:rPr>
                <w:sz w:val="20"/>
                <w:szCs w:val="20"/>
              </w:rPr>
            </w:pPr>
            <w:r>
              <w:rPr>
                <w:sz w:val="20"/>
                <w:szCs w:val="20"/>
              </w:rPr>
              <w:t>As per 2A</w:t>
            </w:r>
          </w:p>
        </w:tc>
      </w:tr>
      <w:tr w:rsidR="00374F31" w14:paraId="3C5A9BD5" w14:textId="77777777" w:rsidTr="00A855E9">
        <w:tc>
          <w:tcPr>
            <w:tcW w:w="2122" w:type="dxa"/>
          </w:tcPr>
          <w:p w14:paraId="32A5CDD5" w14:textId="77777777" w:rsidR="00374F31" w:rsidRPr="0093000C" w:rsidRDefault="00374F31" w:rsidP="00374F31">
            <w:pPr>
              <w:jc w:val="both"/>
              <w:rPr>
                <w:b/>
                <w:bCs/>
                <w:sz w:val="20"/>
                <w:szCs w:val="20"/>
              </w:rPr>
            </w:pPr>
            <w:r w:rsidRPr="0093000C">
              <w:rPr>
                <w:b/>
                <w:bCs/>
                <w:sz w:val="20"/>
                <w:szCs w:val="20"/>
              </w:rPr>
              <w:t>Staff Profile</w:t>
            </w:r>
          </w:p>
        </w:tc>
        <w:tc>
          <w:tcPr>
            <w:tcW w:w="7376" w:type="dxa"/>
          </w:tcPr>
          <w:p w14:paraId="1A9DEF39" w14:textId="77777777" w:rsidR="00CC3555" w:rsidRPr="009779B6" w:rsidRDefault="00CC3555" w:rsidP="00CC3555">
            <w:pPr>
              <w:spacing w:after="120"/>
              <w:rPr>
                <w:sz w:val="20"/>
                <w:szCs w:val="20"/>
                <w:lang w:val="en-GB"/>
              </w:rPr>
            </w:pPr>
            <w:r w:rsidRPr="009779B6">
              <w:rPr>
                <w:sz w:val="20"/>
                <w:szCs w:val="20"/>
                <w:lang w:val="en-GB"/>
              </w:rPr>
              <w:t>0.5 x Coordinator (Tier 2) </w:t>
            </w:r>
          </w:p>
          <w:p w14:paraId="1DD62BCA" w14:textId="12103A21" w:rsidR="00374F31" w:rsidRPr="00CC3555" w:rsidRDefault="00CC3555" w:rsidP="00CC3555">
            <w:pPr>
              <w:spacing w:after="120"/>
              <w:rPr>
                <w:sz w:val="20"/>
                <w:szCs w:val="20"/>
                <w:lang w:val="en-GB"/>
              </w:rPr>
            </w:pPr>
            <w:r w:rsidRPr="009779B6">
              <w:rPr>
                <w:sz w:val="20"/>
                <w:szCs w:val="20"/>
                <w:lang w:val="en-GB"/>
              </w:rPr>
              <w:t>0.5 x Administrative Support (Tier 1) </w:t>
            </w:r>
          </w:p>
        </w:tc>
      </w:tr>
      <w:tr w:rsidR="00374F31" w14:paraId="73B6ADCA" w14:textId="77777777" w:rsidTr="006277E5">
        <w:tc>
          <w:tcPr>
            <w:tcW w:w="2122" w:type="dxa"/>
          </w:tcPr>
          <w:p w14:paraId="7B18FDBC" w14:textId="77777777" w:rsidR="00374F31" w:rsidRPr="0093000C" w:rsidRDefault="00374F31" w:rsidP="00374F31">
            <w:pPr>
              <w:jc w:val="both"/>
              <w:rPr>
                <w:b/>
                <w:bCs/>
                <w:sz w:val="20"/>
                <w:szCs w:val="20"/>
              </w:rPr>
            </w:pPr>
            <w:r w:rsidRPr="0093000C">
              <w:rPr>
                <w:b/>
                <w:bCs/>
                <w:sz w:val="20"/>
                <w:szCs w:val="20"/>
              </w:rPr>
              <w:t>Sequencing</w:t>
            </w:r>
          </w:p>
        </w:tc>
        <w:tc>
          <w:tcPr>
            <w:tcW w:w="7376" w:type="dxa"/>
          </w:tcPr>
          <w:p w14:paraId="5F061F80" w14:textId="545C476C" w:rsidR="00CC3555" w:rsidRPr="009779B6" w:rsidRDefault="00CC3555" w:rsidP="00CC3555">
            <w:pPr>
              <w:spacing w:after="120"/>
              <w:rPr>
                <w:sz w:val="20"/>
                <w:szCs w:val="20"/>
                <w:lang w:val="en-AU"/>
              </w:rPr>
            </w:pPr>
            <w:r w:rsidRPr="009779B6">
              <w:rPr>
                <w:sz w:val="20"/>
                <w:szCs w:val="20"/>
                <w:lang w:val="en-GB"/>
              </w:rPr>
              <w:t xml:space="preserve">Year 1 – </w:t>
            </w:r>
            <w:r w:rsidR="00A74663">
              <w:rPr>
                <w:sz w:val="20"/>
                <w:szCs w:val="20"/>
                <w:lang w:val="en-GB"/>
              </w:rPr>
              <w:t xml:space="preserve">Establish </w:t>
            </w:r>
            <w:r w:rsidRPr="009779B6">
              <w:rPr>
                <w:sz w:val="20"/>
                <w:szCs w:val="20"/>
                <w:lang w:val="en-GB"/>
              </w:rPr>
              <w:t>2</w:t>
            </w:r>
            <w:r w:rsidR="00A74663">
              <w:rPr>
                <w:sz w:val="20"/>
                <w:szCs w:val="20"/>
                <w:lang w:val="en-GB"/>
              </w:rPr>
              <w:t xml:space="preserve"> regions</w:t>
            </w:r>
            <w:r w:rsidRPr="009779B6">
              <w:rPr>
                <w:sz w:val="20"/>
                <w:szCs w:val="20"/>
                <w:lang w:val="en-AU"/>
              </w:rPr>
              <w:t> </w:t>
            </w:r>
          </w:p>
          <w:p w14:paraId="08F35143" w14:textId="566CB1EF" w:rsidR="00CC3555" w:rsidRPr="009779B6" w:rsidRDefault="00CC3555" w:rsidP="00CC3555">
            <w:pPr>
              <w:spacing w:after="120"/>
              <w:rPr>
                <w:sz w:val="20"/>
                <w:szCs w:val="20"/>
                <w:lang w:val="en-AU"/>
              </w:rPr>
            </w:pPr>
            <w:r w:rsidRPr="009779B6">
              <w:rPr>
                <w:sz w:val="20"/>
                <w:szCs w:val="20"/>
                <w:lang w:val="en-GB"/>
              </w:rPr>
              <w:t>Year 2 – 2</w:t>
            </w:r>
            <w:r w:rsidRPr="009779B6">
              <w:rPr>
                <w:sz w:val="20"/>
                <w:szCs w:val="20"/>
                <w:lang w:val="en-AU"/>
              </w:rPr>
              <w:t> </w:t>
            </w:r>
            <w:r w:rsidR="00A74663">
              <w:rPr>
                <w:sz w:val="20"/>
                <w:szCs w:val="20"/>
                <w:lang w:val="en-AU"/>
              </w:rPr>
              <w:t>more regions</w:t>
            </w:r>
          </w:p>
          <w:p w14:paraId="08CB20D1" w14:textId="2B91511E" w:rsidR="00374F31" w:rsidRPr="00CC3555" w:rsidRDefault="00CC3555" w:rsidP="00CC3555">
            <w:pPr>
              <w:spacing w:after="120"/>
              <w:rPr>
                <w:sz w:val="20"/>
                <w:szCs w:val="20"/>
                <w:lang w:val="en-AU"/>
              </w:rPr>
            </w:pPr>
            <w:r w:rsidRPr="009779B6">
              <w:rPr>
                <w:sz w:val="20"/>
                <w:szCs w:val="20"/>
                <w:lang w:val="en-GB"/>
              </w:rPr>
              <w:t>Year 3 – 1</w:t>
            </w:r>
            <w:r w:rsidRPr="009779B6">
              <w:rPr>
                <w:sz w:val="20"/>
                <w:szCs w:val="20"/>
                <w:lang w:val="en-AU"/>
              </w:rPr>
              <w:t> </w:t>
            </w:r>
            <w:r w:rsidR="00A74663">
              <w:rPr>
                <w:sz w:val="20"/>
                <w:szCs w:val="20"/>
                <w:lang w:val="en-AU"/>
              </w:rPr>
              <w:t>more region</w:t>
            </w:r>
          </w:p>
        </w:tc>
      </w:tr>
      <w:tr w:rsidR="00374F31" w14:paraId="6344C510" w14:textId="77777777" w:rsidTr="006277E5">
        <w:tc>
          <w:tcPr>
            <w:tcW w:w="2122" w:type="dxa"/>
            <w:tcBorders>
              <w:bottom w:val="single" w:sz="4" w:space="0" w:color="auto"/>
            </w:tcBorders>
          </w:tcPr>
          <w:p w14:paraId="4236239B" w14:textId="77777777" w:rsidR="00374F31" w:rsidRPr="0093000C" w:rsidRDefault="00374F31" w:rsidP="00374F31">
            <w:pPr>
              <w:jc w:val="both"/>
              <w:rPr>
                <w:b/>
                <w:bCs/>
                <w:sz w:val="20"/>
                <w:szCs w:val="20"/>
              </w:rPr>
            </w:pPr>
            <w:r w:rsidRPr="0093000C">
              <w:rPr>
                <w:b/>
                <w:bCs/>
                <w:sz w:val="20"/>
                <w:szCs w:val="20"/>
              </w:rPr>
              <w:t>Operational needs</w:t>
            </w:r>
          </w:p>
        </w:tc>
        <w:tc>
          <w:tcPr>
            <w:tcW w:w="7376" w:type="dxa"/>
            <w:tcBorders>
              <w:bottom w:val="single" w:sz="4" w:space="0" w:color="auto"/>
            </w:tcBorders>
          </w:tcPr>
          <w:p w14:paraId="3200C9A6" w14:textId="451A2B94" w:rsidR="00374F31" w:rsidRDefault="00CC3555" w:rsidP="00374F31">
            <w:pPr>
              <w:rPr>
                <w:sz w:val="20"/>
                <w:szCs w:val="20"/>
              </w:rPr>
            </w:pPr>
            <w:r w:rsidRPr="00CC3555">
              <w:rPr>
                <w:sz w:val="20"/>
                <w:szCs w:val="20"/>
              </w:rPr>
              <w:t>Annual provision of $400,000 to fund: mentorship program ($50,000: split 70:30 between teacher and learner organisations); regional secondments ($75,0000); fellowships ($50,000); and major hosted events - learning or strategy</w:t>
            </w:r>
            <w:r w:rsidR="003B16EC">
              <w:rPr>
                <w:sz w:val="20"/>
                <w:szCs w:val="20"/>
              </w:rPr>
              <w:t xml:space="preserve"> plus learning outputs</w:t>
            </w:r>
            <w:r w:rsidRPr="00CC3555">
              <w:rPr>
                <w:sz w:val="20"/>
                <w:szCs w:val="20"/>
              </w:rPr>
              <w:t xml:space="preserve"> ($15,000).  </w:t>
            </w:r>
          </w:p>
        </w:tc>
      </w:tr>
    </w:tbl>
    <w:p w14:paraId="3EA34B97" w14:textId="77777777" w:rsidR="009779B6" w:rsidRDefault="009779B6" w:rsidP="009779B6">
      <w:pPr>
        <w:rPr>
          <w:lang w:val="en-AU"/>
        </w:rPr>
      </w:pPr>
      <w:r w:rsidRPr="009779B6">
        <w:rPr>
          <w:lang w:val="en-AU"/>
        </w:rPr>
        <w:t> </w:t>
      </w:r>
    </w:p>
    <w:p w14:paraId="4F288D14" w14:textId="77777777" w:rsidR="00D805EF" w:rsidRDefault="00D805EF" w:rsidP="009779B6">
      <w:pPr>
        <w:rPr>
          <w:lang w:val="en-AU"/>
        </w:rPr>
      </w:pPr>
    </w:p>
    <w:p w14:paraId="269D1362" w14:textId="77777777" w:rsidR="007033B4" w:rsidRDefault="007033B4" w:rsidP="009779B6">
      <w:pPr>
        <w:rPr>
          <w:lang w:val="en-AU"/>
        </w:rPr>
      </w:pPr>
    </w:p>
    <w:p w14:paraId="7B1DE6C7" w14:textId="77777777" w:rsidR="007033B4" w:rsidRDefault="007033B4" w:rsidP="009779B6">
      <w:pPr>
        <w:rPr>
          <w:lang w:val="en-AU"/>
        </w:rPr>
      </w:pPr>
    </w:p>
    <w:p w14:paraId="5D4DDEE7" w14:textId="77777777" w:rsidR="007033B4" w:rsidRDefault="007033B4" w:rsidP="009779B6">
      <w:pPr>
        <w:rPr>
          <w:lang w:val="en-AU"/>
        </w:rPr>
      </w:pPr>
    </w:p>
    <w:p w14:paraId="14294549" w14:textId="77777777" w:rsidR="00D805EF" w:rsidRDefault="00D805EF" w:rsidP="009779B6">
      <w:pPr>
        <w:rPr>
          <w:lang w:val="en-AU"/>
        </w:rPr>
      </w:pPr>
    </w:p>
    <w:tbl>
      <w:tblPr>
        <w:tblW w:w="8020" w:type="dxa"/>
        <w:tblLook w:val="04A0" w:firstRow="1" w:lastRow="0" w:firstColumn="1" w:lastColumn="0" w:noHBand="0" w:noVBand="1"/>
      </w:tblPr>
      <w:tblGrid>
        <w:gridCol w:w="2820"/>
        <w:gridCol w:w="3000"/>
        <w:gridCol w:w="2200"/>
      </w:tblGrid>
      <w:tr w:rsidR="00557212" w:rsidRPr="00557212" w14:paraId="632E6A5B" w14:textId="77777777" w:rsidTr="00557212">
        <w:trPr>
          <w:trHeight w:val="902"/>
        </w:trPr>
        <w:tc>
          <w:tcPr>
            <w:tcW w:w="2820" w:type="dxa"/>
            <w:tcBorders>
              <w:top w:val="single" w:sz="4" w:space="0" w:color="auto"/>
              <w:left w:val="single" w:sz="4" w:space="0" w:color="auto"/>
              <w:bottom w:val="single" w:sz="4" w:space="0" w:color="auto"/>
              <w:right w:val="single" w:sz="4" w:space="0" w:color="auto"/>
            </w:tcBorders>
            <w:shd w:val="clear" w:color="auto" w:fill="F2CEED" w:themeFill="accent5" w:themeFillTint="33"/>
            <w:vAlign w:val="center"/>
            <w:hideMark/>
          </w:tcPr>
          <w:p w14:paraId="5F4FB01C" w14:textId="77777777" w:rsidR="00557212" w:rsidRPr="00557212" w:rsidRDefault="00557212" w:rsidP="00557212">
            <w:pPr>
              <w:spacing w:after="0" w:line="240" w:lineRule="auto"/>
              <w:rPr>
                <w:rFonts w:ascii="Aptos" w:eastAsia="Times New Roman" w:hAnsi="Aptos" w:cs="Times New Roman"/>
                <w:b/>
                <w:bCs/>
                <w:color w:val="000000"/>
                <w:kern w:val="0"/>
                <w:sz w:val="22"/>
                <w:szCs w:val="22"/>
                <w:lang w:val="en-GB" w:eastAsia="en-GB"/>
                <w14:ligatures w14:val="none"/>
              </w:rPr>
            </w:pPr>
            <w:r w:rsidRPr="00557212">
              <w:rPr>
                <w:rFonts w:ascii="Aptos" w:eastAsia="Times New Roman" w:hAnsi="Aptos" w:cs="Times New Roman"/>
                <w:b/>
                <w:bCs/>
                <w:color w:val="000000"/>
                <w:kern w:val="0"/>
                <w:sz w:val="22"/>
                <w:szCs w:val="22"/>
                <w:lang w:val="en-GB" w:eastAsia="en-GB"/>
                <w14:ligatures w14:val="none"/>
              </w:rPr>
              <w:t xml:space="preserve">Category </w:t>
            </w:r>
          </w:p>
        </w:tc>
        <w:tc>
          <w:tcPr>
            <w:tcW w:w="3000" w:type="dxa"/>
            <w:tcBorders>
              <w:top w:val="single" w:sz="4" w:space="0" w:color="auto"/>
              <w:left w:val="nil"/>
              <w:bottom w:val="single" w:sz="4" w:space="0" w:color="auto"/>
              <w:right w:val="single" w:sz="4" w:space="0" w:color="auto"/>
            </w:tcBorders>
            <w:shd w:val="clear" w:color="auto" w:fill="F2CEED" w:themeFill="accent5" w:themeFillTint="33"/>
            <w:vAlign w:val="center"/>
            <w:hideMark/>
          </w:tcPr>
          <w:p w14:paraId="0F240169" w14:textId="77777777" w:rsidR="00557212" w:rsidRPr="00557212" w:rsidRDefault="00557212" w:rsidP="00557212">
            <w:pPr>
              <w:spacing w:after="0" w:line="240" w:lineRule="auto"/>
              <w:rPr>
                <w:rFonts w:ascii="Aptos" w:eastAsia="Times New Roman" w:hAnsi="Aptos" w:cs="Times New Roman"/>
                <w:b/>
                <w:bCs/>
                <w:color w:val="000000"/>
                <w:kern w:val="0"/>
                <w:sz w:val="22"/>
                <w:szCs w:val="22"/>
                <w:lang w:val="en-GB" w:eastAsia="en-GB"/>
                <w14:ligatures w14:val="none"/>
              </w:rPr>
            </w:pPr>
            <w:r w:rsidRPr="00557212">
              <w:rPr>
                <w:rFonts w:ascii="Aptos" w:eastAsia="Times New Roman" w:hAnsi="Aptos" w:cs="Times New Roman"/>
                <w:b/>
                <w:bCs/>
                <w:color w:val="000000"/>
                <w:kern w:val="0"/>
                <w:sz w:val="22"/>
                <w:szCs w:val="22"/>
                <w:lang w:val="en-GB" w:eastAsia="en-GB"/>
                <w14:ligatures w14:val="none"/>
              </w:rPr>
              <w:t>Direct Costs by category</w:t>
            </w:r>
          </w:p>
        </w:tc>
        <w:tc>
          <w:tcPr>
            <w:tcW w:w="2200" w:type="dxa"/>
            <w:tcBorders>
              <w:top w:val="single" w:sz="4" w:space="0" w:color="auto"/>
              <w:left w:val="nil"/>
              <w:bottom w:val="single" w:sz="4" w:space="0" w:color="auto"/>
              <w:right w:val="single" w:sz="4" w:space="0" w:color="auto"/>
            </w:tcBorders>
            <w:shd w:val="clear" w:color="auto" w:fill="F2CEED" w:themeFill="accent5" w:themeFillTint="33"/>
            <w:vAlign w:val="center"/>
            <w:hideMark/>
          </w:tcPr>
          <w:p w14:paraId="7356C773" w14:textId="77777777" w:rsidR="00557212" w:rsidRPr="00557212" w:rsidRDefault="00557212" w:rsidP="00557212">
            <w:pPr>
              <w:spacing w:after="0" w:line="240" w:lineRule="auto"/>
              <w:rPr>
                <w:rFonts w:ascii="Aptos" w:eastAsia="Times New Roman" w:hAnsi="Aptos" w:cs="Times New Roman"/>
                <w:b/>
                <w:bCs/>
                <w:color w:val="000000"/>
                <w:kern w:val="0"/>
                <w:sz w:val="22"/>
                <w:szCs w:val="22"/>
                <w:lang w:val="en-GB" w:eastAsia="en-GB"/>
                <w14:ligatures w14:val="none"/>
              </w:rPr>
            </w:pPr>
            <w:r w:rsidRPr="00557212">
              <w:rPr>
                <w:rFonts w:ascii="Aptos" w:eastAsia="Times New Roman" w:hAnsi="Aptos" w:cs="Times New Roman"/>
                <w:b/>
                <w:bCs/>
                <w:color w:val="000000"/>
                <w:kern w:val="0"/>
                <w:sz w:val="22"/>
                <w:szCs w:val="22"/>
                <w:lang w:val="en-GB" w:eastAsia="en-GB"/>
                <w14:ligatures w14:val="none"/>
              </w:rPr>
              <w:t xml:space="preserve">Percentage of total direct costs </w:t>
            </w:r>
          </w:p>
        </w:tc>
      </w:tr>
      <w:tr w:rsidR="00557212" w:rsidRPr="00557212" w14:paraId="55CA6FDC"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6B30E56" w14:textId="77777777" w:rsidR="00557212" w:rsidRPr="00557212" w:rsidRDefault="00557212" w:rsidP="00557212">
            <w:pPr>
              <w:spacing w:after="0" w:line="240" w:lineRule="auto"/>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People</w:t>
            </w:r>
          </w:p>
        </w:tc>
        <w:tc>
          <w:tcPr>
            <w:tcW w:w="3000" w:type="dxa"/>
            <w:tcBorders>
              <w:top w:val="nil"/>
              <w:left w:val="nil"/>
              <w:bottom w:val="single" w:sz="4" w:space="0" w:color="auto"/>
              <w:right w:val="single" w:sz="4" w:space="0" w:color="auto"/>
            </w:tcBorders>
            <w:shd w:val="clear" w:color="auto" w:fill="auto"/>
            <w:noWrap/>
            <w:vAlign w:val="bottom"/>
            <w:hideMark/>
          </w:tcPr>
          <w:p w14:paraId="1E39B496" w14:textId="77777777" w:rsidR="00557212" w:rsidRPr="00557212" w:rsidRDefault="00557212" w:rsidP="005572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$719,777</w:t>
            </w:r>
          </w:p>
        </w:tc>
        <w:tc>
          <w:tcPr>
            <w:tcW w:w="2200" w:type="dxa"/>
            <w:tcBorders>
              <w:top w:val="nil"/>
              <w:left w:val="nil"/>
              <w:bottom w:val="single" w:sz="4" w:space="0" w:color="auto"/>
              <w:right w:val="single" w:sz="4" w:space="0" w:color="auto"/>
            </w:tcBorders>
            <w:shd w:val="clear" w:color="auto" w:fill="auto"/>
            <w:noWrap/>
            <w:vAlign w:val="bottom"/>
            <w:hideMark/>
          </w:tcPr>
          <w:p w14:paraId="26D1B2F0" w14:textId="77777777" w:rsidR="00557212" w:rsidRPr="00557212" w:rsidRDefault="00557212" w:rsidP="005572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7.43%</w:t>
            </w:r>
          </w:p>
        </w:tc>
      </w:tr>
      <w:tr w:rsidR="00557212" w:rsidRPr="00557212" w14:paraId="52E53682"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232407C" w14:textId="77777777" w:rsidR="00557212" w:rsidRPr="00557212" w:rsidRDefault="00557212" w:rsidP="00557212">
            <w:pPr>
              <w:spacing w:after="0" w:line="240" w:lineRule="auto"/>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 xml:space="preserve">Contracts </w:t>
            </w:r>
          </w:p>
        </w:tc>
        <w:tc>
          <w:tcPr>
            <w:tcW w:w="3000" w:type="dxa"/>
            <w:tcBorders>
              <w:top w:val="nil"/>
              <w:left w:val="nil"/>
              <w:bottom w:val="single" w:sz="4" w:space="0" w:color="auto"/>
              <w:right w:val="single" w:sz="4" w:space="0" w:color="auto"/>
            </w:tcBorders>
            <w:shd w:val="clear" w:color="auto" w:fill="auto"/>
            <w:noWrap/>
            <w:vAlign w:val="bottom"/>
            <w:hideMark/>
          </w:tcPr>
          <w:p w14:paraId="6CE0AEA9" w14:textId="77777777" w:rsidR="00557212" w:rsidRPr="00557212" w:rsidRDefault="00557212" w:rsidP="005572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$8,400,000</w:t>
            </w:r>
          </w:p>
        </w:tc>
        <w:tc>
          <w:tcPr>
            <w:tcW w:w="2200" w:type="dxa"/>
            <w:tcBorders>
              <w:top w:val="nil"/>
              <w:left w:val="nil"/>
              <w:bottom w:val="single" w:sz="4" w:space="0" w:color="auto"/>
              <w:right w:val="single" w:sz="4" w:space="0" w:color="auto"/>
            </w:tcBorders>
            <w:shd w:val="clear" w:color="auto" w:fill="auto"/>
            <w:noWrap/>
            <w:vAlign w:val="bottom"/>
            <w:hideMark/>
          </w:tcPr>
          <w:p w14:paraId="02996C87" w14:textId="77777777" w:rsidR="00557212" w:rsidRPr="00557212" w:rsidRDefault="00557212" w:rsidP="005572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86.75%</w:t>
            </w:r>
          </w:p>
        </w:tc>
      </w:tr>
      <w:tr w:rsidR="00557212" w:rsidRPr="00557212" w14:paraId="6F9F1FC0"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E68ED4D" w14:textId="77777777" w:rsidR="00557212" w:rsidRPr="00557212" w:rsidRDefault="00557212" w:rsidP="00557212">
            <w:pPr>
              <w:spacing w:after="0" w:line="240" w:lineRule="auto"/>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 xml:space="preserve">Tools </w:t>
            </w:r>
          </w:p>
        </w:tc>
        <w:tc>
          <w:tcPr>
            <w:tcW w:w="3000" w:type="dxa"/>
            <w:tcBorders>
              <w:top w:val="nil"/>
              <w:left w:val="nil"/>
              <w:bottom w:val="single" w:sz="4" w:space="0" w:color="auto"/>
              <w:right w:val="single" w:sz="4" w:space="0" w:color="auto"/>
            </w:tcBorders>
            <w:shd w:val="clear" w:color="auto" w:fill="auto"/>
            <w:noWrap/>
            <w:vAlign w:val="bottom"/>
            <w:hideMark/>
          </w:tcPr>
          <w:p w14:paraId="5A6465CF" w14:textId="77777777" w:rsidR="00557212" w:rsidRPr="00557212" w:rsidRDefault="00557212" w:rsidP="005572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$32,348</w:t>
            </w:r>
          </w:p>
        </w:tc>
        <w:tc>
          <w:tcPr>
            <w:tcW w:w="2200" w:type="dxa"/>
            <w:tcBorders>
              <w:top w:val="nil"/>
              <w:left w:val="nil"/>
              <w:bottom w:val="single" w:sz="4" w:space="0" w:color="auto"/>
              <w:right w:val="single" w:sz="4" w:space="0" w:color="auto"/>
            </w:tcBorders>
            <w:shd w:val="clear" w:color="auto" w:fill="auto"/>
            <w:noWrap/>
            <w:vAlign w:val="bottom"/>
            <w:hideMark/>
          </w:tcPr>
          <w:p w14:paraId="58A290F0" w14:textId="77777777" w:rsidR="00557212" w:rsidRPr="00557212" w:rsidRDefault="00557212" w:rsidP="005572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0.33%</w:t>
            </w:r>
          </w:p>
        </w:tc>
      </w:tr>
      <w:tr w:rsidR="00557212" w:rsidRPr="00557212" w14:paraId="11803309"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691FD6A" w14:textId="77777777" w:rsidR="00557212" w:rsidRPr="00557212" w:rsidRDefault="00557212" w:rsidP="00557212">
            <w:pPr>
              <w:spacing w:after="0" w:line="240" w:lineRule="auto"/>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 xml:space="preserve">Training event attendance </w:t>
            </w:r>
          </w:p>
        </w:tc>
        <w:tc>
          <w:tcPr>
            <w:tcW w:w="3000" w:type="dxa"/>
            <w:tcBorders>
              <w:top w:val="nil"/>
              <w:left w:val="nil"/>
              <w:bottom w:val="single" w:sz="4" w:space="0" w:color="auto"/>
              <w:right w:val="single" w:sz="4" w:space="0" w:color="auto"/>
            </w:tcBorders>
            <w:shd w:val="clear" w:color="auto" w:fill="auto"/>
            <w:noWrap/>
            <w:vAlign w:val="bottom"/>
            <w:hideMark/>
          </w:tcPr>
          <w:p w14:paraId="69B39E4D" w14:textId="77777777" w:rsidR="00557212" w:rsidRPr="00557212" w:rsidRDefault="00557212" w:rsidP="005572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2ACCE52A" w14:textId="77777777" w:rsidR="00557212" w:rsidRPr="00557212" w:rsidRDefault="00557212" w:rsidP="005572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0.00%</w:t>
            </w:r>
          </w:p>
        </w:tc>
      </w:tr>
      <w:tr w:rsidR="00557212" w:rsidRPr="00557212" w14:paraId="1657CF5E"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E328B46" w14:textId="77777777" w:rsidR="00557212" w:rsidRPr="00557212" w:rsidRDefault="00557212" w:rsidP="00557212">
            <w:pPr>
              <w:spacing w:after="0" w:line="240" w:lineRule="auto"/>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 xml:space="preserve">Citizen engagement </w:t>
            </w:r>
          </w:p>
        </w:tc>
        <w:tc>
          <w:tcPr>
            <w:tcW w:w="3000" w:type="dxa"/>
            <w:tcBorders>
              <w:top w:val="nil"/>
              <w:left w:val="nil"/>
              <w:bottom w:val="single" w:sz="4" w:space="0" w:color="auto"/>
              <w:right w:val="single" w:sz="4" w:space="0" w:color="auto"/>
            </w:tcBorders>
            <w:shd w:val="clear" w:color="auto" w:fill="auto"/>
            <w:noWrap/>
            <w:vAlign w:val="bottom"/>
            <w:hideMark/>
          </w:tcPr>
          <w:p w14:paraId="741606AB" w14:textId="77777777" w:rsidR="00557212" w:rsidRPr="00557212" w:rsidRDefault="00557212" w:rsidP="005572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0C0AD346" w14:textId="77777777" w:rsidR="00557212" w:rsidRPr="00557212" w:rsidRDefault="00557212" w:rsidP="005572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0.00%</w:t>
            </w:r>
          </w:p>
        </w:tc>
      </w:tr>
      <w:tr w:rsidR="00557212" w:rsidRPr="00557212" w14:paraId="734A0309"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1BAFFB2" w14:textId="77777777" w:rsidR="00557212" w:rsidRPr="00557212" w:rsidRDefault="00557212" w:rsidP="00557212">
            <w:pPr>
              <w:spacing w:after="0" w:line="240" w:lineRule="auto"/>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Travel</w:t>
            </w:r>
          </w:p>
        </w:tc>
        <w:tc>
          <w:tcPr>
            <w:tcW w:w="3000" w:type="dxa"/>
            <w:tcBorders>
              <w:top w:val="nil"/>
              <w:left w:val="nil"/>
              <w:bottom w:val="single" w:sz="4" w:space="0" w:color="auto"/>
              <w:right w:val="single" w:sz="4" w:space="0" w:color="auto"/>
            </w:tcBorders>
            <w:shd w:val="clear" w:color="auto" w:fill="auto"/>
            <w:noWrap/>
            <w:vAlign w:val="bottom"/>
            <w:hideMark/>
          </w:tcPr>
          <w:p w14:paraId="3DF0327F" w14:textId="77777777" w:rsidR="00557212" w:rsidRPr="00557212" w:rsidRDefault="00557212" w:rsidP="005572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$383,250</w:t>
            </w:r>
          </w:p>
        </w:tc>
        <w:tc>
          <w:tcPr>
            <w:tcW w:w="2200" w:type="dxa"/>
            <w:tcBorders>
              <w:top w:val="nil"/>
              <w:left w:val="nil"/>
              <w:bottom w:val="single" w:sz="4" w:space="0" w:color="auto"/>
              <w:right w:val="single" w:sz="4" w:space="0" w:color="auto"/>
            </w:tcBorders>
            <w:shd w:val="clear" w:color="auto" w:fill="auto"/>
            <w:noWrap/>
            <w:vAlign w:val="bottom"/>
            <w:hideMark/>
          </w:tcPr>
          <w:p w14:paraId="42CDFC04" w14:textId="77777777" w:rsidR="00557212" w:rsidRPr="00557212" w:rsidRDefault="00557212" w:rsidP="005572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3.96%</w:t>
            </w:r>
          </w:p>
        </w:tc>
      </w:tr>
      <w:tr w:rsidR="00557212" w:rsidRPr="00557212" w14:paraId="67C1D852"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9636B73" w14:textId="77777777" w:rsidR="00557212" w:rsidRPr="00557212" w:rsidRDefault="00557212" w:rsidP="00557212">
            <w:pPr>
              <w:spacing w:after="0" w:line="240" w:lineRule="auto"/>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Dissemination</w:t>
            </w:r>
          </w:p>
        </w:tc>
        <w:tc>
          <w:tcPr>
            <w:tcW w:w="3000" w:type="dxa"/>
            <w:tcBorders>
              <w:top w:val="nil"/>
              <w:left w:val="nil"/>
              <w:bottom w:val="single" w:sz="4" w:space="0" w:color="auto"/>
              <w:right w:val="single" w:sz="4" w:space="0" w:color="auto"/>
            </w:tcBorders>
            <w:shd w:val="clear" w:color="auto" w:fill="auto"/>
            <w:noWrap/>
            <w:vAlign w:val="bottom"/>
            <w:hideMark/>
          </w:tcPr>
          <w:p w14:paraId="761E0C4A" w14:textId="77777777" w:rsidR="00557212" w:rsidRPr="00557212" w:rsidRDefault="00557212" w:rsidP="005572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$148,050</w:t>
            </w:r>
          </w:p>
        </w:tc>
        <w:tc>
          <w:tcPr>
            <w:tcW w:w="2200" w:type="dxa"/>
            <w:tcBorders>
              <w:top w:val="nil"/>
              <w:left w:val="nil"/>
              <w:bottom w:val="single" w:sz="4" w:space="0" w:color="auto"/>
              <w:right w:val="single" w:sz="4" w:space="0" w:color="auto"/>
            </w:tcBorders>
            <w:shd w:val="clear" w:color="auto" w:fill="auto"/>
            <w:noWrap/>
            <w:vAlign w:val="bottom"/>
            <w:hideMark/>
          </w:tcPr>
          <w:p w14:paraId="79CA7A46" w14:textId="77777777" w:rsidR="00557212" w:rsidRPr="00557212" w:rsidRDefault="00557212" w:rsidP="005572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1.53%</w:t>
            </w:r>
          </w:p>
        </w:tc>
      </w:tr>
      <w:tr w:rsidR="00557212" w:rsidRPr="00557212" w14:paraId="4986E709"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294BC9A" w14:textId="77777777" w:rsidR="00557212" w:rsidRPr="00557212" w:rsidRDefault="00557212" w:rsidP="00557212">
            <w:pPr>
              <w:spacing w:after="0" w:line="240" w:lineRule="auto"/>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 xml:space="preserve">Other </w:t>
            </w:r>
          </w:p>
        </w:tc>
        <w:tc>
          <w:tcPr>
            <w:tcW w:w="3000" w:type="dxa"/>
            <w:tcBorders>
              <w:top w:val="nil"/>
              <w:left w:val="nil"/>
              <w:bottom w:val="single" w:sz="4" w:space="0" w:color="auto"/>
              <w:right w:val="single" w:sz="4" w:space="0" w:color="auto"/>
            </w:tcBorders>
            <w:shd w:val="clear" w:color="auto" w:fill="auto"/>
            <w:noWrap/>
            <w:vAlign w:val="bottom"/>
            <w:hideMark/>
          </w:tcPr>
          <w:p w14:paraId="6F140841" w14:textId="77777777" w:rsidR="00557212" w:rsidRPr="00557212" w:rsidRDefault="00557212" w:rsidP="005572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6E8D9B2C" w14:textId="77777777" w:rsidR="00557212" w:rsidRPr="00557212" w:rsidRDefault="00557212" w:rsidP="005572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0.00%</w:t>
            </w:r>
          </w:p>
        </w:tc>
      </w:tr>
      <w:tr w:rsidR="00557212" w:rsidRPr="00557212" w14:paraId="6285FE59"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75A2E71" w14:textId="77777777" w:rsidR="00557212" w:rsidRPr="00557212" w:rsidRDefault="00557212" w:rsidP="00557212">
            <w:pPr>
              <w:spacing w:after="0" w:line="240" w:lineRule="auto"/>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 xml:space="preserve">Total direct costs </w:t>
            </w:r>
          </w:p>
        </w:tc>
        <w:tc>
          <w:tcPr>
            <w:tcW w:w="3000" w:type="dxa"/>
            <w:tcBorders>
              <w:top w:val="nil"/>
              <w:left w:val="nil"/>
              <w:bottom w:val="single" w:sz="4" w:space="0" w:color="auto"/>
              <w:right w:val="single" w:sz="4" w:space="0" w:color="auto"/>
            </w:tcBorders>
            <w:shd w:val="clear" w:color="auto" w:fill="auto"/>
            <w:noWrap/>
            <w:vAlign w:val="bottom"/>
            <w:hideMark/>
          </w:tcPr>
          <w:p w14:paraId="39B48DA7" w14:textId="77777777" w:rsidR="00557212" w:rsidRPr="00557212" w:rsidRDefault="00557212" w:rsidP="005572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$9,683,425</w:t>
            </w:r>
          </w:p>
        </w:tc>
        <w:tc>
          <w:tcPr>
            <w:tcW w:w="2200" w:type="dxa"/>
            <w:tcBorders>
              <w:top w:val="nil"/>
              <w:left w:val="nil"/>
              <w:bottom w:val="single" w:sz="4" w:space="0" w:color="auto"/>
              <w:right w:val="single" w:sz="4" w:space="0" w:color="auto"/>
            </w:tcBorders>
            <w:shd w:val="clear" w:color="auto" w:fill="auto"/>
            <w:noWrap/>
            <w:vAlign w:val="bottom"/>
            <w:hideMark/>
          </w:tcPr>
          <w:p w14:paraId="5EAB0905" w14:textId="77777777" w:rsidR="00557212" w:rsidRPr="00557212" w:rsidRDefault="00557212" w:rsidP="005572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100.00%</w:t>
            </w:r>
          </w:p>
        </w:tc>
      </w:tr>
      <w:tr w:rsidR="00557212" w:rsidRPr="00557212" w14:paraId="48F88AF0"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97B8DFF" w14:textId="77777777" w:rsidR="00557212" w:rsidRPr="00557212" w:rsidRDefault="00557212" w:rsidP="00557212">
            <w:pPr>
              <w:spacing w:after="0" w:line="240" w:lineRule="auto"/>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 xml:space="preserve">Grand total with 20% overheads </w:t>
            </w:r>
          </w:p>
        </w:tc>
        <w:tc>
          <w:tcPr>
            <w:tcW w:w="3000" w:type="dxa"/>
            <w:tcBorders>
              <w:top w:val="nil"/>
              <w:left w:val="nil"/>
              <w:bottom w:val="single" w:sz="4" w:space="0" w:color="auto"/>
              <w:right w:val="single" w:sz="4" w:space="0" w:color="auto"/>
            </w:tcBorders>
            <w:shd w:val="clear" w:color="auto" w:fill="auto"/>
            <w:noWrap/>
            <w:vAlign w:val="bottom"/>
            <w:hideMark/>
          </w:tcPr>
          <w:p w14:paraId="24035E88" w14:textId="77777777" w:rsidR="00557212" w:rsidRPr="00557212" w:rsidRDefault="00557212" w:rsidP="005572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$11,620,110</w:t>
            </w:r>
          </w:p>
        </w:tc>
        <w:tc>
          <w:tcPr>
            <w:tcW w:w="2200" w:type="dxa"/>
            <w:tcBorders>
              <w:top w:val="nil"/>
              <w:left w:val="nil"/>
              <w:bottom w:val="single" w:sz="4" w:space="0" w:color="auto"/>
              <w:right w:val="single" w:sz="4" w:space="0" w:color="auto"/>
            </w:tcBorders>
            <w:shd w:val="clear" w:color="auto" w:fill="auto"/>
            <w:noWrap/>
            <w:vAlign w:val="bottom"/>
            <w:hideMark/>
          </w:tcPr>
          <w:p w14:paraId="304E5AA7" w14:textId="77777777" w:rsidR="00557212" w:rsidRPr="00557212" w:rsidRDefault="00557212" w:rsidP="005572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557212">
              <w:rPr>
                <w:rFonts w:ascii="Aptos Narrow" w:eastAsia="Times New Roman" w:hAnsi="Aptos Narrow" w:cs="Times New Roman"/>
                <w:color w:val="000000"/>
                <w:kern w:val="0"/>
                <w:sz w:val="22"/>
                <w:szCs w:val="22"/>
                <w:lang w:val="en-GB" w:eastAsia="en-GB"/>
                <w14:ligatures w14:val="none"/>
              </w:rPr>
              <w:t> </w:t>
            </w:r>
          </w:p>
        </w:tc>
      </w:tr>
    </w:tbl>
    <w:p w14:paraId="3D420193" w14:textId="77777777" w:rsidR="00D805EF" w:rsidRDefault="00D805EF" w:rsidP="009779B6">
      <w:pPr>
        <w:rPr>
          <w:lang w:val="en-AU"/>
        </w:rPr>
      </w:pPr>
    </w:p>
    <w:p w14:paraId="4946C37C" w14:textId="77777777" w:rsidR="00D805EF" w:rsidRDefault="00D805EF" w:rsidP="009779B6">
      <w:pPr>
        <w:rPr>
          <w:lang w:val="en-AU"/>
        </w:rPr>
      </w:pPr>
    </w:p>
    <w:p w14:paraId="2FBDCAC7" w14:textId="4C2F385F" w:rsidR="00DB7AE2" w:rsidRDefault="00551DB2" w:rsidP="00C64DA2">
      <w:pPr>
        <w:pStyle w:val="Heading1"/>
      </w:pPr>
      <w:r w:rsidRPr="00F66025">
        <w:lastRenderedPageBreak/>
        <w:t xml:space="preserve">Option </w:t>
      </w:r>
      <w:r>
        <w:t>3</w:t>
      </w:r>
      <w:r w:rsidRPr="00F66025">
        <w:t>A</w:t>
      </w:r>
      <w:r>
        <w:t xml:space="preserve">: </w:t>
      </w:r>
      <w:r w:rsidRPr="00866D83">
        <w:t>Demand-side</w:t>
      </w:r>
      <w:r>
        <w:t xml:space="preserve"> </w:t>
      </w:r>
      <w:r w:rsidRPr="00FD0110">
        <w:t>Co-design Labs</w:t>
      </w:r>
      <w:r w:rsidR="00C24987">
        <w:t>: $10.7m</w:t>
      </w: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1985"/>
        <w:gridCol w:w="7654"/>
      </w:tblGrid>
      <w:tr w:rsidR="00762BD8" w:rsidRPr="00A855E9" w14:paraId="70D494DA" w14:textId="77777777" w:rsidTr="001200EA">
        <w:tc>
          <w:tcPr>
            <w:tcW w:w="9639" w:type="dxa"/>
            <w:gridSpan w:val="2"/>
            <w:shd w:val="clear" w:color="auto" w:fill="DEF1FA"/>
          </w:tcPr>
          <w:p w14:paraId="0B4309CF" w14:textId="17F31A6A" w:rsidR="00762BD8" w:rsidRPr="00A855E9" w:rsidRDefault="00762BD8" w:rsidP="00762BD8">
            <w:pPr>
              <w:spacing w:after="120"/>
              <w:rPr>
                <w:color w:val="0F4761" w:themeColor="accent1" w:themeShade="BF"/>
                <w:sz w:val="22"/>
                <w:szCs w:val="22"/>
              </w:rPr>
            </w:pPr>
            <w:r w:rsidRPr="00A855E9">
              <w:rPr>
                <w:color w:val="0F4761" w:themeColor="accent1" w:themeShade="BF"/>
                <w:sz w:val="22"/>
                <w:szCs w:val="22"/>
              </w:rPr>
              <w:t>(</w:t>
            </w:r>
            <w:r w:rsidR="001C2AF1">
              <w:rPr>
                <w:color w:val="0F4761" w:themeColor="accent1" w:themeShade="BF"/>
                <w:sz w:val="22"/>
                <w:szCs w:val="22"/>
              </w:rPr>
              <w:t>W</w:t>
            </w:r>
            <w:r w:rsidRPr="00A855E9">
              <w:rPr>
                <w:color w:val="0F4761" w:themeColor="accent1" w:themeShade="BF"/>
                <w:sz w:val="22"/>
                <w:szCs w:val="22"/>
              </w:rPr>
              <w:t>ill have links to options that generate tools for evidence synthesis – as a user of these tools)</w:t>
            </w:r>
          </w:p>
          <w:p w14:paraId="60BBEC43" w14:textId="77777777" w:rsidR="00762BD8" w:rsidRPr="00A855E9" w:rsidRDefault="00762BD8" w:rsidP="00762BD8">
            <w:pPr>
              <w:spacing w:after="120"/>
              <w:rPr>
                <w:color w:val="0F4761" w:themeColor="accent1" w:themeShade="BF"/>
                <w:sz w:val="22"/>
                <w:szCs w:val="22"/>
              </w:rPr>
            </w:pPr>
            <w:r w:rsidRPr="00A855E9">
              <w:rPr>
                <w:color w:val="0F4761" w:themeColor="accent1" w:themeShade="BF"/>
                <w:sz w:val="22"/>
                <w:szCs w:val="22"/>
              </w:rPr>
              <w:t xml:space="preserve">Demand-side Co-design Labs: would support co-production of knowledge, from identifying and prioritising questions to synthesising and using contextually relevant evidence. </w:t>
            </w:r>
          </w:p>
          <w:p w14:paraId="1631F2C2" w14:textId="55A54A10" w:rsidR="00762BD8" w:rsidRPr="00A855E9" w:rsidRDefault="00762BD8" w:rsidP="00762BD8">
            <w:pPr>
              <w:spacing w:after="120"/>
              <w:rPr>
                <w:color w:val="0F4761" w:themeColor="accent1" w:themeShade="BF"/>
                <w:sz w:val="22"/>
                <w:szCs w:val="22"/>
              </w:rPr>
            </w:pPr>
            <w:r w:rsidRPr="00A855E9">
              <w:rPr>
                <w:color w:val="0F4761" w:themeColor="accent1" w:themeShade="BF"/>
                <w:sz w:val="22"/>
                <w:szCs w:val="22"/>
              </w:rPr>
              <w:t>This option establishes regional Co-Design Labs as collaborative spaces where policymakers, practitioners, researchers, and community actors jointly define, explore, and respond to priority issues through evidence synthesis. Labs create structured opportunities for cross-sectoral dialogue, co-creation, and practical problem-solving.  The labs will:</w:t>
            </w:r>
          </w:p>
          <w:p w14:paraId="153AB62D" w14:textId="77777777" w:rsidR="00762BD8" w:rsidRPr="00A855E9" w:rsidRDefault="00762BD8" w:rsidP="00D10639">
            <w:pPr>
              <w:pStyle w:val="ListParagraph"/>
              <w:numPr>
                <w:ilvl w:val="0"/>
                <w:numId w:val="1"/>
              </w:numPr>
              <w:spacing w:after="120"/>
              <w:rPr>
                <w:color w:val="0F4761" w:themeColor="accent1" w:themeShade="BF"/>
                <w:sz w:val="22"/>
                <w:szCs w:val="22"/>
              </w:rPr>
            </w:pPr>
            <w:r w:rsidRPr="00A855E9">
              <w:rPr>
                <w:color w:val="0F4761" w:themeColor="accent1" w:themeShade="BF"/>
                <w:sz w:val="22"/>
                <w:szCs w:val="22"/>
              </w:rPr>
              <w:t xml:space="preserve">Provide hosted facilitation and technical support over 10-week cycles, structured around 6 key engagement points </w:t>
            </w:r>
          </w:p>
          <w:p w14:paraId="086B8A95" w14:textId="77777777" w:rsidR="00762BD8" w:rsidRPr="00A855E9" w:rsidRDefault="00762BD8" w:rsidP="00D10639">
            <w:pPr>
              <w:pStyle w:val="ListParagraph"/>
              <w:numPr>
                <w:ilvl w:val="0"/>
                <w:numId w:val="1"/>
              </w:numPr>
              <w:spacing w:after="120"/>
              <w:rPr>
                <w:color w:val="0F4761" w:themeColor="accent1" w:themeShade="BF"/>
                <w:sz w:val="22"/>
                <w:szCs w:val="22"/>
              </w:rPr>
            </w:pPr>
            <w:r w:rsidRPr="00A855E9">
              <w:rPr>
                <w:color w:val="0F4761" w:themeColor="accent1" w:themeShade="BF"/>
                <w:sz w:val="22"/>
                <w:szCs w:val="22"/>
              </w:rPr>
              <w:t>Run 4 intakes per year, each supporting 3 co-design groups per intake (12 total)</w:t>
            </w:r>
          </w:p>
          <w:p w14:paraId="20B02C61" w14:textId="77777777" w:rsidR="00762BD8" w:rsidRPr="00A855E9" w:rsidRDefault="00762BD8" w:rsidP="00D10639">
            <w:pPr>
              <w:pStyle w:val="ListParagraph"/>
              <w:numPr>
                <w:ilvl w:val="0"/>
                <w:numId w:val="1"/>
              </w:numPr>
              <w:spacing w:after="120"/>
              <w:rPr>
                <w:color w:val="0F4761" w:themeColor="accent1" w:themeShade="BF"/>
                <w:sz w:val="22"/>
                <w:szCs w:val="22"/>
              </w:rPr>
            </w:pPr>
            <w:r w:rsidRPr="00A855E9">
              <w:rPr>
                <w:color w:val="0F4761" w:themeColor="accent1" w:themeShade="BF"/>
                <w:sz w:val="22"/>
                <w:szCs w:val="22"/>
              </w:rPr>
              <w:t>Identify and support diverse participants, ensuring equity and inclusion in lab engagement.</w:t>
            </w:r>
          </w:p>
          <w:p w14:paraId="21A34C33" w14:textId="77777777" w:rsidR="00762BD8" w:rsidRPr="00A855E9" w:rsidRDefault="00762BD8" w:rsidP="00D10639">
            <w:pPr>
              <w:pStyle w:val="ListParagraph"/>
              <w:numPr>
                <w:ilvl w:val="0"/>
                <w:numId w:val="1"/>
              </w:numPr>
              <w:spacing w:after="120"/>
              <w:rPr>
                <w:color w:val="0F4761" w:themeColor="accent1" w:themeShade="BF"/>
                <w:sz w:val="22"/>
                <w:szCs w:val="22"/>
              </w:rPr>
            </w:pPr>
            <w:r w:rsidRPr="00A855E9">
              <w:rPr>
                <w:color w:val="0F4761" w:themeColor="accent1" w:themeShade="BF"/>
                <w:sz w:val="22"/>
                <w:szCs w:val="22"/>
              </w:rPr>
              <w:t xml:space="preserve">Offer small participation grants to enable access for under-resourced organisations. </w:t>
            </w:r>
          </w:p>
          <w:p w14:paraId="285570C9" w14:textId="10AEF488" w:rsidR="00762BD8" w:rsidRPr="00A855E9" w:rsidRDefault="00762BD8" w:rsidP="00D10639">
            <w:pPr>
              <w:pStyle w:val="ListParagraph"/>
              <w:numPr>
                <w:ilvl w:val="0"/>
                <w:numId w:val="1"/>
              </w:numPr>
              <w:spacing w:after="120"/>
              <w:rPr>
                <w:color w:val="0F4761" w:themeColor="accent1" w:themeShade="BF"/>
                <w:sz w:val="22"/>
                <w:szCs w:val="22"/>
              </w:rPr>
            </w:pPr>
            <w:r w:rsidRPr="00A855E9">
              <w:rPr>
                <w:color w:val="0F4761" w:themeColor="accent1" w:themeShade="BF"/>
                <w:sz w:val="22"/>
                <w:szCs w:val="22"/>
              </w:rPr>
              <w:t>Encourage co-contribution from participating organisations to embed shared ownership and applied relevance.</w:t>
            </w:r>
          </w:p>
        </w:tc>
      </w:tr>
      <w:tr w:rsidR="00DB7AE2" w14:paraId="7BE878AC" w14:textId="77777777" w:rsidTr="001200EA">
        <w:tc>
          <w:tcPr>
            <w:tcW w:w="1985" w:type="dxa"/>
          </w:tcPr>
          <w:p w14:paraId="265F5420" w14:textId="77777777" w:rsidR="00DB7AE2" w:rsidRPr="0093000C" w:rsidRDefault="00DB7AE2" w:rsidP="00943858">
            <w:pPr>
              <w:ind w:left="2160" w:hanging="2160"/>
              <w:jc w:val="both"/>
              <w:rPr>
                <w:b/>
                <w:bCs/>
                <w:sz w:val="20"/>
                <w:szCs w:val="20"/>
              </w:rPr>
            </w:pPr>
            <w:r w:rsidRPr="0093000C">
              <w:rPr>
                <w:b/>
                <w:bCs/>
                <w:sz w:val="20"/>
                <w:szCs w:val="20"/>
              </w:rPr>
              <w:t>Implementation</w:t>
            </w:r>
          </w:p>
          <w:p w14:paraId="322B1CE1" w14:textId="77777777" w:rsidR="00DB7AE2" w:rsidRPr="0093000C" w:rsidRDefault="00DB7AE2" w:rsidP="00943858">
            <w:pPr>
              <w:jc w:val="both"/>
              <w:rPr>
                <w:b/>
                <w:bCs/>
                <w:sz w:val="20"/>
                <w:szCs w:val="20"/>
              </w:rPr>
            </w:pPr>
            <w:r w:rsidRPr="0093000C">
              <w:rPr>
                <w:b/>
                <w:bCs/>
                <w:sz w:val="20"/>
                <w:szCs w:val="20"/>
              </w:rPr>
              <w:t>Caveats</w:t>
            </w:r>
          </w:p>
        </w:tc>
        <w:tc>
          <w:tcPr>
            <w:tcW w:w="7654" w:type="dxa"/>
          </w:tcPr>
          <w:p w14:paraId="3AFFA1A1" w14:textId="73DF52E9" w:rsidR="00DB7AE2" w:rsidRPr="00551DB2" w:rsidRDefault="00551DB2" w:rsidP="00551DB2">
            <w:pPr>
              <w:rPr>
                <w:color w:val="156082" w:themeColor="accent1"/>
                <w:sz w:val="20"/>
                <w:szCs w:val="20"/>
              </w:rPr>
            </w:pPr>
            <w:r>
              <w:rPr>
                <w:color w:val="156082" w:themeColor="accent1"/>
                <w:sz w:val="20"/>
                <w:szCs w:val="20"/>
              </w:rPr>
              <w:t xml:space="preserve">The Labs would be established on a regional basis and would connect to and leverage off both existing local skills (in intermediaries and demand-side evidence units); and newly created functions linked to other options (question repositories and regional secretariats).  </w:t>
            </w:r>
            <w:r w:rsidRPr="00F00934">
              <w:rPr>
                <w:color w:val="156082" w:themeColor="accent1"/>
                <w:sz w:val="20"/>
                <w:szCs w:val="20"/>
              </w:rPr>
              <w:t xml:space="preserve">The </w:t>
            </w:r>
            <w:r>
              <w:rPr>
                <w:color w:val="156082" w:themeColor="accent1"/>
                <w:sz w:val="20"/>
                <w:szCs w:val="20"/>
              </w:rPr>
              <w:t>labs would</w:t>
            </w:r>
            <w:r w:rsidRPr="00F00934">
              <w:rPr>
                <w:color w:val="156082" w:themeColor="accent1"/>
                <w:sz w:val="20"/>
                <w:szCs w:val="20"/>
              </w:rPr>
              <w:t xml:space="preserve"> operat</w:t>
            </w:r>
            <w:r>
              <w:rPr>
                <w:color w:val="156082" w:themeColor="accent1"/>
                <w:sz w:val="20"/>
                <w:szCs w:val="20"/>
              </w:rPr>
              <w:t>e</w:t>
            </w:r>
            <w:r w:rsidRPr="00F00934">
              <w:rPr>
                <w:color w:val="156082" w:themeColor="accent1"/>
                <w:sz w:val="20"/>
                <w:szCs w:val="20"/>
              </w:rPr>
              <w:t xml:space="preserve"> as independent hub</w:t>
            </w:r>
            <w:r>
              <w:rPr>
                <w:color w:val="156082" w:themeColor="accent1"/>
                <w:sz w:val="20"/>
                <w:szCs w:val="20"/>
              </w:rPr>
              <w:t>s</w:t>
            </w:r>
            <w:r w:rsidRPr="00F00934">
              <w:rPr>
                <w:color w:val="156082" w:themeColor="accent1"/>
                <w:sz w:val="20"/>
                <w:szCs w:val="20"/>
              </w:rPr>
              <w:t xml:space="preserve"> with consistent programming</w:t>
            </w:r>
            <w:r>
              <w:rPr>
                <w:color w:val="156082" w:themeColor="accent1"/>
                <w:sz w:val="20"/>
                <w:szCs w:val="20"/>
              </w:rPr>
              <w:t xml:space="preserve"> and approach</w:t>
            </w:r>
            <w:r w:rsidRPr="00F00934">
              <w:rPr>
                <w:color w:val="156082" w:themeColor="accent1"/>
                <w:sz w:val="20"/>
                <w:szCs w:val="20"/>
              </w:rPr>
              <w:t xml:space="preserve">. Each lab will work across policy domains and sectors, tailoring content to regional and thematic priorities.  </w:t>
            </w:r>
            <w:r w:rsidR="00C317FD">
              <w:rPr>
                <w:color w:val="156082" w:themeColor="accent1"/>
                <w:sz w:val="20"/>
                <w:szCs w:val="20"/>
              </w:rPr>
              <w:t>Labs would establish</w:t>
            </w:r>
            <w:r w:rsidR="00C317FD" w:rsidRPr="00C317FD">
              <w:rPr>
                <w:color w:val="156082" w:themeColor="accent1"/>
                <w:sz w:val="20"/>
                <w:szCs w:val="20"/>
              </w:rPr>
              <w:t> selection criteria for co-design issues/participants</w:t>
            </w:r>
            <w:r w:rsidR="001200EA">
              <w:rPr>
                <w:color w:val="156082" w:themeColor="accent1"/>
                <w:sz w:val="20"/>
                <w:szCs w:val="20"/>
              </w:rPr>
              <w:t xml:space="preserve"> and follow-up on learnings from participants.</w:t>
            </w:r>
          </w:p>
        </w:tc>
      </w:tr>
      <w:tr w:rsidR="00DB7AE2" w:rsidRPr="00C70D7C" w14:paraId="517CD216" w14:textId="77777777" w:rsidTr="001200EA">
        <w:tc>
          <w:tcPr>
            <w:tcW w:w="1985" w:type="dxa"/>
          </w:tcPr>
          <w:p w14:paraId="206A60DD" w14:textId="77777777" w:rsidR="00DB7AE2" w:rsidRPr="0093000C" w:rsidRDefault="00DB7AE2" w:rsidP="00943858">
            <w:pPr>
              <w:jc w:val="both"/>
              <w:rPr>
                <w:b/>
                <w:bCs/>
                <w:sz w:val="20"/>
                <w:szCs w:val="20"/>
              </w:rPr>
            </w:pPr>
            <w:r w:rsidRPr="0093000C">
              <w:rPr>
                <w:b/>
                <w:bCs/>
                <w:sz w:val="20"/>
                <w:szCs w:val="20"/>
              </w:rPr>
              <w:t>Staff Profile</w:t>
            </w:r>
          </w:p>
        </w:tc>
        <w:tc>
          <w:tcPr>
            <w:tcW w:w="7654" w:type="dxa"/>
          </w:tcPr>
          <w:p w14:paraId="6826EC9B" w14:textId="77777777" w:rsidR="00551DB2" w:rsidRPr="002F6B94" w:rsidRDefault="00551DB2" w:rsidP="00551DB2">
            <w:pPr>
              <w:ind w:left="2160" w:hanging="2160"/>
              <w:jc w:val="both"/>
              <w:rPr>
                <w:color w:val="156082" w:themeColor="accent1"/>
                <w:sz w:val="20"/>
                <w:szCs w:val="20"/>
              </w:rPr>
            </w:pPr>
            <w:r w:rsidRPr="002F6B94">
              <w:rPr>
                <w:color w:val="156082" w:themeColor="accent1"/>
                <w:sz w:val="20"/>
                <w:szCs w:val="20"/>
              </w:rPr>
              <w:t>1 x Lab Director (Tier 1)</w:t>
            </w:r>
          </w:p>
          <w:p w14:paraId="384FDB3D" w14:textId="77777777" w:rsidR="00551DB2" w:rsidRPr="002F6B94" w:rsidRDefault="00551DB2" w:rsidP="00551DB2">
            <w:pPr>
              <w:jc w:val="both"/>
              <w:rPr>
                <w:color w:val="156082" w:themeColor="accent1"/>
                <w:sz w:val="20"/>
                <w:szCs w:val="20"/>
              </w:rPr>
            </w:pPr>
            <w:r w:rsidRPr="002F6B94">
              <w:rPr>
                <w:color w:val="156082" w:themeColor="accent1"/>
                <w:sz w:val="20"/>
                <w:szCs w:val="20"/>
              </w:rPr>
              <w:t>2 x Key Workers/Facilitators (Tier 2)</w:t>
            </w:r>
          </w:p>
          <w:p w14:paraId="6A9A8056" w14:textId="77777777" w:rsidR="00551DB2" w:rsidRPr="004C333F" w:rsidRDefault="00551DB2" w:rsidP="00551DB2">
            <w:pPr>
              <w:jc w:val="both"/>
              <w:rPr>
                <w:color w:val="156082" w:themeColor="accent1"/>
                <w:sz w:val="20"/>
                <w:szCs w:val="20"/>
                <w:lang w:val="fr-FR"/>
              </w:rPr>
            </w:pPr>
            <w:r w:rsidRPr="004C333F">
              <w:rPr>
                <w:color w:val="156082" w:themeColor="accent1"/>
                <w:sz w:val="20"/>
                <w:szCs w:val="20"/>
                <w:lang w:val="fr-FR"/>
              </w:rPr>
              <w:t xml:space="preserve">0.5 x Communications Officer (Tier 2)  </w:t>
            </w:r>
          </w:p>
          <w:p w14:paraId="3CEFAAEB" w14:textId="443A4087" w:rsidR="00DB7AE2" w:rsidRPr="004C333F" w:rsidRDefault="00551DB2" w:rsidP="00551DB2">
            <w:pPr>
              <w:jc w:val="both"/>
              <w:rPr>
                <w:color w:val="156082" w:themeColor="accent1"/>
                <w:sz w:val="20"/>
                <w:szCs w:val="20"/>
                <w:lang w:val="fr-FR"/>
              </w:rPr>
            </w:pPr>
            <w:r w:rsidRPr="004C333F">
              <w:rPr>
                <w:color w:val="156082" w:themeColor="accent1"/>
                <w:sz w:val="20"/>
                <w:szCs w:val="20"/>
                <w:lang w:val="fr-FR"/>
              </w:rPr>
              <w:t>1 x Admin (Tier 1)</w:t>
            </w:r>
          </w:p>
        </w:tc>
      </w:tr>
      <w:tr w:rsidR="00DB7AE2" w14:paraId="5EA8D89D" w14:textId="77777777" w:rsidTr="001200EA">
        <w:tc>
          <w:tcPr>
            <w:tcW w:w="1985" w:type="dxa"/>
          </w:tcPr>
          <w:p w14:paraId="3C94723B" w14:textId="77777777" w:rsidR="00DB7AE2" w:rsidRPr="0093000C" w:rsidRDefault="00DB7AE2" w:rsidP="00943858">
            <w:pPr>
              <w:jc w:val="both"/>
              <w:rPr>
                <w:b/>
                <w:bCs/>
                <w:sz w:val="20"/>
                <w:szCs w:val="20"/>
              </w:rPr>
            </w:pPr>
            <w:r w:rsidRPr="0093000C">
              <w:rPr>
                <w:b/>
                <w:bCs/>
                <w:sz w:val="20"/>
                <w:szCs w:val="20"/>
              </w:rPr>
              <w:t>Sequencing</w:t>
            </w:r>
          </w:p>
        </w:tc>
        <w:tc>
          <w:tcPr>
            <w:tcW w:w="7654" w:type="dxa"/>
          </w:tcPr>
          <w:p w14:paraId="25EF0BEA" w14:textId="3BFF08A6" w:rsidR="00DB7AE2" w:rsidRPr="00551DB2" w:rsidRDefault="00551DB2" w:rsidP="00551DB2">
            <w:pPr>
              <w:jc w:val="both"/>
              <w:rPr>
                <w:color w:val="156082" w:themeColor="accent1"/>
                <w:sz w:val="20"/>
                <w:szCs w:val="20"/>
              </w:rPr>
            </w:pPr>
            <w:r w:rsidRPr="00B74DB0">
              <w:rPr>
                <w:color w:val="156082" w:themeColor="accent1"/>
                <w:sz w:val="20"/>
                <w:szCs w:val="20"/>
              </w:rPr>
              <w:t>Two labs to be launched in Year 1, with the remaining three to be established in Year 2, allowing for initial learning and refinement before full expansion</w:t>
            </w:r>
          </w:p>
        </w:tc>
      </w:tr>
      <w:tr w:rsidR="00DB7AE2" w14:paraId="19764634" w14:textId="77777777" w:rsidTr="001200EA">
        <w:tc>
          <w:tcPr>
            <w:tcW w:w="1985" w:type="dxa"/>
            <w:tcBorders>
              <w:bottom w:val="single" w:sz="4" w:space="0" w:color="auto"/>
            </w:tcBorders>
          </w:tcPr>
          <w:p w14:paraId="0E8AD941" w14:textId="77777777" w:rsidR="00DB7AE2" w:rsidRPr="0093000C" w:rsidRDefault="00DB7AE2" w:rsidP="00943858">
            <w:pPr>
              <w:jc w:val="both"/>
              <w:rPr>
                <w:b/>
                <w:bCs/>
                <w:sz w:val="20"/>
                <w:szCs w:val="20"/>
              </w:rPr>
            </w:pPr>
            <w:r w:rsidRPr="0093000C">
              <w:rPr>
                <w:b/>
                <w:bCs/>
                <w:sz w:val="20"/>
                <w:szCs w:val="20"/>
              </w:rPr>
              <w:t>Operational needs</w:t>
            </w:r>
          </w:p>
        </w:tc>
        <w:tc>
          <w:tcPr>
            <w:tcW w:w="7654" w:type="dxa"/>
            <w:tcBorders>
              <w:bottom w:val="single" w:sz="4" w:space="0" w:color="auto"/>
            </w:tcBorders>
          </w:tcPr>
          <w:p w14:paraId="7FBD3A66" w14:textId="73308416" w:rsidR="00DB7AE2" w:rsidRDefault="00551DB2" w:rsidP="00943858">
            <w:pPr>
              <w:rPr>
                <w:sz w:val="20"/>
                <w:szCs w:val="20"/>
              </w:rPr>
            </w:pPr>
            <w:r w:rsidRPr="550DC08A">
              <w:rPr>
                <w:color w:val="156082" w:themeColor="accent1"/>
                <w:sz w:val="20"/>
                <w:szCs w:val="20"/>
              </w:rPr>
              <w:t xml:space="preserve">$150,000 annually to provide $30,000 grants to small </w:t>
            </w:r>
            <w:r w:rsidR="31E4B2B7" w:rsidRPr="550DC08A">
              <w:rPr>
                <w:color w:val="156082" w:themeColor="accent1"/>
                <w:sz w:val="20"/>
                <w:szCs w:val="20"/>
              </w:rPr>
              <w:t>orgs</w:t>
            </w:r>
            <w:r w:rsidRPr="550DC08A">
              <w:rPr>
                <w:color w:val="156082" w:themeColor="accent1"/>
                <w:sz w:val="20"/>
                <w:szCs w:val="20"/>
              </w:rPr>
              <w:t xml:space="preserve"> for participation and access; $2,000 annually per lab for </w:t>
            </w:r>
            <w:r w:rsidR="31E4B2B7" w:rsidRPr="550DC08A">
              <w:rPr>
                <w:color w:val="156082" w:themeColor="accent1"/>
                <w:sz w:val="20"/>
                <w:szCs w:val="20"/>
              </w:rPr>
              <w:t>collab</w:t>
            </w:r>
            <w:r w:rsidRPr="550DC08A">
              <w:rPr>
                <w:color w:val="156082" w:themeColor="accent1"/>
                <w:sz w:val="20"/>
                <w:szCs w:val="20"/>
              </w:rPr>
              <w:t xml:space="preserve"> software tools and subscriptions</w:t>
            </w:r>
          </w:p>
        </w:tc>
      </w:tr>
    </w:tbl>
    <w:p w14:paraId="522ABFE5" w14:textId="77777777" w:rsidR="00C150D3" w:rsidRDefault="00C150D3" w:rsidP="005E0F76">
      <w:pPr>
        <w:spacing w:after="120" w:line="240" w:lineRule="auto"/>
      </w:pPr>
    </w:p>
    <w:tbl>
      <w:tblPr>
        <w:tblW w:w="8020" w:type="dxa"/>
        <w:tblLook w:val="04A0" w:firstRow="1" w:lastRow="0" w:firstColumn="1" w:lastColumn="0" w:noHBand="0" w:noVBand="1"/>
      </w:tblPr>
      <w:tblGrid>
        <w:gridCol w:w="2820"/>
        <w:gridCol w:w="3000"/>
        <w:gridCol w:w="2200"/>
      </w:tblGrid>
      <w:tr w:rsidR="00B90C54" w:rsidRPr="00B90C54" w14:paraId="58027811" w14:textId="77777777" w:rsidTr="00B90C54">
        <w:trPr>
          <w:trHeight w:val="902"/>
        </w:trPr>
        <w:tc>
          <w:tcPr>
            <w:tcW w:w="282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7DA4BF81" w14:textId="77777777" w:rsidR="00B90C54" w:rsidRPr="00B90C54" w:rsidRDefault="00B90C54" w:rsidP="00B90C54">
            <w:pPr>
              <w:spacing w:after="0" w:line="240" w:lineRule="auto"/>
              <w:rPr>
                <w:rFonts w:ascii="Aptos" w:eastAsia="Times New Roman" w:hAnsi="Aptos" w:cs="Times New Roman"/>
                <w:b/>
                <w:bCs/>
                <w:color w:val="000000"/>
                <w:kern w:val="0"/>
                <w:sz w:val="22"/>
                <w:szCs w:val="22"/>
                <w:lang w:val="en-GB" w:eastAsia="en-GB"/>
                <w14:ligatures w14:val="none"/>
              </w:rPr>
            </w:pPr>
            <w:r w:rsidRPr="00B90C54">
              <w:rPr>
                <w:rFonts w:ascii="Aptos" w:eastAsia="Times New Roman" w:hAnsi="Aptos" w:cs="Times New Roman"/>
                <w:b/>
                <w:bCs/>
                <w:color w:val="000000"/>
                <w:kern w:val="0"/>
                <w:sz w:val="22"/>
                <w:szCs w:val="22"/>
                <w:lang w:val="en-GB" w:eastAsia="en-GB"/>
                <w14:ligatures w14:val="none"/>
              </w:rPr>
              <w:t xml:space="preserve">Category </w:t>
            </w:r>
          </w:p>
        </w:tc>
        <w:tc>
          <w:tcPr>
            <w:tcW w:w="3000" w:type="dxa"/>
            <w:tcBorders>
              <w:top w:val="single" w:sz="4" w:space="0" w:color="auto"/>
              <w:left w:val="nil"/>
              <w:bottom w:val="single" w:sz="4" w:space="0" w:color="auto"/>
              <w:right w:val="single" w:sz="4" w:space="0" w:color="auto"/>
            </w:tcBorders>
            <w:shd w:val="clear" w:color="auto" w:fill="C1E4F5" w:themeFill="accent1" w:themeFillTint="33"/>
            <w:vAlign w:val="center"/>
            <w:hideMark/>
          </w:tcPr>
          <w:p w14:paraId="3453C51B" w14:textId="77777777" w:rsidR="00B90C54" w:rsidRPr="00B90C54" w:rsidRDefault="00B90C54" w:rsidP="00B90C54">
            <w:pPr>
              <w:spacing w:after="0" w:line="240" w:lineRule="auto"/>
              <w:rPr>
                <w:rFonts w:ascii="Aptos" w:eastAsia="Times New Roman" w:hAnsi="Aptos" w:cs="Times New Roman"/>
                <w:b/>
                <w:bCs/>
                <w:color w:val="000000"/>
                <w:kern w:val="0"/>
                <w:sz w:val="22"/>
                <w:szCs w:val="22"/>
                <w:lang w:val="en-GB" w:eastAsia="en-GB"/>
                <w14:ligatures w14:val="none"/>
              </w:rPr>
            </w:pPr>
            <w:r w:rsidRPr="00B90C54">
              <w:rPr>
                <w:rFonts w:ascii="Aptos" w:eastAsia="Times New Roman" w:hAnsi="Aptos" w:cs="Times New Roman"/>
                <w:b/>
                <w:bCs/>
                <w:color w:val="000000"/>
                <w:kern w:val="0"/>
                <w:sz w:val="22"/>
                <w:szCs w:val="22"/>
                <w:lang w:val="en-GB" w:eastAsia="en-GB"/>
                <w14:ligatures w14:val="none"/>
              </w:rPr>
              <w:t>Direct Costs by category</w:t>
            </w:r>
          </w:p>
        </w:tc>
        <w:tc>
          <w:tcPr>
            <w:tcW w:w="2200" w:type="dxa"/>
            <w:tcBorders>
              <w:top w:val="single" w:sz="4" w:space="0" w:color="auto"/>
              <w:left w:val="nil"/>
              <w:bottom w:val="single" w:sz="4" w:space="0" w:color="auto"/>
              <w:right w:val="single" w:sz="4" w:space="0" w:color="auto"/>
            </w:tcBorders>
            <w:shd w:val="clear" w:color="auto" w:fill="C1E4F5" w:themeFill="accent1" w:themeFillTint="33"/>
            <w:vAlign w:val="center"/>
            <w:hideMark/>
          </w:tcPr>
          <w:p w14:paraId="0CBD5F6C" w14:textId="77777777" w:rsidR="00B90C54" w:rsidRPr="00B90C54" w:rsidRDefault="00B90C54" w:rsidP="00B90C54">
            <w:pPr>
              <w:spacing w:after="0" w:line="240" w:lineRule="auto"/>
              <w:rPr>
                <w:rFonts w:ascii="Aptos" w:eastAsia="Times New Roman" w:hAnsi="Aptos" w:cs="Times New Roman"/>
                <w:b/>
                <w:bCs/>
                <w:color w:val="000000"/>
                <w:kern w:val="0"/>
                <w:sz w:val="22"/>
                <w:szCs w:val="22"/>
                <w:lang w:val="en-GB" w:eastAsia="en-GB"/>
                <w14:ligatures w14:val="none"/>
              </w:rPr>
            </w:pPr>
            <w:r w:rsidRPr="00B90C54">
              <w:rPr>
                <w:rFonts w:ascii="Aptos" w:eastAsia="Times New Roman" w:hAnsi="Aptos" w:cs="Times New Roman"/>
                <w:b/>
                <w:bCs/>
                <w:color w:val="000000"/>
                <w:kern w:val="0"/>
                <w:sz w:val="22"/>
                <w:szCs w:val="22"/>
                <w:lang w:val="en-GB" w:eastAsia="en-GB"/>
                <w14:ligatures w14:val="none"/>
              </w:rPr>
              <w:t xml:space="preserve">Percentage of total direct costs </w:t>
            </w:r>
          </w:p>
        </w:tc>
      </w:tr>
      <w:tr w:rsidR="00B90C54" w:rsidRPr="00B90C54" w14:paraId="6AE96F6D"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1C5091A" w14:textId="77777777" w:rsidR="00B90C54" w:rsidRPr="00B90C54" w:rsidRDefault="00B90C54" w:rsidP="00B90C54">
            <w:pPr>
              <w:spacing w:after="0" w:line="240" w:lineRule="auto"/>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People</w:t>
            </w:r>
          </w:p>
        </w:tc>
        <w:tc>
          <w:tcPr>
            <w:tcW w:w="3000" w:type="dxa"/>
            <w:tcBorders>
              <w:top w:val="nil"/>
              <w:left w:val="nil"/>
              <w:bottom w:val="single" w:sz="4" w:space="0" w:color="auto"/>
              <w:right w:val="single" w:sz="4" w:space="0" w:color="auto"/>
            </w:tcBorders>
            <w:shd w:val="clear" w:color="auto" w:fill="auto"/>
            <w:noWrap/>
            <w:vAlign w:val="bottom"/>
            <w:hideMark/>
          </w:tcPr>
          <w:p w14:paraId="2EFB1DFC" w14:textId="77777777" w:rsidR="00B90C54" w:rsidRPr="00B90C54" w:rsidRDefault="00B90C54" w:rsidP="00B90C54">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$6,379,735</w:t>
            </w:r>
          </w:p>
        </w:tc>
        <w:tc>
          <w:tcPr>
            <w:tcW w:w="2200" w:type="dxa"/>
            <w:tcBorders>
              <w:top w:val="nil"/>
              <w:left w:val="nil"/>
              <w:bottom w:val="single" w:sz="4" w:space="0" w:color="auto"/>
              <w:right w:val="single" w:sz="4" w:space="0" w:color="auto"/>
            </w:tcBorders>
            <w:shd w:val="clear" w:color="auto" w:fill="auto"/>
            <w:noWrap/>
            <w:vAlign w:val="bottom"/>
            <w:hideMark/>
          </w:tcPr>
          <w:p w14:paraId="72BA29FB" w14:textId="77777777" w:rsidR="00B90C54" w:rsidRPr="00B90C54" w:rsidRDefault="00B90C54" w:rsidP="00B90C54">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59.25%</w:t>
            </w:r>
          </w:p>
        </w:tc>
      </w:tr>
      <w:tr w:rsidR="00B90C54" w:rsidRPr="00B90C54" w14:paraId="0A37C877"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864A282" w14:textId="77777777" w:rsidR="00B90C54" w:rsidRPr="00B90C54" w:rsidRDefault="00B90C54" w:rsidP="00B90C54">
            <w:pPr>
              <w:spacing w:after="0" w:line="240" w:lineRule="auto"/>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 xml:space="preserve">Contracts </w:t>
            </w:r>
          </w:p>
        </w:tc>
        <w:tc>
          <w:tcPr>
            <w:tcW w:w="3000" w:type="dxa"/>
            <w:tcBorders>
              <w:top w:val="nil"/>
              <w:left w:val="nil"/>
              <w:bottom w:val="single" w:sz="4" w:space="0" w:color="auto"/>
              <w:right w:val="single" w:sz="4" w:space="0" w:color="auto"/>
            </w:tcBorders>
            <w:shd w:val="clear" w:color="auto" w:fill="auto"/>
            <w:noWrap/>
            <w:vAlign w:val="bottom"/>
            <w:hideMark/>
          </w:tcPr>
          <w:p w14:paraId="67BB1D15" w14:textId="77777777" w:rsidR="00B90C54" w:rsidRPr="00B90C54" w:rsidRDefault="00B90C54" w:rsidP="00B90C54">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$3,006,000</w:t>
            </w:r>
          </w:p>
        </w:tc>
        <w:tc>
          <w:tcPr>
            <w:tcW w:w="2200" w:type="dxa"/>
            <w:tcBorders>
              <w:top w:val="nil"/>
              <w:left w:val="nil"/>
              <w:bottom w:val="single" w:sz="4" w:space="0" w:color="auto"/>
              <w:right w:val="single" w:sz="4" w:space="0" w:color="auto"/>
            </w:tcBorders>
            <w:shd w:val="clear" w:color="auto" w:fill="auto"/>
            <w:noWrap/>
            <w:vAlign w:val="bottom"/>
            <w:hideMark/>
          </w:tcPr>
          <w:p w14:paraId="10578FE4" w14:textId="77777777" w:rsidR="00B90C54" w:rsidRPr="00B90C54" w:rsidRDefault="00B90C54" w:rsidP="00B90C54">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27.92%</w:t>
            </w:r>
          </w:p>
        </w:tc>
      </w:tr>
      <w:tr w:rsidR="00B90C54" w:rsidRPr="00B90C54" w14:paraId="7FB94BFB"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9123E45" w14:textId="77777777" w:rsidR="00B90C54" w:rsidRPr="00B90C54" w:rsidRDefault="00B90C54" w:rsidP="00B90C54">
            <w:pPr>
              <w:spacing w:after="0" w:line="240" w:lineRule="auto"/>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 xml:space="preserve">Tools </w:t>
            </w:r>
          </w:p>
        </w:tc>
        <w:tc>
          <w:tcPr>
            <w:tcW w:w="3000" w:type="dxa"/>
            <w:tcBorders>
              <w:top w:val="nil"/>
              <w:left w:val="nil"/>
              <w:bottom w:val="single" w:sz="4" w:space="0" w:color="auto"/>
              <w:right w:val="single" w:sz="4" w:space="0" w:color="auto"/>
            </w:tcBorders>
            <w:shd w:val="clear" w:color="auto" w:fill="auto"/>
            <w:noWrap/>
            <w:vAlign w:val="bottom"/>
            <w:hideMark/>
          </w:tcPr>
          <w:p w14:paraId="6BEBAA04" w14:textId="77777777" w:rsidR="00B90C54" w:rsidRPr="00B90C54" w:rsidRDefault="00B90C54" w:rsidP="00B90C54">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$86,360</w:t>
            </w:r>
          </w:p>
        </w:tc>
        <w:tc>
          <w:tcPr>
            <w:tcW w:w="2200" w:type="dxa"/>
            <w:tcBorders>
              <w:top w:val="nil"/>
              <w:left w:val="nil"/>
              <w:bottom w:val="single" w:sz="4" w:space="0" w:color="auto"/>
              <w:right w:val="single" w:sz="4" w:space="0" w:color="auto"/>
            </w:tcBorders>
            <w:shd w:val="clear" w:color="auto" w:fill="auto"/>
            <w:noWrap/>
            <w:vAlign w:val="bottom"/>
            <w:hideMark/>
          </w:tcPr>
          <w:p w14:paraId="4AE64A32" w14:textId="77777777" w:rsidR="00B90C54" w:rsidRPr="00B90C54" w:rsidRDefault="00B90C54" w:rsidP="00B90C54">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0.80%</w:t>
            </w:r>
          </w:p>
        </w:tc>
      </w:tr>
      <w:tr w:rsidR="00B90C54" w:rsidRPr="00B90C54" w14:paraId="58D9E3D9"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2A4EB00" w14:textId="77777777" w:rsidR="00B90C54" w:rsidRPr="00B90C54" w:rsidRDefault="00B90C54" w:rsidP="00B90C54">
            <w:pPr>
              <w:spacing w:after="0" w:line="240" w:lineRule="auto"/>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 xml:space="preserve">Training event attendance </w:t>
            </w:r>
          </w:p>
        </w:tc>
        <w:tc>
          <w:tcPr>
            <w:tcW w:w="3000" w:type="dxa"/>
            <w:tcBorders>
              <w:top w:val="nil"/>
              <w:left w:val="nil"/>
              <w:bottom w:val="single" w:sz="4" w:space="0" w:color="auto"/>
              <w:right w:val="single" w:sz="4" w:space="0" w:color="auto"/>
            </w:tcBorders>
            <w:shd w:val="clear" w:color="auto" w:fill="auto"/>
            <w:noWrap/>
            <w:vAlign w:val="bottom"/>
            <w:hideMark/>
          </w:tcPr>
          <w:p w14:paraId="0BD81A92" w14:textId="77777777" w:rsidR="00B90C54" w:rsidRPr="00B90C54" w:rsidRDefault="00B90C54" w:rsidP="00B90C54">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$126,000</w:t>
            </w:r>
          </w:p>
        </w:tc>
        <w:tc>
          <w:tcPr>
            <w:tcW w:w="2200" w:type="dxa"/>
            <w:tcBorders>
              <w:top w:val="nil"/>
              <w:left w:val="nil"/>
              <w:bottom w:val="single" w:sz="4" w:space="0" w:color="auto"/>
              <w:right w:val="single" w:sz="4" w:space="0" w:color="auto"/>
            </w:tcBorders>
            <w:shd w:val="clear" w:color="auto" w:fill="auto"/>
            <w:noWrap/>
            <w:vAlign w:val="bottom"/>
            <w:hideMark/>
          </w:tcPr>
          <w:p w14:paraId="7C801606" w14:textId="77777777" w:rsidR="00B90C54" w:rsidRPr="00B90C54" w:rsidRDefault="00B90C54" w:rsidP="00B90C54">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1.17%</w:t>
            </w:r>
          </w:p>
        </w:tc>
      </w:tr>
      <w:tr w:rsidR="00B90C54" w:rsidRPr="00B90C54" w14:paraId="487D3488"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A06DA51" w14:textId="77777777" w:rsidR="00B90C54" w:rsidRPr="00B90C54" w:rsidRDefault="00B90C54" w:rsidP="00B90C54">
            <w:pPr>
              <w:spacing w:after="0" w:line="240" w:lineRule="auto"/>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 xml:space="preserve">Citizen engagement </w:t>
            </w:r>
          </w:p>
        </w:tc>
        <w:tc>
          <w:tcPr>
            <w:tcW w:w="3000" w:type="dxa"/>
            <w:tcBorders>
              <w:top w:val="nil"/>
              <w:left w:val="nil"/>
              <w:bottom w:val="single" w:sz="4" w:space="0" w:color="auto"/>
              <w:right w:val="single" w:sz="4" w:space="0" w:color="auto"/>
            </w:tcBorders>
            <w:shd w:val="clear" w:color="auto" w:fill="auto"/>
            <w:noWrap/>
            <w:vAlign w:val="bottom"/>
            <w:hideMark/>
          </w:tcPr>
          <w:p w14:paraId="33F23124" w14:textId="77777777" w:rsidR="00B90C54" w:rsidRPr="00B90C54" w:rsidRDefault="00B90C54" w:rsidP="00B90C54">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$294,000</w:t>
            </w:r>
          </w:p>
        </w:tc>
        <w:tc>
          <w:tcPr>
            <w:tcW w:w="2200" w:type="dxa"/>
            <w:tcBorders>
              <w:top w:val="nil"/>
              <w:left w:val="nil"/>
              <w:bottom w:val="single" w:sz="4" w:space="0" w:color="auto"/>
              <w:right w:val="single" w:sz="4" w:space="0" w:color="auto"/>
            </w:tcBorders>
            <w:shd w:val="clear" w:color="auto" w:fill="auto"/>
            <w:noWrap/>
            <w:vAlign w:val="bottom"/>
            <w:hideMark/>
          </w:tcPr>
          <w:p w14:paraId="6D53F224" w14:textId="77777777" w:rsidR="00B90C54" w:rsidRPr="00B90C54" w:rsidRDefault="00B90C54" w:rsidP="00B90C54">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2.73%</w:t>
            </w:r>
          </w:p>
        </w:tc>
      </w:tr>
      <w:tr w:rsidR="00B90C54" w:rsidRPr="00B90C54" w14:paraId="4ED44A27"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6551D27" w14:textId="77777777" w:rsidR="00B90C54" w:rsidRPr="00B90C54" w:rsidRDefault="00B90C54" w:rsidP="00B90C54">
            <w:pPr>
              <w:spacing w:after="0" w:line="240" w:lineRule="auto"/>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Travel</w:t>
            </w:r>
          </w:p>
        </w:tc>
        <w:tc>
          <w:tcPr>
            <w:tcW w:w="3000" w:type="dxa"/>
            <w:tcBorders>
              <w:top w:val="nil"/>
              <w:left w:val="nil"/>
              <w:bottom w:val="single" w:sz="4" w:space="0" w:color="auto"/>
              <w:right w:val="single" w:sz="4" w:space="0" w:color="auto"/>
            </w:tcBorders>
            <w:shd w:val="clear" w:color="auto" w:fill="auto"/>
            <w:noWrap/>
            <w:vAlign w:val="bottom"/>
            <w:hideMark/>
          </w:tcPr>
          <w:p w14:paraId="0A4C092F" w14:textId="77777777" w:rsidR="00B90C54" w:rsidRPr="00B90C54" w:rsidRDefault="00B90C54" w:rsidP="00B90C54">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$500,850</w:t>
            </w:r>
          </w:p>
        </w:tc>
        <w:tc>
          <w:tcPr>
            <w:tcW w:w="2200" w:type="dxa"/>
            <w:tcBorders>
              <w:top w:val="nil"/>
              <w:left w:val="nil"/>
              <w:bottom w:val="single" w:sz="4" w:space="0" w:color="auto"/>
              <w:right w:val="single" w:sz="4" w:space="0" w:color="auto"/>
            </w:tcBorders>
            <w:shd w:val="clear" w:color="auto" w:fill="auto"/>
            <w:noWrap/>
            <w:vAlign w:val="bottom"/>
            <w:hideMark/>
          </w:tcPr>
          <w:p w14:paraId="22090367" w14:textId="77777777" w:rsidR="00B90C54" w:rsidRPr="00B90C54" w:rsidRDefault="00B90C54" w:rsidP="00B90C54">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4.65%</w:t>
            </w:r>
          </w:p>
        </w:tc>
      </w:tr>
      <w:tr w:rsidR="00B90C54" w:rsidRPr="00B90C54" w14:paraId="245944BB"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12D9BCD" w14:textId="77777777" w:rsidR="00B90C54" w:rsidRPr="00B90C54" w:rsidRDefault="00B90C54" w:rsidP="00B90C54">
            <w:pPr>
              <w:spacing w:after="0" w:line="240" w:lineRule="auto"/>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Dissemination</w:t>
            </w:r>
          </w:p>
        </w:tc>
        <w:tc>
          <w:tcPr>
            <w:tcW w:w="3000" w:type="dxa"/>
            <w:tcBorders>
              <w:top w:val="nil"/>
              <w:left w:val="nil"/>
              <w:bottom w:val="single" w:sz="4" w:space="0" w:color="auto"/>
              <w:right w:val="single" w:sz="4" w:space="0" w:color="auto"/>
            </w:tcBorders>
            <w:shd w:val="clear" w:color="auto" w:fill="auto"/>
            <w:noWrap/>
            <w:vAlign w:val="bottom"/>
            <w:hideMark/>
          </w:tcPr>
          <w:p w14:paraId="0DBED4F4" w14:textId="77777777" w:rsidR="00B90C54" w:rsidRPr="00B90C54" w:rsidRDefault="00B90C54" w:rsidP="00B90C54">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$375,000</w:t>
            </w:r>
          </w:p>
        </w:tc>
        <w:tc>
          <w:tcPr>
            <w:tcW w:w="2200" w:type="dxa"/>
            <w:tcBorders>
              <w:top w:val="nil"/>
              <w:left w:val="nil"/>
              <w:bottom w:val="single" w:sz="4" w:space="0" w:color="auto"/>
              <w:right w:val="single" w:sz="4" w:space="0" w:color="auto"/>
            </w:tcBorders>
            <w:shd w:val="clear" w:color="auto" w:fill="auto"/>
            <w:noWrap/>
            <w:vAlign w:val="bottom"/>
            <w:hideMark/>
          </w:tcPr>
          <w:p w14:paraId="6CFC4112" w14:textId="77777777" w:rsidR="00B90C54" w:rsidRPr="00B90C54" w:rsidRDefault="00B90C54" w:rsidP="00B90C54">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3.48%</w:t>
            </w:r>
          </w:p>
        </w:tc>
      </w:tr>
      <w:tr w:rsidR="00B90C54" w:rsidRPr="00B90C54" w14:paraId="14B82F93"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FAE70B6" w14:textId="77777777" w:rsidR="00B90C54" w:rsidRPr="00B90C54" w:rsidRDefault="00B90C54" w:rsidP="00B90C54">
            <w:pPr>
              <w:spacing w:after="0" w:line="240" w:lineRule="auto"/>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 xml:space="preserve">Other </w:t>
            </w:r>
          </w:p>
        </w:tc>
        <w:tc>
          <w:tcPr>
            <w:tcW w:w="3000" w:type="dxa"/>
            <w:tcBorders>
              <w:top w:val="nil"/>
              <w:left w:val="nil"/>
              <w:bottom w:val="single" w:sz="4" w:space="0" w:color="auto"/>
              <w:right w:val="single" w:sz="4" w:space="0" w:color="auto"/>
            </w:tcBorders>
            <w:shd w:val="clear" w:color="auto" w:fill="auto"/>
            <w:noWrap/>
            <w:vAlign w:val="bottom"/>
            <w:hideMark/>
          </w:tcPr>
          <w:p w14:paraId="3226A121" w14:textId="77777777" w:rsidR="00B90C54" w:rsidRPr="00B90C54" w:rsidRDefault="00B90C54" w:rsidP="00B90C54">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0F002C82" w14:textId="77777777" w:rsidR="00B90C54" w:rsidRPr="00B90C54" w:rsidRDefault="00B90C54" w:rsidP="00B90C54">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0.00%</w:t>
            </w:r>
          </w:p>
        </w:tc>
      </w:tr>
      <w:tr w:rsidR="00B90C54" w:rsidRPr="00B90C54" w14:paraId="633A0673"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905E4A7" w14:textId="77777777" w:rsidR="00B90C54" w:rsidRPr="00B90C54" w:rsidRDefault="00B90C54" w:rsidP="00B90C54">
            <w:pPr>
              <w:spacing w:after="0" w:line="240" w:lineRule="auto"/>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 xml:space="preserve">Total direct costs </w:t>
            </w:r>
          </w:p>
        </w:tc>
        <w:tc>
          <w:tcPr>
            <w:tcW w:w="3000" w:type="dxa"/>
            <w:tcBorders>
              <w:top w:val="nil"/>
              <w:left w:val="nil"/>
              <w:bottom w:val="single" w:sz="4" w:space="0" w:color="auto"/>
              <w:right w:val="single" w:sz="4" w:space="0" w:color="auto"/>
            </w:tcBorders>
            <w:shd w:val="clear" w:color="auto" w:fill="auto"/>
            <w:noWrap/>
            <w:vAlign w:val="bottom"/>
            <w:hideMark/>
          </w:tcPr>
          <w:p w14:paraId="7221DB18" w14:textId="77777777" w:rsidR="00B90C54" w:rsidRPr="00B90C54" w:rsidRDefault="00B90C54" w:rsidP="00B90C54">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$10,767,945</w:t>
            </w:r>
          </w:p>
        </w:tc>
        <w:tc>
          <w:tcPr>
            <w:tcW w:w="2200" w:type="dxa"/>
            <w:tcBorders>
              <w:top w:val="nil"/>
              <w:left w:val="nil"/>
              <w:bottom w:val="single" w:sz="4" w:space="0" w:color="auto"/>
              <w:right w:val="single" w:sz="4" w:space="0" w:color="auto"/>
            </w:tcBorders>
            <w:shd w:val="clear" w:color="auto" w:fill="auto"/>
            <w:noWrap/>
            <w:vAlign w:val="bottom"/>
            <w:hideMark/>
          </w:tcPr>
          <w:p w14:paraId="17DF0E73" w14:textId="77777777" w:rsidR="00B90C54" w:rsidRPr="00B90C54" w:rsidRDefault="00B90C54" w:rsidP="00B90C54">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100.00%</w:t>
            </w:r>
          </w:p>
        </w:tc>
      </w:tr>
      <w:tr w:rsidR="00B90C54" w:rsidRPr="00B90C54" w14:paraId="457D35AB"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4165E37" w14:textId="77777777" w:rsidR="00B90C54" w:rsidRPr="00B90C54" w:rsidRDefault="00B90C54" w:rsidP="00B90C54">
            <w:pPr>
              <w:spacing w:after="0" w:line="240" w:lineRule="auto"/>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 xml:space="preserve">Grand total with 20% overheads </w:t>
            </w:r>
          </w:p>
        </w:tc>
        <w:tc>
          <w:tcPr>
            <w:tcW w:w="3000" w:type="dxa"/>
            <w:tcBorders>
              <w:top w:val="nil"/>
              <w:left w:val="nil"/>
              <w:bottom w:val="single" w:sz="4" w:space="0" w:color="auto"/>
              <w:right w:val="single" w:sz="4" w:space="0" w:color="auto"/>
            </w:tcBorders>
            <w:shd w:val="clear" w:color="auto" w:fill="auto"/>
            <w:noWrap/>
            <w:vAlign w:val="bottom"/>
            <w:hideMark/>
          </w:tcPr>
          <w:p w14:paraId="29294829" w14:textId="77777777" w:rsidR="00B90C54" w:rsidRPr="00B90C54" w:rsidRDefault="00B90C54" w:rsidP="00B90C54">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$12,921,534</w:t>
            </w:r>
          </w:p>
        </w:tc>
        <w:tc>
          <w:tcPr>
            <w:tcW w:w="2200" w:type="dxa"/>
            <w:tcBorders>
              <w:top w:val="nil"/>
              <w:left w:val="nil"/>
              <w:bottom w:val="single" w:sz="4" w:space="0" w:color="auto"/>
              <w:right w:val="single" w:sz="4" w:space="0" w:color="auto"/>
            </w:tcBorders>
            <w:shd w:val="clear" w:color="auto" w:fill="auto"/>
            <w:noWrap/>
            <w:vAlign w:val="bottom"/>
            <w:hideMark/>
          </w:tcPr>
          <w:p w14:paraId="2FC2211E" w14:textId="77777777" w:rsidR="00B90C54" w:rsidRPr="00B90C54" w:rsidRDefault="00B90C54" w:rsidP="00B90C54">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B90C54">
              <w:rPr>
                <w:rFonts w:ascii="Aptos Narrow" w:eastAsia="Times New Roman" w:hAnsi="Aptos Narrow" w:cs="Times New Roman"/>
                <w:color w:val="000000"/>
                <w:kern w:val="0"/>
                <w:sz w:val="22"/>
                <w:szCs w:val="22"/>
                <w:lang w:val="en-GB" w:eastAsia="en-GB"/>
                <w14:ligatures w14:val="none"/>
              </w:rPr>
              <w:t> </w:t>
            </w:r>
          </w:p>
        </w:tc>
      </w:tr>
    </w:tbl>
    <w:p w14:paraId="2FD1D912" w14:textId="532DBDCA" w:rsidR="00374F31" w:rsidRDefault="00374F31" w:rsidP="00187976">
      <w:pPr>
        <w:pStyle w:val="Heading1"/>
      </w:pPr>
      <w:r w:rsidRPr="00F66025">
        <w:lastRenderedPageBreak/>
        <w:t xml:space="preserve">Option </w:t>
      </w:r>
      <w:r>
        <w:t xml:space="preserve">3B: </w:t>
      </w:r>
      <w:r w:rsidRPr="00866D83">
        <w:t>Demand-side</w:t>
      </w:r>
      <w:r>
        <w:t xml:space="preserve"> </w:t>
      </w:r>
      <w:r w:rsidRPr="00FD0110">
        <w:t>Co-design Labs</w:t>
      </w:r>
      <w:r w:rsidR="00C24987">
        <w:t>: $4.50m</w:t>
      </w:r>
    </w:p>
    <w:tbl>
      <w:tblPr>
        <w:tblStyle w:val="TableGrid"/>
        <w:tblpPr w:leftFromText="180" w:rightFromText="180" w:vertAnchor="text" w:horzAnchor="margin" w:tblpY="16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2122"/>
        <w:gridCol w:w="7376"/>
      </w:tblGrid>
      <w:tr w:rsidR="00A855E9" w:rsidRPr="00A855E9" w14:paraId="541D13DB" w14:textId="77777777" w:rsidTr="001A02EE">
        <w:tc>
          <w:tcPr>
            <w:tcW w:w="9498" w:type="dxa"/>
            <w:gridSpan w:val="2"/>
            <w:shd w:val="clear" w:color="auto" w:fill="F2CEED" w:themeFill="accent5" w:themeFillTint="33"/>
          </w:tcPr>
          <w:p w14:paraId="66688E04" w14:textId="3B2761D3" w:rsidR="00374F31" w:rsidRPr="00A855E9" w:rsidRDefault="001F71FC" w:rsidP="00374F31">
            <w:pPr>
              <w:rPr>
                <w:color w:val="156082" w:themeColor="accent1"/>
                <w:sz w:val="22"/>
                <w:szCs w:val="22"/>
              </w:rPr>
            </w:pPr>
            <w:r w:rsidRPr="00A855E9">
              <w:rPr>
                <w:color w:val="156082" w:themeColor="accent1"/>
                <w:sz w:val="22"/>
                <w:szCs w:val="22"/>
              </w:rPr>
              <w:t xml:space="preserve">As pre 3A </w:t>
            </w:r>
            <w:r w:rsidR="00924740" w:rsidRPr="00A855E9">
              <w:rPr>
                <w:color w:val="156082" w:themeColor="accent1"/>
                <w:sz w:val="22"/>
                <w:szCs w:val="22"/>
              </w:rPr>
              <w:t>with changes to level of work and number of labs – changes in purple</w:t>
            </w:r>
          </w:p>
        </w:tc>
      </w:tr>
      <w:tr w:rsidR="00374F31" w14:paraId="27DA2ECF" w14:textId="77777777" w:rsidTr="001A02EE">
        <w:tc>
          <w:tcPr>
            <w:tcW w:w="2122" w:type="dxa"/>
          </w:tcPr>
          <w:p w14:paraId="7A8FA1AE" w14:textId="77777777" w:rsidR="00374F31" w:rsidRPr="0093000C" w:rsidRDefault="00374F31" w:rsidP="00374F31">
            <w:pPr>
              <w:ind w:left="2160" w:hanging="2160"/>
              <w:jc w:val="both"/>
              <w:rPr>
                <w:b/>
                <w:bCs/>
                <w:sz w:val="20"/>
                <w:szCs w:val="20"/>
              </w:rPr>
            </w:pPr>
          </w:p>
        </w:tc>
        <w:tc>
          <w:tcPr>
            <w:tcW w:w="7376" w:type="dxa"/>
          </w:tcPr>
          <w:p w14:paraId="733A8A57" w14:textId="77777777" w:rsidR="00374F31" w:rsidRDefault="00374F31" w:rsidP="00374F31">
            <w:pPr>
              <w:rPr>
                <w:sz w:val="20"/>
                <w:szCs w:val="20"/>
              </w:rPr>
            </w:pPr>
          </w:p>
        </w:tc>
      </w:tr>
      <w:tr w:rsidR="00374F31" w14:paraId="46E61266" w14:textId="77777777" w:rsidTr="001A02EE">
        <w:tc>
          <w:tcPr>
            <w:tcW w:w="2122" w:type="dxa"/>
          </w:tcPr>
          <w:p w14:paraId="784270C5" w14:textId="77777777" w:rsidR="00374F31" w:rsidRPr="0093000C" w:rsidRDefault="00374F31" w:rsidP="00374F31">
            <w:pPr>
              <w:ind w:left="2160" w:hanging="2160"/>
              <w:jc w:val="both"/>
              <w:rPr>
                <w:b/>
                <w:bCs/>
                <w:sz w:val="20"/>
                <w:szCs w:val="20"/>
              </w:rPr>
            </w:pPr>
            <w:r w:rsidRPr="0093000C">
              <w:rPr>
                <w:b/>
                <w:bCs/>
                <w:sz w:val="20"/>
                <w:szCs w:val="20"/>
              </w:rPr>
              <w:t>Implementation</w:t>
            </w:r>
          </w:p>
          <w:p w14:paraId="27ED30E6" w14:textId="77777777" w:rsidR="00374F31" w:rsidRPr="0093000C" w:rsidRDefault="00374F31" w:rsidP="00374F31">
            <w:pPr>
              <w:jc w:val="both"/>
              <w:rPr>
                <w:b/>
                <w:bCs/>
                <w:sz w:val="20"/>
                <w:szCs w:val="20"/>
              </w:rPr>
            </w:pPr>
            <w:r w:rsidRPr="0093000C">
              <w:rPr>
                <w:b/>
                <w:bCs/>
                <w:sz w:val="20"/>
                <w:szCs w:val="20"/>
              </w:rPr>
              <w:t>Caveats</w:t>
            </w:r>
          </w:p>
        </w:tc>
        <w:tc>
          <w:tcPr>
            <w:tcW w:w="7376" w:type="dxa"/>
          </w:tcPr>
          <w:p w14:paraId="201C398F" w14:textId="77777777" w:rsidR="00C9055B" w:rsidRDefault="00C9055B" w:rsidP="00C9055B">
            <w:pPr>
              <w:pStyle w:val="paragraph"/>
              <w:spacing w:before="0" w:beforeAutospacing="0" w:after="0" w:afterAutospacing="0"/>
              <w:textAlignment w:val="baseline"/>
              <w:rPr>
                <w:rFonts w:ascii="Aptos" w:hAnsi="Aptos"/>
                <w:sz w:val="20"/>
                <w:szCs w:val="20"/>
              </w:rPr>
            </w:pPr>
            <w:r>
              <w:rPr>
                <w:rStyle w:val="normaltextrun"/>
                <w:rFonts w:ascii="Aptos" w:eastAsiaTheme="majorEastAsia" w:hAnsi="Aptos"/>
                <w:color w:val="156082"/>
                <w:sz w:val="20"/>
                <w:szCs w:val="20"/>
                <w:lang w:val="en-GB"/>
              </w:rPr>
              <w:t>The labs will:</w:t>
            </w:r>
            <w:r>
              <w:rPr>
                <w:rStyle w:val="eop"/>
                <w:rFonts w:ascii="Aptos" w:eastAsiaTheme="majorEastAsia" w:hAnsi="Aptos"/>
                <w:color w:val="156082"/>
                <w:sz w:val="20"/>
                <w:szCs w:val="20"/>
              </w:rPr>
              <w:t> </w:t>
            </w:r>
          </w:p>
          <w:p w14:paraId="75D8E93B" w14:textId="77777777" w:rsidR="00C9055B" w:rsidRDefault="00C9055B" w:rsidP="00D10639">
            <w:pPr>
              <w:pStyle w:val="paragraph"/>
              <w:numPr>
                <w:ilvl w:val="0"/>
                <w:numId w:val="2"/>
              </w:numPr>
              <w:spacing w:before="0" w:beforeAutospacing="0" w:after="0" w:afterAutospacing="0"/>
              <w:textAlignment w:val="baseline"/>
              <w:rPr>
                <w:rFonts w:ascii="Aptos" w:hAnsi="Aptos"/>
                <w:sz w:val="20"/>
                <w:szCs w:val="20"/>
              </w:rPr>
            </w:pPr>
            <w:r>
              <w:rPr>
                <w:rStyle w:val="normaltextrun"/>
                <w:rFonts w:ascii="Aptos" w:eastAsiaTheme="majorEastAsia" w:hAnsi="Aptos"/>
                <w:color w:val="156082"/>
                <w:sz w:val="20"/>
                <w:szCs w:val="20"/>
                <w:lang w:val="en-GB"/>
              </w:rPr>
              <w:t>Provide hosted facilitation and technical support over 10-week cycles, structured around 6 key engagement points </w:t>
            </w:r>
            <w:r>
              <w:rPr>
                <w:rStyle w:val="eop"/>
                <w:rFonts w:ascii="Aptos" w:eastAsiaTheme="majorEastAsia" w:hAnsi="Aptos"/>
                <w:color w:val="156082"/>
                <w:sz w:val="20"/>
                <w:szCs w:val="20"/>
              </w:rPr>
              <w:t> </w:t>
            </w:r>
          </w:p>
          <w:p w14:paraId="1D7864D0" w14:textId="77777777" w:rsidR="00C9055B" w:rsidRDefault="00C9055B" w:rsidP="00D10639">
            <w:pPr>
              <w:pStyle w:val="paragraph"/>
              <w:numPr>
                <w:ilvl w:val="0"/>
                <w:numId w:val="2"/>
              </w:numPr>
              <w:spacing w:before="0" w:beforeAutospacing="0" w:after="0" w:afterAutospacing="0"/>
              <w:textAlignment w:val="baseline"/>
              <w:rPr>
                <w:rFonts w:ascii="Aptos" w:hAnsi="Aptos"/>
                <w:sz w:val="20"/>
                <w:szCs w:val="20"/>
              </w:rPr>
            </w:pPr>
            <w:r>
              <w:rPr>
                <w:rStyle w:val="normaltextrun"/>
                <w:rFonts w:ascii="Aptos" w:eastAsiaTheme="majorEastAsia" w:hAnsi="Aptos"/>
                <w:color w:val="A02B93"/>
                <w:sz w:val="20"/>
                <w:szCs w:val="20"/>
                <w:lang w:val="en-GB"/>
              </w:rPr>
              <w:t>Run 3 intakes per year</w:t>
            </w:r>
            <w:r>
              <w:rPr>
                <w:rStyle w:val="normaltextrun"/>
                <w:rFonts w:ascii="Aptos" w:eastAsiaTheme="majorEastAsia" w:hAnsi="Aptos"/>
                <w:color w:val="156082"/>
                <w:sz w:val="20"/>
                <w:szCs w:val="20"/>
                <w:lang w:val="en-GB"/>
              </w:rPr>
              <w:t xml:space="preserve">, each supporting 3 co-design groups per intake </w:t>
            </w:r>
            <w:r>
              <w:rPr>
                <w:rStyle w:val="normaltextrun"/>
                <w:rFonts w:ascii="Aptos" w:eastAsiaTheme="majorEastAsia" w:hAnsi="Aptos"/>
                <w:b/>
                <w:bCs/>
                <w:color w:val="156082"/>
                <w:sz w:val="20"/>
                <w:szCs w:val="20"/>
                <w:lang w:val="en-GB"/>
              </w:rPr>
              <w:t>(</w:t>
            </w:r>
            <w:r>
              <w:rPr>
                <w:rStyle w:val="normaltextrun"/>
                <w:rFonts w:ascii="Aptos" w:eastAsiaTheme="majorEastAsia" w:hAnsi="Aptos"/>
                <w:b/>
                <w:bCs/>
                <w:color w:val="A02B93"/>
                <w:sz w:val="20"/>
                <w:szCs w:val="20"/>
                <w:lang w:val="en-GB"/>
              </w:rPr>
              <w:t>9 total</w:t>
            </w:r>
            <w:r>
              <w:rPr>
                <w:rStyle w:val="normaltextrun"/>
                <w:rFonts w:ascii="Aptos" w:eastAsiaTheme="majorEastAsia" w:hAnsi="Aptos"/>
                <w:b/>
                <w:bCs/>
                <w:color w:val="156082"/>
                <w:sz w:val="20"/>
                <w:szCs w:val="20"/>
                <w:lang w:val="en-GB"/>
              </w:rPr>
              <w:t>)</w:t>
            </w:r>
            <w:r>
              <w:rPr>
                <w:rStyle w:val="eop"/>
                <w:rFonts w:ascii="Aptos" w:eastAsiaTheme="majorEastAsia" w:hAnsi="Aptos"/>
                <w:color w:val="156082"/>
                <w:sz w:val="20"/>
                <w:szCs w:val="20"/>
              </w:rPr>
              <w:t> </w:t>
            </w:r>
          </w:p>
          <w:p w14:paraId="2EC03417" w14:textId="77777777" w:rsidR="00C9055B" w:rsidRDefault="00C9055B" w:rsidP="00D10639">
            <w:pPr>
              <w:pStyle w:val="paragraph"/>
              <w:numPr>
                <w:ilvl w:val="0"/>
                <w:numId w:val="2"/>
              </w:numPr>
              <w:spacing w:before="0" w:beforeAutospacing="0" w:after="0" w:afterAutospacing="0"/>
              <w:textAlignment w:val="baseline"/>
              <w:rPr>
                <w:rFonts w:ascii="Aptos" w:hAnsi="Aptos"/>
                <w:sz w:val="20"/>
                <w:szCs w:val="20"/>
              </w:rPr>
            </w:pPr>
            <w:r>
              <w:rPr>
                <w:rStyle w:val="normaltextrun"/>
                <w:rFonts w:ascii="Aptos" w:eastAsiaTheme="majorEastAsia" w:hAnsi="Aptos"/>
                <w:color w:val="156082"/>
                <w:sz w:val="20"/>
                <w:szCs w:val="20"/>
                <w:lang w:val="en-GB"/>
              </w:rPr>
              <w:t>Identify and support diverse participants, ensuring equity and inclusion in lab engagement.</w:t>
            </w:r>
            <w:r>
              <w:rPr>
                <w:rStyle w:val="eop"/>
                <w:rFonts w:ascii="Aptos" w:eastAsiaTheme="majorEastAsia" w:hAnsi="Aptos"/>
                <w:color w:val="156082"/>
                <w:sz w:val="20"/>
                <w:szCs w:val="20"/>
              </w:rPr>
              <w:t> </w:t>
            </w:r>
          </w:p>
          <w:p w14:paraId="1E9B167F" w14:textId="77777777" w:rsidR="00C9055B" w:rsidRDefault="00C9055B" w:rsidP="00D10639">
            <w:pPr>
              <w:pStyle w:val="paragraph"/>
              <w:numPr>
                <w:ilvl w:val="0"/>
                <w:numId w:val="2"/>
              </w:numPr>
              <w:spacing w:before="0" w:beforeAutospacing="0" w:after="0" w:afterAutospacing="0"/>
              <w:textAlignment w:val="baseline"/>
              <w:rPr>
                <w:rFonts w:ascii="Aptos" w:hAnsi="Aptos"/>
                <w:sz w:val="20"/>
                <w:szCs w:val="20"/>
              </w:rPr>
            </w:pPr>
            <w:r>
              <w:rPr>
                <w:rStyle w:val="normaltextrun"/>
                <w:rFonts w:ascii="Aptos" w:eastAsiaTheme="majorEastAsia" w:hAnsi="Aptos"/>
                <w:color w:val="156082"/>
                <w:sz w:val="20"/>
                <w:szCs w:val="20"/>
                <w:lang w:val="en-GB"/>
              </w:rPr>
              <w:t>Offer small participation grants to enable access for under-resourced organisations. </w:t>
            </w:r>
            <w:r>
              <w:rPr>
                <w:rStyle w:val="eop"/>
                <w:rFonts w:ascii="Aptos" w:eastAsiaTheme="majorEastAsia" w:hAnsi="Aptos"/>
                <w:color w:val="156082"/>
                <w:sz w:val="20"/>
                <w:szCs w:val="20"/>
              </w:rPr>
              <w:t> </w:t>
            </w:r>
          </w:p>
          <w:p w14:paraId="5179C0CB" w14:textId="723E38A3" w:rsidR="00374F31" w:rsidRPr="00C9055B" w:rsidRDefault="00C9055B" w:rsidP="00D10639">
            <w:pPr>
              <w:pStyle w:val="paragraph"/>
              <w:numPr>
                <w:ilvl w:val="0"/>
                <w:numId w:val="2"/>
              </w:numPr>
              <w:spacing w:before="0" w:beforeAutospacing="0" w:after="0" w:afterAutospacing="0"/>
              <w:textAlignment w:val="baseline"/>
              <w:rPr>
                <w:rFonts w:ascii="Aptos" w:hAnsi="Aptos"/>
                <w:sz w:val="20"/>
                <w:szCs w:val="20"/>
              </w:rPr>
            </w:pPr>
            <w:r>
              <w:rPr>
                <w:rStyle w:val="normaltextrun"/>
                <w:rFonts w:ascii="Aptos" w:eastAsiaTheme="majorEastAsia" w:hAnsi="Aptos"/>
                <w:color w:val="156082"/>
                <w:sz w:val="20"/>
                <w:szCs w:val="20"/>
                <w:lang w:val="en-GB"/>
              </w:rPr>
              <w:t>Encourage co-contribution from participating organisations to embed shared ownership and applied relevance.</w:t>
            </w:r>
            <w:r>
              <w:rPr>
                <w:rStyle w:val="eop"/>
                <w:rFonts w:ascii="Aptos" w:eastAsiaTheme="majorEastAsia" w:hAnsi="Aptos"/>
                <w:color w:val="156082"/>
                <w:sz w:val="20"/>
                <w:szCs w:val="20"/>
              </w:rPr>
              <w:t> </w:t>
            </w:r>
          </w:p>
        </w:tc>
      </w:tr>
      <w:tr w:rsidR="00374F31" w14:paraId="43A41A34" w14:textId="77777777" w:rsidTr="001A02EE">
        <w:tc>
          <w:tcPr>
            <w:tcW w:w="2122" w:type="dxa"/>
          </w:tcPr>
          <w:p w14:paraId="035CA70E" w14:textId="77777777" w:rsidR="00374F31" w:rsidRPr="0093000C" w:rsidRDefault="00374F31" w:rsidP="00374F31">
            <w:pPr>
              <w:jc w:val="both"/>
              <w:rPr>
                <w:b/>
                <w:bCs/>
                <w:sz w:val="20"/>
                <w:szCs w:val="20"/>
              </w:rPr>
            </w:pPr>
            <w:r w:rsidRPr="0093000C">
              <w:rPr>
                <w:b/>
                <w:bCs/>
                <w:sz w:val="20"/>
                <w:szCs w:val="20"/>
              </w:rPr>
              <w:t>Staff Profile</w:t>
            </w:r>
          </w:p>
        </w:tc>
        <w:tc>
          <w:tcPr>
            <w:tcW w:w="7376" w:type="dxa"/>
          </w:tcPr>
          <w:p w14:paraId="148168F4" w14:textId="363160E4" w:rsidR="00374F31" w:rsidRPr="0075038F" w:rsidRDefault="00C9055B" w:rsidP="00374F31">
            <w:pPr>
              <w:jc w:val="both"/>
              <w:rPr>
                <w:color w:val="156082" w:themeColor="accent1"/>
                <w:sz w:val="20"/>
                <w:szCs w:val="20"/>
              </w:rPr>
            </w:pPr>
            <w:r w:rsidRPr="0075038F">
              <w:rPr>
                <w:color w:val="156082" w:themeColor="accent1"/>
                <w:sz w:val="20"/>
                <w:szCs w:val="20"/>
              </w:rPr>
              <w:t xml:space="preserve">As per 3A for each lab </w:t>
            </w:r>
          </w:p>
        </w:tc>
      </w:tr>
      <w:tr w:rsidR="00374F31" w14:paraId="229DCE4F" w14:textId="77777777" w:rsidTr="006277E5">
        <w:tc>
          <w:tcPr>
            <w:tcW w:w="2122" w:type="dxa"/>
          </w:tcPr>
          <w:p w14:paraId="098E1443" w14:textId="77777777" w:rsidR="00374F31" w:rsidRPr="0093000C" w:rsidRDefault="00374F31" w:rsidP="00374F31">
            <w:pPr>
              <w:jc w:val="both"/>
              <w:rPr>
                <w:b/>
                <w:bCs/>
                <w:sz w:val="20"/>
                <w:szCs w:val="20"/>
              </w:rPr>
            </w:pPr>
            <w:r w:rsidRPr="0093000C">
              <w:rPr>
                <w:b/>
                <w:bCs/>
                <w:sz w:val="20"/>
                <w:szCs w:val="20"/>
              </w:rPr>
              <w:t>Sequencing</w:t>
            </w:r>
          </w:p>
        </w:tc>
        <w:tc>
          <w:tcPr>
            <w:tcW w:w="7376" w:type="dxa"/>
          </w:tcPr>
          <w:p w14:paraId="2AABF9E0" w14:textId="3DDDBD21" w:rsidR="00374F31" w:rsidRPr="0075038F" w:rsidRDefault="0075038F" w:rsidP="0075038F">
            <w:pPr>
              <w:jc w:val="both"/>
              <w:rPr>
                <w:color w:val="A02B93" w:themeColor="accent5"/>
                <w:sz w:val="20"/>
                <w:szCs w:val="20"/>
              </w:rPr>
            </w:pPr>
            <w:r w:rsidRPr="0075038F">
              <w:rPr>
                <w:color w:val="A02B93" w:themeColor="accent5"/>
                <w:sz w:val="20"/>
                <w:szCs w:val="20"/>
              </w:rPr>
              <w:t>Two labs only in Option B – one ‘north’ and one ‘south’ (Option 3A expanded to 5 labs) </w:t>
            </w:r>
          </w:p>
        </w:tc>
      </w:tr>
      <w:tr w:rsidR="00374F31" w14:paraId="2783B437" w14:textId="77777777" w:rsidTr="006277E5">
        <w:tc>
          <w:tcPr>
            <w:tcW w:w="2122" w:type="dxa"/>
            <w:tcBorders>
              <w:bottom w:val="single" w:sz="4" w:space="0" w:color="auto"/>
            </w:tcBorders>
          </w:tcPr>
          <w:p w14:paraId="1B006E90" w14:textId="77777777" w:rsidR="00374F31" w:rsidRPr="0093000C" w:rsidRDefault="00374F31" w:rsidP="00374F31">
            <w:pPr>
              <w:jc w:val="both"/>
              <w:rPr>
                <w:b/>
                <w:bCs/>
                <w:sz w:val="20"/>
                <w:szCs w:val="20"/>
              </w:rPr>
            </w:pPr>
            <w:r w:rsidRPr="0093000C">
              <w:rPr>
                <w:b/>
                <w:bCs/>
                <w:sz w:val="20"/>
                <w:szCs w:val="20"/>
              </w:rPr>
              <w:t>Operational needs</w:t>
            </w:r>
          </w:p>
        </w:tc>
        <w:tc>
          <w:tcPr>
            <w:tcW w:w="7376" w:type="dxa"/>
            <w:tcBorders>
              <w:bottom w:val="single" w:sz="4" w:space="0" w:color="auto"/>
            </w:tcBorders>
          </w:tcPr>
          <w:p w14:paraId="7A9E5730" w14:textId="75FB3A2A" w:rsidR="00374F31" w:rsidRDefault="00D64C25" w:rsidP="00374F31">
            <w:pPr>
              <w:rPr>
                <w:sz w:val="20"/>
                <w:szCs w:val="20"/>
              </w:rPr>
            </w:pPr>
            <w:r>
              <w:rPr>
                <w:rStyle w:val="normaltextrun"/>
                <w:rFonts w:ascii="Aptos" w:hAnsi="Aptos"/>
                <w:color w:val="A02B93"/>
                <w:sz w:val="20"/>
                <w:szCs w:val="20"/>
                <w:shd w:val="clear" w:color="auto" w:fill="FFFFFF"/>
                <w:lang w:val="en-GB"/>
              </w:rPr>
              <w:t xml:space="preserve">$90,000 </w:t>
            </w:r>
            <w:r>
              <w:rPr>
                <w:rStyle w:val="normaltextrun"/>
                <w:rFonts w:ascii="Aptos" w:hAnsi="Aptos"/>
                <w:color w:val="156082"/>
                <w:sz w:val="20"/>
                <w:szCs w:val="20"/>
                <w:shd w:val="clear" w:color="auto" w:fill="FFFFFF"/>
                <w:lang w:val="en-GB"/>
              </w:rPr>
              <w:t>annually to provide $30,000 grants to small organisations for participation and access; $2,000 annually per lab for collaborative software tools and subscriptions</w:t>
            </w:r>
          </w:p>
        </w:tc>
      </w:tr>
    </w:tbl>
    <w:p w14:paraId="52F5ADE9" w14:textId="2D2E1F10" w:rsidR="006A2B05" w:rsidRDefault="006A2B05" w:rsidP="006A2B05">
      <w:pPr>
        <w:rPr>
          <w:lang w:val="en-AU"/>
        </w:rPr>
      </w:pPr>
    </w:p>
    <w:p w14:paraId="0D0EC023" w14:textId="77777777" w:rsidR="007033B4" w:rsidRDefault="007033B4" w:rsidP="006A2B05">
      <w:pPr>
        <w:rPr>
          <w:lang w:val="en-AU"/>
        </w:rPr>
      </w:pPr>
    </w:p>
    <w:p w14:paraId="7ECB741E" w14:textId="77777777" w:rsidR="007033B4" w:rsidRDefault="007033B4" w:rsidP="006A2B05">
      <w:pPr>
        <w:rPr>
          <w:lang w:val="en-AU"/>
        </w:rPr>
      </w:pPr>
    </w:p>
    <w:p w14:paraId="54ED6D8B" w14:textId="77777777" w:rsidR="007033B4" w:rsidRDefault="007033B4" w:rsidP="006A2B05">
      <w:pPr>
        <w:rPr>
          <w:lang w:val="en-AU"/>
        </w:rPr>
      </w:pPr>
    </w:p>
    <w:p w14:paraId="419499D6" w14:textId="77777777" w:rsidR="007033B4" w:rsidRDefault="007033B4" w:rsidP="006A2B05">
      <w:pPr>
        <w:rPr>
          <w:lang w:val="en-AU"/>
        </w:rPr>
      </w:pPr>
    </w:p>
    <w:p w14:paraId="453D0AF1" w14:textId="77777777" w:rsidR="007033B4" w:rsidRDefault="007033B4" w:rsidP="006A2B05">
      <w:pPr>
        <w:rPr>
          <w:lang w:val="en-AU"/>
        </w:rPr>
      </w:pPr>
    </w:p>
    <w:tbl>
      <w:tblPr>
        <w:tblW w:w="9016" w:type="dxa"/>
        <w:tblLook w:val="04A0" w:firstRow="1" w:lastRow="0" w:firstColumn="1" w:lastColumn="0" w:noHBand="0" w:noVBand="1"/>
      </w:tblPr>
      <w:tblGrid>
        <w:gridCol w:w="2830"/>
        <w:gridCol w:w="2953"/>
        <w:gridCol w:w="3233"/>
      </w:tblGrid>
      <w:tr w:rsidR="00E027D8" w:rsidRPr="00E027D8" w14:paraId="5A929BF7" w14:textId="77777777" w:rsidTr="00E027D8">
        <w:trPr>
          <w:trHeight w:val="902"/>
        </w:trPr>
        <w:tc>
          <w:tcPr>
            <w:tcW w:w="2830" w:type="dxa"/>
            <w:tcBorders>
              <w:top w:val="single" w:sz="4" w:space="0" w:color="auto"/>
              <w:left w:val="single" w:sz="4" w:space="0" w:color="auto"/>
              <w:bottom w:val="single" w:sz="4" w:space="0" w:color="auto"/>
              <w:right w:val="single" w:sz="4" w:space="0" w:color="auto"/>
            </w:tcBorders>
            <w:shd w:val="clear" w:color="auto" w:fill="F2CEED" w:themeFill="accent5" w:themeFillTint="33"/>
            <w:vAlign w:val="center"/>
            <w:hideMark/>
          </w:tcPr>
          <w:p w14:paraId="757ADB58" w14:textId="77777777" w:rsidR="00E027D8" w:rsidRPr="00E027D8" w:rsidRDefault="00E027D8" w:rsidP="00E027D8">
            <w:pPr>
              <w:spacing w:after="0" w:line="240" w:lineRule="auto"/>
              <w:rPr>
                <w:rFonts w:ascii="Aptos" w:eastAsia="Times New Roman" w:hAnsi="Aptos" w:cs="Times New Roman"/>
                <w:b/>
                <w:bCs/>
                <w:color w:val="000000"/>
                <w:kern w:val="0"/>
                <w:sz w:val="22"/>
                <w:szCs w:val="22"/>
                <w:lang w:val="en-GB" w:eastAsia="en-GB"/>
                <w14:ligatures w14:val="none"/>
              </w:rPr>
            </w:pPr>
            <w:r w:rsidRPr="00E027D8">
              <w:rPr>
                <w:rFonts w:ascii="Aptos" w:eastAsia="Times New Roman" w:hAnsi="Aptos" w:cs="Times New Roman"/>
                <w:b/>
                <w:bCs/>
                <w:color w:val="000000"/>
                <w:kern w:val="0"/>
                <w:sz w:val="22"/>
                <w:szCs w:val="22"/>
                <w:lang w:val="en-GB" w:eastAsia="en-GB"/>
                <w14:ligatures w14:val="none"/>
              </w:rPr>
              <w:t xml:space="preserve">Category </w:t>
            </w:r>
          </w:p>
        </w:tc>
        <w:tc>
          <w:tcPr>
            <w:tcW w:w="2953" w:type="dxa"/>
            <w:tcBorders>
              <w:top w:val="single" w:sz="4" w:space="0" w:color="auto"/>
              <w:left w:val="nil"/>
              <w:bottom w:val="single" w:sz="4" w:space="0" w:color="auto"/>
              <w:right w:val="single" w:sz="4" w:space="0" w:color="auto"/>
            </w:tcBorders>
            <w:shd w:val="clear" w:color="auto" w:fill="F2CEED" w:themeFill="accent5" w:themeFillTint="33"/>
            <w:vAlign w:val="center"/>
            <w:hideMark/>
          </w:tcPr>
          <w:p w14:paraId="053DA819" w14:textId="77777777" w:rsidR="00E027D8" w:rsidRPr="00E027D8" w:rsidRDefault="00E027D8" w:rsidP="00E027D8">
            <w:pPr>
              <w:spacing w:after="0" w:line="240" w:lineRule="auto"/>
              <w:rPr>
                <w:rFonts w:ascii="Aptos" w:eastAsia="Times New Roman" w:hAnsi="Aptos" w:cs="Times New Roman"/>
                <w:b/>
                <w:bCs/>
                <w:color w:val="000000"/>
                <w:kern w:val="0"/>
                <w:sz w:val="22"/>
                <w:szCs w:val="22"/>
                <w:lang w:val="en-GB" w:eastAsia="en-GB"/>
                <w14:ligatures w14:val="none"/>
              </w:rPr>
            </w:pPr>
            <w:r w:rsidRPr="00E027D8">
              <w:rPr>
                <w:rFonts w:ascii="Aptos" w:eastAsia="Times New Roman" w:hAnsi="Aptos" w:cs="Times New Roman"/>
                <w:b/>
                <w:bCs/>
                <w:color w:val="000000"/>
                <w:kern w:val="0"/>
                <w:sz w:val="22"/>
                <w:szCs w:val="22"/>
                <w:lang w:val="en-GB" w:eastAsia="en-GB"/>
                <w14:ligatures w14:val="none"/>
              </w:rPr>
              <w:t>Direct Costs by category</w:t>
            </w:r>
          </w:p>
        </w:tc>
        <w:tc>
          <w:tcPr>
            <w:tcW w:w="3233" w:type="dxa"/>
            <w:tcBorders>
              <w:top w:val="single" w:sz="4" w:space="0" w:color="auto"/>
              <w:left w:val="nil"/>
              <w:bottom w:val="single" w:sz="4" w:space="0" w:color="auto"/>
              <w:right w:val="single" w:sz="4" w:space="0" w:color="auto"/>
            </w:tcBorders>
            <w:shd w:val="clear" w:color="auto" w:fill="F2CEED" w:themeFill="accent5" w:themeFillTint="33"/>
            <w:vAlign w:val="center"/>
            <w:hideMark/>
          </w:tcPr>
          <w:p w14:paraId="29667491" w14:textId="77777777" w:rsidR="00E027D8" w:rsidRPr="00E027D8" w:rsidRDefault="00E027D8" w:rsidP="00E027D8">
            <w:pPr>
              <w:spacing w:after="0" w:line="240" w:lineRule="auto"/>
              <w:rPr>
                <w:rFonts w:ascii="Aptos" w:eastAsia="Times New Roman" w:hAnsi="Aptos" w:cs="Times New Roman"/>
                <w:b/>
                <w:bCs/>
                <w:color w:val="000000"/>
                <w:kern w:val="0"/>
                <w:sz w:val="22"/>
                <w:szCs w:val="22"/>
                <w:lang w:val="en-GB" w:eastAsia="en-GB"/>
                <w14:ligatures w14:val="none"/>
              </w:rPr>
            </w:pPr>
            <w:r w:rsidRPr="00E027D8">
              <w:rPr>
                <w:rFonts w:ascii="Aptos" w:eastAsia="Times New Roman" w:hAnsi="Aptos" w:cs="Times New Roman"/>
                <w:b/>
                <w:bCs/>
                <w:color w:val="000000"/>
                <w:kern w:val="0"/>
                <w:sz w:val="22"/>
                <w:szCs w:val="22"/>
                <w:lang w:val="en-GB" w:eastAsia="en-GB"/>
                <w14:ligatures w14:val="none"/>
              </w:rPr>
              <w:t xml:space="preserve">Percentage of total direct costs </w:t>
            </w:r>
          </w:p>
        </w:tc>
      </w:tr>
      <w:tr w:rsidR="00E027D8" w:rsidRPr="00E027D8" w14:paraId="6F7986E0" w14:textId="77777777">
        <w:trPr>
          <w:trHeight w:val="301"/>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457642E6" w14:textId="77777777" w:rsidR="00E027D8" w:rsidRPr="00E027D8" w:rsidRDefault="00E027D8" w:rsidP="00E027D8">
            <w:pPr>
              <w:spacing w:after="0" w:line="240" w:lineRule="auto"/>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People</w:t>
            </w:r>
          </w:p>
        </w:tc>
        <w:tc>
          <w:tcPr>
            <w:tcW w:w="2953" w:type="dxa"/>
            <w:tcBorders>
              <w:top w:val="nil"/>
              <w:left w:val="nil"/>
              <w:bottom w:val="single" w:sz="4" w:space="0" w:color="auto"/>
              <w:right w:val="single" w:sz="4" w:space="0" w:color="auto"/>
            </w:tcBorders>
            <w:shd w:val="clear" w:color="auto" w:fill="auto"/>
            <w:noWrap/>
            <w:vAlign w:val="bottom"/>
            <w:hideMark/>
          </w:tcPr>
          <w:p w14:paraId="64F1482B" w14:textId="77777777" w:rsidR="00E027D8" w:rsidRPr="00E027D8" w:rsidRDefault="00E027D8" w:rsidP="00E027D8">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$3,109,568</w:t>
            </w:r>
          </w:p>
        </w:tc>
        <w:tc>
          <w:tcPr>
            <w:tcW w:w="3233" w:type="dxa"/>
            <w:tcBorders>
              <w:top w:val="nil"/>
              <w:left w:val="nil"/>
              <w:bottom w:val="single" w:sz="4" w:space="0" w:color="auto"/>
              <w:right w:val="single" w:sz="4" w:space="0" w:color="auto"/>
            </w:tcBorders>
            <w:shd w:val="clear" w:color="auto" w:fill="auto"/>
            <w:noWrap/>
            <w:vAlign w:val="bottom"/>
            <w:hideMark/>
          </w:tcPr>
          <w:p w14:paraId="176A98ED" w14:textId="77777777" w:rsidR="00E027D8" w:rsidRPr="00E027D8" w:rsidRDefault="00E027D8" w:rsidP="00E027D8">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69.96%</w:t>
            </w:r>
          </w:p>
        </w:tc>
      </w:tr>
      <w:tr w:rsidR="00E027D8" w:rsidRPr="00E027D8" w14:paraId="7DE8985B" w14:textId="77777777">
        <w:trPr>
          <w:trHeight w:val="301"/>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43823DB" w14:textId="77777777" w:rsidR="00E027D8" w:rsidRPr="00E027D8" w:rsidRDefault="00E027D8" w:rsidP="00E027D8">
            <w:pPr>
              <w:spacing w:after="0" w:line="240" w:lineRule="auto"/>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 xml:space="preserve">Contracts </w:t>
            </w:r>
          </w:p>
        </w:tc>
        <w:tc>
          <w:tcPr>
            <w:tcW w:w="2953" w:type="dxa"/>
            <w:tcBorders>
              <w:top w:val="nil"/>
              <w:left w:val="nil"/>
              <w:bottom w:val="single" w:sz="4" w:space="0" w:color="auto"/>
              <w:right w:val="single" w:sz="4" w:space="0" w:color="auto"/>
            </w:tcBorders>
            <w:shd w:val="clear" w:color="auto" w:fill="auto"/>
            <w:noWrap/>
            <w:vAlign w:val="bottom"/>
            <w:hideMark/>
          </w:tcPr>
          <w:p w14:paraId="18C4525E" w14:textId="77777777" w:rsidR="00E027D8" w:rsidRPr="00E027D8" w:rsidRDefault="00E027D8" w:rsidP="00E027D8">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$814,500</w:t>
            </w:r>
          </w:p>
        </w:tc>
        <w:tc>
          <w:tcPr>
            <w:tcW w:w="3233" w:type="dxa"/>
            <w:tcBorders>
              <w:top w:val="nil"/>
              <w:left w:val="nil"/>
              <w:bottom w:val="single" w:sz="4" w:space="0" w:color="auto"/>
              <w:right w:val="single" w:sz="4" w:space="0" w:color="auto"/>
            </w:tcBorders>
            <w:shd w:val="clear" w:color="auto" w:fill="auto"/>
            <w:noWrap/>
            <w:vAlign w:val="bottom"/>
            <w:hideMark/>
          </w:tcPr>
          <w:p w14:paraId="3E989067" w14:textId="77777777" w:rsidR="00E027D8" w:rsidRPr="00E027D8" w:rsidRDefault="00E027D8" w:rsidP="00E027D8">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18.32%</w:t>
            </w:r>
          </w:p>
        </w:tc>
      </w:tr>
      <w:tr w:rsidR="00E027D8" w:rsidRPr="00E027D8" w14:paraId="0725B6F0" w14:textId="77777777">
        <w:trPr>
          <w:trHeight w:val="301"/>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F29CC33" w14:textId="77777777" w:rsidR="00E027D8" w:rsidRPr="00E027D8" w:rsidRDefault="00E027D8" w:rsidP="00E027D8">
            <w:pPr>
              <w:spacing w:after="0" w:line="240" w:lineRule="auto"/>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 xml:space="preserve">Tools </w:t>
            </w:r>
          </w:p>
        </w:tc>
        <w:tc>
          <w:tcPr>
            <w:tcW w:w="2953" w:type="dxa"/>
            <w:tcBorders>
              <w:top w:val="nil"/>
              <w:left w:val="nil"/>
              <w:bottom w:val="single" w:sz="4" w:space="0" w:color="auto"/>
              <w:right w:val="single" w:sz="4" w:space="0" w:color="auto"/>
            </w:tcBorders>
            <w:shd w:val="clear" w:color="auto" w:fill="auto"/>
            <w:noWrap/>
            <w:vAlign w:val="bottom"/>
            <w:hideMark/>
          </w:tcPr>
          <w:p w14:paraId="618BA528" w14:textId="77777777" w:rsidR="00E027D8" w:rsidRPr="00E027D8" w:rsidRDefault="00E027D8" w:rsidP="00E027D8">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$44,300</w:t>
            </w:r>
          </w:p>
        </w:tc>
        <w:tc>
          <w:tcPr>
            <w:tcW w:w="3233" w:type="dxa"/>
            <w:tcBorders>
              <w:top w:val="nil"/>
              <w:left w:val="nil"/>
              <w:bottom w:val="single" w:sz="4" w:space="0" w:color="auto"/>
              <w:right w:val="single" w:sz="4" w:space="0" w:color="auto"/>
            </w:tcBorders>
            <w:shd w:val="clear" w:color="auto" w:fill="auto"/>
            <w:noWrap/>
            <w:vAlign w:val="bottom"/>
            <w:hideMark/>
          </w:tcPr>
          <w:p w14:paraId="454BC733" w14:textId="77777777" w:rsidR="00E027D8" w:rsidRPr="00E027D8" w:rsidRDefault="00E027D8" w:rsidP="00E027D8">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1.00%</w:t>
            </w:r>
          </w:p>
        </w:tc>
      </w:tr>
      <w:tr w:rsidR="00E027D8" w:rsidRPr="00E027D8" w14:paraId="766391D0" w14:textId="77777777">
        <w:trPr>
          <w:trHeight w:val="301"/>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4CE7CCA2" w14:textId="77777777" w:rsidR="00E027D8" w:rsidRPr="00E027D8" w:rsidRDefault="00E027D8" w:rsidP="00E027D8">
            <w:pPr>
              <w:spacing w:after="0" w:line="240" w:lineRule="auto"/>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 xml:space="preserve">Training event attendance </w:t>
            </w:r>
          </w:p>
        </w:tc>
        <w:tc>
          <w:tcPr>
            <w:tcW w:w="2953" w:type="dxa"/>
            <w:tcBorders>
              <w:top w:val="nil"/>
              <w:left w:val="nil"/>
              <w:bottom w:val="single" w:sz="4" w:space="0" w:color="auto"/>
              <w:right w:val="single" w:sz="4" w:space="0" w:color="auto"/>
            </w:tcBorders>
            <w:shd w:val="clear" w:color="auto" w:fill="auto"/>
            <w:noWrap/>
            <w:vAlign w:val="bottom"/>
            <w:hideMark/>
          </w:tcPr>
          <w:p w14:paraId="73A24C93" w14:textId="77777777" w:rsidR="00E027D8" w:rsidRPr="00E027D8" w:rsidRDefault="00E027D8" w:rsidP="00E027D8">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$70,000</w:t>
            </w:r>
          </w:p>
        </w:tc>
        <w:tc>
          <w:tcPr>
            <w:tcW w:w="3233" w:type="dxa"/>
            <w:tcBorders>
              <w:top w:val="nil"/>
              <w:left w:val="nil"/>
              <w:bottom w:val="single" w:sz="4" w:space="0" w:color="auto"/>
              <w:right w:val="single" w:sz="4" w:space="0" w:color="auto"/>
            </w:tcBorders>
            <w:shd w:val="clear" w:color="auto" w:fill="auto"/>
            <w:noWrap/>
            <w:vAlign w:val="bottom"/>
            <w:hideMark/>
          </w:tcPr>
          <w:p w14:paraId="3460888E" w14:textId="77777777" w:rsidR="00E027D8" w:rsidRPr="00E027D8" w:rsidRDefault="00E027D8" w:rsidP="00E027D8">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1.57%</w:t>
            </w:r>
          </w:p>
        </w:tc>
      </w:tr>
      <w:tr w:rsidR="00E027D8" w:rsidRPr="00E027D8" w14:paraId="32ED68CC" w14:textId="77777777">
        <w:trPr>
          <w:trHeight w:val="301"/>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4DDDDC8" w14:textId="77777777" w:rsidR="00E027D8" w:rsidRPr="00E027D8" w:rsidRDefault="00E027D8" w:rsidP="00E027D8">
            <w:pPr>
              <w:spacing w:after="0" w:line="240" w:lineRule="auto"/>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 xml:space="preserve">Citizen engagement </w:t>
            </w:r>
          </w:p>
        </w:tc>
        <w:tc>
          <w:tcPr>
            <w:tcW w:w="2953" w:type="dxa"/>
            <w:tcBorders>
              <w:top w:val="nil"/>
              <w:left w:val="nil"/>
              <w:bottom w:val="single" w:sz="4" w:space="0" w:color="auto"/>
              <w:right w:val="single" w:sz="4" w:space="0" w:color="auto"/>
            </w:tcBorders>
            <w:shd w:val="clear" w:color="auto" w:fill="auto"/>
            <w:noWrap/>
            <w:vAlign w:val="bottom"/>
            <w:hideMark/>
          </w:tcPr>
          <w:p w14:paraId="2E92405D" w14:textId="77777777" w:rsidR="00E027D8" w:rsidRPr="00E027D8" w:rsidRDefault="00E027D8" w:rsidP="00E027D8">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$85,500</w:t>
            </w:r>
          </w:p>
        </w:tc>
        <w:tc>
          <w:tcPr>
            <w:tcW w:w="3233" w:type="dxa"/>
            <w:tcBorders>
              <w:top w:val="nil"/>
              <w:left w:val="nil"/>
              <w:bottom w:val="single" w:sz="4" w:space="0" w:color="auto"/>
              <w:right w:val="single" w:sz="4" w:space="0" w:color="auto"/>
            </w:tcBorders>
            <w:shd w:val="clear" w:color="auto" w:fill="auto"/>
            <w:noWrap/>
            <w:vAlign w:val="bottom"/>
            <w:hideMark/>
          </w:tcPr>
          <w:p w14:paraId="3BBBE92E" w14:textId="77777777" w:rsidR="00E027D8" w:rsidRPr="00E027D8" w:rsidRDefault="00E027D8" w:rsidP="00E027D8">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1.92%</w:t>
            </w:r>
          </w:p>
        </w:tc>
      </w:tr>
      <w:tr w:rsidR="00E027D8" w:rsidRPr="00E027D8" w14:paraId="774B33A3" w14:textId="77777777">
        <w:trPr>
          <w:trHeight w:val="301"/>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8DA20D7" w14:textId="77777777" w:rsidR="00E027D8" w:rsidRPr="00E027D8" w:rsidRDefault="00E027D8" w:rsidP="00E027D8">
            <w:pPr>
              <w:spacing w:after="0" w:line="240" w:lineRule="auto"/>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Travel</w:t>
            </w:r>
          </w:p>
        </w:tc>
        <w:tc>
          <w:tcPr>
            <w:tcW w:w="2953" w:type="dxa"/>
            <w:tcBorders>
              <w:top w:val="nil"/>
              <w:left w:val="nil"/>
              <w:bottom w:val="single" w:sz="4" w:space="0" w:color="auto"/>
              <w:right w:val="single" w:sz="4" w:space="0" w:color="auto"/>
            </w:tcBorders>
            <w:shd w:val="clear" w:color="auto" w:fill="auto"/>
            <w:noWrap/>
            <w:vAlign w:val="bottom"/>
            <w:hideMark/>
          </w:tcPr>
          <w:p w14:paraId="432AC3ED" w14:textId="77777777" w:rsidR="00E027D8" w:rsidRPr="00E027D8" w:rsidRDefault="00E027D8" w:rsidP="00E027D8">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$171,000</w:t>
            </w:r>
          </w:p>
        </w:tc>
        <w:tc>
          <w:tcPr>
            <w:tcW w:w="3233" w:type="dxa"/>
            <w:tcBorders>
              <w:top w:val="nil"/>
              <w:left w:val="nil"/>
              <w:bottom w:val="single" w:sz="4" w:space="0" w:color="auto"/>
              <w:right w:val="single" w:sz="4" w:space="0" w:color="auto"/>
            </w:tcBorders>
            <w:shd w:val="clear" w:color="auto" w:fill="auto"/>
            <w:noWrap/>
            <w:vAlign w:val="bottom"/>
            <w:hideMark/>
          </w:tcPr>
          <w:p w14:paraId="5AAB438C" w14:textId="77777777" w:rsidR="00E027D8" w:rsidRPr="00E027D8" w:rsidRDefault="00E027D8" w:rsidP="00E027D8">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3.85%</w:t>
            </w:r>
          </w:p>
        </w:tc>
      </w:tr>
      <w:tr w:rsidR="00E027D8" w:rsidRPr="00E027D8" w14:paraId="19C12DF3" w14:textId="77777777">
        <w:trPr>
          <w:trHeight w:val="301"/>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1B08F5FE" w14:textId="77777777" w:rsidR="00E027D8" w:rsidRPr="00E027D8" w:rsidRDefault="00E027D8" w:rsidP="00E027D8">
            <w:pPr>
              <w:spacing w:after="0" w:line="240" w:lineRule="auto"/>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Dissemination</w:t>
            </w:r>
          </w:p>
        </w:tc>
        <w:tc>
          <w:tcPr>
            <w:tcW w:w="2953" w:type="dxa"/>
            <w:tcBorders>
              <w:top w:val="nil"/>
              <w:left w:val="nil"/>
              <w:bottom w:val="single" w:sz="4" w:space="0" w:color="auto"/>
              <w:right w:val="single" w:sz="4" w:space="0" w:color="auto"/>
            </w:tcBorders>
            <w:shd w:val="clear" w:color="auto" w:fill="auto"/>
            <w:noWrap/>
            <w:vAlign w:val="bottom"/>
            <w:hideMark/>
          </w:tcPr>
          <w:p w14:paraId="41D1DBD4" w14:textId="77777777" w:rsidR="00E027D8" w:rsidRPr="00E027D8" w:rsidRDefault="00E027D8" w:rsidP="00E027D8">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$150,000</w:t>
            </w:r>
          </w:p>
        </w:tc>
        <w:tc>
          <w:tcPr>
            <w:tcW w:w="3233" w:type="dxa"/>
            <w:tcBorders>
              <w:top w:val="nil"/>
              <w:left w:val="nil"/>
              <w:bottom w:val="single" w:sz="4" w:space="0" w:color="auto"/>
              <w:right w:val="single" w:sz="4" w:space="0" w:color="auto"/>
            </w:tcBorders>
            <w:shd w:val="clear" w:color="auto" w:fill="auto"/>
            <w:noWrap/>
            <w:vAlign w:val="bottom"/>
            <w:hideMark/>
          </w:tcPr>
          <w:p w14:paraId="2AEB2397" w14:textId="77777777" w:rsidR="00E027D8" w:rsidRPr="00E027D8" w:rsidRDefault="00E027D8" w:rsidP="00E027D8">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3.37%</w:t>
            </w:r>
          </w:p>
        </w:tc>
      </w:tr>
      <w:tr w:rsidR="00E027D8" w:rsidRPr="00E027D8" w14:paraId="55E26E91" w14:textId="77777777">
        <w:trPr>
          <w:trHeight w:val="301"/>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30C91CE" w14:textId="77777777" w:rsidR="00E027D8" w:rsidRPr="00E027D8" w:rsidRDefault="00E027D8" w:rsidP="00E027D8">
            <w:pPr>
              <w:spacing w:after="0" w:line="240" w:lineRule="auto"/>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 xml:space="preserve">Other </w:t>
            </w:r>
          </w:p>
        </w:tc>
        <w:tc>
          <w:tcPr>
            <w:tcW w:w="2953" w:type="dxa"/>
            <w:tcBorders>
              <w:top w:val="nil"/>
              <w:left w:val="nil"/>
              <w:bottom w:val="single" w:sz="4" w:space="0" w:color="auto"/>
              <w:right w:val="single" w:sz="4" w:space="0" w:color="auto"/>
            </w:tcBorders>
            <w:shd w:val="clear" w:color="auto" w:fill="auto"/>
            <w:noWrap/>
            <w:vAlign w:val="bottom"/>
            <w:hideMark/>
          </w:tcPr>
          <w:p w14:paraId="34424D19" w14:textId="77777777" w:rsidR="00E027D8" w:rsidRPr="00E027D8" w:rsidRDefault="00E027D8" w:rsidP="00E027D8">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$0</w:t>
            </w:r>
          </w:p>
        </w:tc>
        <w:tc>
          <w:tcPr>
            <w:tcW w:w="3233" w:type="dxa"/>
            <w:tcBorders>
              <w:top w:val="nil"/>
              <w:left w:val="nil"/>
              <w:bottom w:val="single" w:sz="4" w:space="0" w:color="auto"/>
              <w:right w:val="single" w:sz="4" w:space="0" w:color="auto"/>
            </w:tcBorders>
            <w:shd w:val="clear" w:color="auto" w:fill="auto"/>
            <w:noWrap/>
            <w:vAlign w:val="bottom"/>
            <w:hideMark/>
          </w:tcPr>
          <w:p w14:paraId="6E9499F0" w14:textId="77777777" w:rsidR="00E027D8" w:rsidRPr="00E027D8" w:rsidRDefault="00E027D8" w:rsidP="00E027D8">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0.00%</w:t>
            </w:r>
          </w:p>
        </w:tc>
      </w:tr>
      <w:tr w:rsidR="00E027D8" w:rsidRPr="00E027D8" w14:paraId="3882A3AF" w14:textId="77777777">
        <w:trPr>
          <w:trHeight w:val="301"/>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AB89D8B" w14:textId="77777777" w:rsidR="00E027D8" w:rsidRPr="00E027D8" w:rsidRDefault="00E027D8" w:rsidP="00E027D8">
            <w:pPr>
              <w:spacing w:after="0" w:line="240" w:lineRule="auto"/>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 xml:space="preserve">Total direct costs </w:t>
            </w:r>
          </w:p>
        </w:tc>
        <w:tc>
          <w:tcPr>
            <w:tcW w:w="2953" w:type="dxa"/>
            <w:tcBorders>
              <w:top w:val="nil"/>
              <w:left w:val="nil"/>
              <w:bottom w:val="single" w:sz="4" w:space="0" w:color="auto"/>
              <w:right w:val="single" w:sz="4" w:space="0" w:color="auto"/>
            </w:tcBorders>
            <w:shd w:val="clear" w:color="auto" w:fill="auto"/>
            <w:noWrap/>
            <w:vAlign w:val="bottom"/>
            <w:hideMark/>
          </w:tcPr>
          <w:p w14:paraId="4780DAC7" w14:textId="77777777" w:rsidR="00E027D8" w:rsidRPr="00E027D8" w:rsidRDefault="00E027D8" w:rsidP="00E027D8">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$4,444,868</w:t>
            </w:r>
          </w:p>
        </w:tc>
        <w:tc>
          <w:tcPr>
            <w:tcW w:w="3233" w:type="dxa"/>
            <w:tcBorders>
              <w:top w:val="nil"/>
              <w:left w:val="nil"/>
              <w:bottom w:val="single" w:sz="4" w:space="0" w:color="auto"/>
              <w:right w:val="single" w:sz="4" w:space="0" w:color="auto"/>
            </w:tcBorders>
            <w:shd w:val="clear" w:color="auto" w:fill="auto"/>
            <w:noWrap/>
            <w:vAlign w:val="bottom"/>
            <w:hideMark/>
          </w:tcPr>
          <w:p w14:paraId="3555D2BE" w14:textId="77777777" w:rsidR="00E027D8" w:rsidRPr="00E027D8" w:rsidRDefault="00E027D8" w:rsidP="00E027D8">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100.00%</w:t>
            </w:r>
          </w:p>
        </w:tc>
      </w:tr>
      <w:tr w:rsidR="00E027D8" w:rsidRPr="00E027D8" w14:paraId="6D5FD8B3" w14:textId="77777777">
        <w:trPr>
          <w:trHeight w:val="301"/>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6CE3031" w14:textId="77777777" w:rsidR="00E027D8" w:rsidRPr="00E027D8" w:rsidRDefault="00E027D8" w:rsidP="00E027D8">
            <w:pPr>
              <w:spacing w:after="0" w:line="240" w:lineRule="auto"/>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 xml:space="preserve">Grand total with 20% overheads </w:t>
            </w:r>
          </w:p>
        </w:tc>
        <w:tc>
          <w:tcPr>
            <w:tcW w:w="2953" w:type="dxa"/>
            <w:tcBorders>
              <w:top w:val="nil"/>
              <w:left w:val="nil"/>
              <w:bottom w:val="single" w:sz="4" w:space="0" w:color="auto"/>
              <w:right w:val="single" w:sz="4" w:space="0" w:color="auto"/>
            </w:tcBorders>
            <w:shd w:val="clear" w:color="auto" w:fill="auto"/>
            <w:noWrap/>
            <w:vAlign w:val="bottom"/>
            <w:hideMark/>
          </w:tcPr>
          <w:p w14:paraId="2F1B8372" w14:textId="77777777" w:rsidR="00E027D8" w:rsidRPr="00E027D8" w:rsidRDefault="00E027D8" w:rsidP="00E027D8">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$5,333,842</w:t>
            </w:r>
          </w:p>
        </w:tc>
        <w:tc>
          <w:tcPr>
            <w:tcW w:w="3233" w:type="dxa"/>
            <w:tcBorders>
              <w:top w:val="nil"/>
              <w:left w:val="nil"/>
              <w:bottom w:val="single" w:sz="4" w:space="0" w:color="auto"/>
              <w:right w:val="single" w:sz="4" w:space="0" w:color="auto"/>
            </w:tcBorders>
            <w:shd w:val="clear" w:color="auto" w:fill="auto"/>
            <w:noWrap/>
            <w:vAlign w:val="bottom"/>
            <w:hideMark/>
          </w:tcPr>
          <w:p w14:paraId="4D8E765E" w14:textId="77777777" w:rsidR="00E027D8" w:rsidRPr="00E027D8" w:rsidRDefault="00E027D8" w:rsidP="00E027D8">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E027D8">
              <w:rPr>
                <w:rFonts w:ascii="Aptos Narrow" w:eastAsia="Times New Roman" w:hAnsi="Aptos Narrow" w:cs="Times New Roman"/>
                <w:color w:val="000000"/>
                <w:kern w:val="0"/>
                <w:sz w:val="22"/>
                <w:szCs w:val="22"/>
                <w:lang w:val="en-GB" w:eastAsia="en-GB"/>
                <w14:ligatures w14:val="none"/>
              </w:rPr>
              <w:t> </w:t>
            </w:r>
          </w:p>
        </w:tc>
      </w:tr>
    </w:tbl>
    <w:p w14:paraId="67AC82D7" w14:textId="77777777" w:rsidR="006A2B05" w:rsidRDefault="006A2B05">
      <w:pPr>
        <w:rPr>
          <w:rStyle w:val="Heading1Char"/>
        </w:rPr>
      </w:pPr>
      <w:r>
        <w:rPr>
          <w:rStyle w:val="Heading1Char"/>
        </w:rPr>
        <w:br w:type="page"/>
      </w:r>
    </w:p>
    <w:p w14:paraId="5A395F9F" w14:textId="00F8E66D" w:rsidR="003F58C2" w:rsidRPr="003F58C2" w:rsidRDefault="00C24987">
      <w:pPr>
        <w:rPr>
          <w:rFonts w:asciiTheme="majorHAnsi" w:eastAsiaTheme="majorEastAsia" w:hAnsiTheme="majorHAnsi" w:cstheme="majorBidi"/>
          <w:color w:val="0F4761" w:themeColor="accent1" w:themeShade="BF"/>
          <w:sz w:val="40"/>
          <w:szCs w:val="40"/>
        </w:rPr>
      </w:pPr>
      <w:r>
        <w:rPr>
          <w:rStyle w:val="Heading1Char"/>
        </w:rPr>
        <w:lastRenderedPageBreak/>
        <w:t xml:space="preserve"> </w:t>
      </w:r>
      <w:r w:rsidR="003F58C2" w:rsidRPr="003F58C2">
        <w:rPr>
          <w:rStyle w:val="Heading1Char"/>
        </w:rPr>
        <w:t>Option 4A: A global digital repository to capture priority policy questions and related information</w:t>
      </w:r>
      <w:r w:rsidR="00AB73CC">
        <w:rPr>
          <w:rStyle w:val="Heading1Char"/>
        </w:rPr>
        <w:t>: $3.6m</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2122"/>
        <w:gridCol w:w="3688"/>
        <w:gridCol w:w="3688"/>
      </w:tblGrid>
      <w:tr w:rsidR="00762BD8" w:rsidRPr="00A855E9" w14:paraId="09166A28" w14:textId="77777777" w:rsidTr="550DC08A">
        <w:tc>
          <w:tcPr>
            <w:tcW w:w="9498" w:type="dxa"/>
            <w:gridSpan w:val="3"/>
            <w:shd w:val="clear" w:color="auto" w:fill="DEF1FA"/>
          </w:tcPr>
          <w:p w14:paraId="0F611163" w14:textId="4821D02A" w:rsidR="009C2E9B" w:rsidRPr="00A855E9" w:rsidRDefault="00616880" w:rsidP="005F1361">
            <w:pPr>
              <w:spacing w:after="120"/>
              <w:rPr>
                <w:color w:val="0F4761" w:themeColor="accent1" w:themeShade="BF"/>
                <w:sz w:val="22"/>
                <w:szCs w:val="22"/>
              </w:rPr>
            </w:pPr>
            <w:r w:rsidRPr="00A855E9">
              <w:rPr>
                <w:color w:val="0F4761" w:themeColor="accent1" w:themeShade="BF"/>
                <w:sz w:val="22"/>
                <w:szCs w:val="22"/>
              </w:rPr>
              <w:t>A global digital repository to capture priority policy questions and related information from end-users.</w:t>
            </w:r>
            <w:r w:rsidR="009C2E9B" w:rsidRPr="00A855E9">
              <w:rPr>
                <w:color w:val="0F4761" w:themeColor="accent1" w:themeShade="BF"/>
                <w:sz w:val="22"/>
                <w:szCs w:val="22"/>
              </w:rPr>
              <w:t xml:space="preserve"> </w:t>
            </w:r>
            <w:r w:rsidRPr="00A855E9">
              <w:rPr>
                <w:color w:val="0F4761" w:themeColor="accent1" w:themeShade="BF"/>
                <w:sz w:val="22"/>
                <w:szCs w:val="22"/>
              </w:rPr>
              <w:t>The repository will identify unifying themes across jurisdictions, focusing on 'big questions' faced by multiple</w:t>
            </w:r>
            <w:r w:rsidR="005F1361" w:rsidRPr="00A855E9">
              <w:rPr>
                <w:color w:val="0F4761" w:themeColor="accent1" w:themeShade="BF"/>
                <w:sz w:val="22"/>
                <w:szCs w:val="22"/>
              </w:rPr>
              <w:t xml:space="preserve"> </w:t>
            </w:r>
            <w:r w:rsidRPr="00A855E9">
              <w:rPr>
                <w:color w:val="0F4761" w:themeColor="accent1" w:themeShade="BF"/>
                <w:sz w:val="22"/>
                <w:szCs w:val="22"/>
              </w:rPr>
              <w:t xml:space="preserve">actors worldwide. It will align with evidence synthesis efforts to reduce duplication and unify actions addressing these global challenges. </w:t>
            </w:r>
          </w:p>
          <w:p w14:paraId="47970E8F" w14:textId="105C63A3" w:rsidR="00762BD8" w:rsidRPr="00A855E9" w:rsidRDefault="00616880" w:rsidP="005F1361">
            <w:pPr>
              <w:spacing w:after="120"/>
              <w:rPr>
                <w:color w:val="0F4761" w:themeColor="accent1" w:themeShade="BF"/>
                <w:sz w:val="22"/>
                <w:szCs w:val="22"/>
              </w:rPr>
            </w:pPr>
            <w:r w:rsidRPr="00A855E9">
              <w:rPr>
                <w:color w:val="0F4761" w:themeColor="accent1" w:themeShade="BF"/>
                <w:sz w:val="22"/>
                <w:szCs w:val="22"/>
              </w:rPr>
              <w:t>Functions include: Facilitate the submission, curation, and refinement of policy-relevant questions from diverse stakeholders; Enable prioritisation through transparent, criteria-based processes, potentially enhanced with AI tools; Link repository questions to synthesis outputs and ongoing evidence initiatives. Promote visibility of cross-sector and cross-regional evidence needs; Support co-development processes with demand-side actors to ensure relevance and legitimacy; Offer limited evidence mapping services; Begin identifying more local and unique challenges where regional efforts are preferred to global reviews</w:t>
            </w:r>
            <w:r w:rsidR="00BD41F1">
              <w:rPr>
                <w:color w:val="0F4761" w:themeColor="accent1" w:themeShade="BF"/>
                <w:sz w:val="22"/>
                <w:szCs w:val="22"/>
              </w:rPr>
              <w:t xml:space="preserve">; </w:t>
            </w:r>
            <w:r w:rsidR="00BD41F1" w:rsidRPr="00BD41F1">
              <w:rPr>
                <w:color w:val="0F4761" w:themeColor="accent1" w:themeShade="BF"/>
                <w:sz w:val="22"/>
                <w:szCs w:val="22"/>
              </w:rPr>
              <w:t>scanning of review-based govt tenders and opportunities</w:t>
            </w:r>
          </w:p>
        </w:tc>
      </w:tr>
      <w:tr w:rsidR="00762BD8" w14:paraId="7ADF59AF" w14:textId="77777777" w:rsidTr="550DC08A">
        <w:tc>
          <w:tcPr>
            <w:tcW w:w="2122" w:type="dxa"/>
          </w:tcPr>
          <w:p w14:paraId="5742CF26" w14:textId="77777777" w:rsidR="00762BD8" w:rsidRPr="0093000C" w:rsidRDefault="00762BD8" w:rsidP="00943858">
            <w:pPr>
              <w:ind w:left="2160" w:hanging="2160"/>
              <w:jc w:val="both"/>
              <w:rPr>
                <w:b/>
                <w:bCs/>
                <w:sz w:val="20"/>
                <w:szCs w:val="20"/>
              </w:rPr>
            </w:pPr>
          </w:p>
        </w:tc>
        <w:tc>
          <w:tcPr>
            <w:tcW w:w="7376" w:type="dxa"/>
            <w:gridSpan w:val="2"/>
          </w:tcPr>
          <w:p w14:paraId="3911CC82" w14:textId="77777777" w:rsidR="00762BD8" w:rsidRDefault="00762BD8" w:rsidP="00943858">
            <w:pPr>
              <w:rPr>
                <w:sz w:val="20"/>
                <w:szCs w:val="20"/>
              </w:rPr>
            </w:pPr>
          </w:p>
        </w:tc>
      </w:tr>
      <w:tr w:rsidR="006449E1" w14:paraId="5F3DF692" w14:textId="77777777" w:rsidTr="550DC08A">
        <w:tc>
          <w:tcPr>
            <w:tcW w:w="2122" w:type="dxa"/>
          </w:tcPr>
          <w:p w14:paraId="3BF32AB7" w14:textId="77777777" w:rsidR="006449E1" w:rsidRPr="0093000C" w:rsidRDefault="006449E1" w:rsidP="00943858">
            <w:pPr>
              <w:ind w:left="2160" w:hanging="2160"/>
              <w:jc w:val="both"/>
              <w:rPr>
                <w:b/>
                <w:bCs/>
                <w:sz w:val="20"/>
                <w:szCs w:val="20"/>
              </w:rPr>
            </w:pPr>
            <w:r w:rsidRPr="0093000C">
              <w:rPr>
                <w:b/>
                <w:bCs/>
                <w:sz w:val="20"/>
                <w:szCs w:val="20"/>
              </w:rPr>
              <w:t>Implementation</w:t>
            </w:r>
          </w:p>
          <w:p w14:paraId="7ABA926E" w14:textId="77777777" w:rsidR="006449E1" w:rsidRPr="0093000C" w:rsidRDefault="006449E1" w:rsidP="00943858">
            <w:pPr>
              <w:jc w:val="both"/>
              <w:rPr>
                <w:b/>
                <w:bCs/>
                <w:sz w:val="20"/>
                <w:szCs w:val="20"/>
              </w:rPr>
            </w:pPr>
            <w:r w:rsidRPr="0093000C">
              <w:rPr>
                <w:b/>
                <w:bCs/>
                <w:sz w:val="20"/>
                <w:szCs w:val="20"/>
              </w:rPr>
              <w:t>Caveats</w:t>
            </w:r>
          </w:p>
        </w:tc>
        <w:tc>
          <w:tcPr>
            <w:tcW w:w="7376" w:type="dxa"/>
            <w:gridSpan w:val="2"/>
          </w:tcPr>
          <w:p w14:paraId="2778950C" w14:textId="1BB95446" w:rsidR="005F4F4F" w:rsidRPr="00765473" w:rsidRDefault="670F82E8" w:rsidP="006A3A79">
            <w:pPr>
              <w:rPr>
                <w:color w:val="156082" w:themeColor="accent1"/>
                <w:sz w:val="20"/>
                <w:szCs w:val="20"/>
              </w:rPr>
            </w:pPr>
            <w:r w:rsidRPr="550DC08A">
              <w:rPr>
                <w:color w:val="156082" w:themeColor="accent1"/>
                <w:sz w:val="20"/>
                <w:szCs w:val="20"/>
              </w:rPr>
              <w:t>Implementation would create a global repository segmented by regions and key characteristics of identified challenges, linked to regional resources and repositories. These repositories would cover multiple sectors and offer both open access and structured interfaces for synthesis commissioning.</w:t>
            </w:r>
            <w:r w:rsidR="00AF23A2">
              <w:rPr>
                <w:color w:val="156082" w:themeColor="accent1"/>
                <w:sz w:val="20"/>
                <w:szCs w:val="20"/>
              </w:rPr>
              <w:t xml:space="preserve"> </w:t>
            </w:r>
            <w:r w:rsidR="00BD41F1" w:rsidRPr="00BD41F1">
              <w:rPr>
                <w:color w:val="156082" w:themeColor="accent1"/>
                <w:sz w:val="20"/>
                <w:szCs w:val="20"/>
              </w:rPr>
              <w:t>Particular attention would need to be paid to sectors with weak synthesis cultures (e.g., environment), where significant time and iterative engagement may be needed to refine policy/practice questions into synthesis-ready formats</w:t>
            </w:r>
            <w:r w:rsidR="00AF23A2">
              <w:rPr>
                <w:color w:val="156082" w:themeColor="accent1"/>
                <w:sz w:val="20"/>
                <w:szCs w:val="20"/>
              </w:rPr>
              <w:t xml:space="preserve">. And difficulties may merge with </w:t>
            </w:r>
            <w:r w:rsidR="00AF23A2" w:rsidRPr="00AF23A2">
              <w:rPr>
                <w:color w:val="156082" w:themeColor="accent1"/>
                <w:sz w:val="20"/>
                <w:szCs w:val="20"/>
              </w:rPr>
              <w:t>question standardisation particularly across sectors with different norms</w:t>
            </w:r>
            <w:r w:rsidR="00AF23A2">
              <w:rPr>
                <w:color w:val="156082" w:themeColor="accent1"/>
                <w:sz w:val="20"/>
                <w:szCs w:val="20"/>
              </w:rPr>
              <w:t>.</w:t>
            </w:r>
          </w:p>
          <w:p w14:paraId="62909200" w14:textId="44BA1620" w:rsidR="006449E1" w:rsidRDefault="005F4F4F" w:rsidP="005F4F4F">
            <w:pPr>
              <w:rPr>
                <w:sz w:val="20"/>
                <w:szCs w:val="20"/>
              </w:rPr>
            </w:pPr>
            <w:r>
              <w:rPr>
                <w:color w:val="156082" w:themeColor="accent1"/>
                <w:sz w:val="20"/>
                <w:szCs w:val="20"/>
              </w:rPr>
              <w:t>This work would align and integrate with other demand-side engagement activities (inform focus of co-design labs) and integrate with set-ups of other repositories (potential to share technical skills and platform development costs WG4</w:t>
            </w:r>
          </w:p>
        </w:tc>
      </w:tr>
      <w:tr w:rsidR="00884336" w14:paraId="23F91DA9" w14:textId="77777777" w:rsidTr="550DC08A">
        <w:tc>
          <w:tcPr>
            <w:tcW w:w="2122" w:type="dxa"/>
          </w:tcPr>
          <w:p w14:paraId="67292072" w14:textId="77777777" w:rsidR="00884336" w:rsidRPr="0093000C" w:rsidRDefault="00884336" w:rsidP="00943858">
            <w:pPr>
              <w:jc w:val="both"/>
              <w:rPr>
                <w:b/>
                <w:bCs/>
                <w:sz w:val="20"/>
                <w:szCs w:val="20"/>
              </w:rPr>
            </w:pPr>
            <w:r w:rsidRPr="0093000C">
              <w:rPr>
                <w:b/>
                <w:bCs/>
                <w:sz w:val="20"/>
                <w:szCs w:val="20"/>
              </w:rPr>
              <w:t>Staff Profile</w:t>
            </w:r>
          </w:p>
        </w:tc>
        <w:tc>
          <w:tcPr>
            <w:tcW w:w="3688" w:type="dxa"/>
          </w:tcPr>
          <w:p w14:paraId="5DF1B9D3" w14:textId="77777777" w:rsidR="00884336" w:rsidRDefault="00884336" w:rsidP="00741986">
            <w:pPr>
              <w:ind w:left="2160" w:hanging="2160"/>
              <w:jc w:val="both"/>
              <w:rPr>
                <w:color w:val="156082" w:themeColor="accent1"/>
                <w:sz w:val="20"/>
                <w:szCs w:val="20"/>
                <w:lang w:val="en-AU"/>
              </w:rPr>
            </w:pPr>
            <w:r w:rsidRPr="00DA6650">
              <w:rPr>
                <w:b/>
                <w:bCs/>
                <w:color w:val="156082" w:themeColor="accent1"/>
                <w:sz w:val="20"/>
                <w:szCs w:val="20"/>
              </w:rPr>
              <w:t xml:space="preserve">LEAD </w:t>
            </w:r>
            <w:r>
              <w:rPr>
                <w:b/>
                <w:bCs/>
                <w:color w:val="156082" w:themeColor="accent1"/>
                <w:sz w:val="20"/>
                <w:szCs w:val="20"/>
              </w:rPr>
              <w:t>MODEL (yr 1-3)</w:t>
            </w:r>
            <w:r w:rsidRPr="00DA6650">
              <w:rPr>
                <w:b/>
                <w:bCs/>
                <w:color w:val="156082" w:themeColor="accent1"/>
                <w:sz w:val="20"/>
                <w:szCs w:val="20"/>
              </w:rPr>
              <w:t>:</w:t>
            </w:r>
            <w:r w:rsidRPr="00104D54">
              <w:rPr>
                <w:color w:val="156082" w:themeColor="accent1"/>
                <w:sz w:val="20"/>
                <w:szCs w:val="20"/>
              </w:rPr>
              <w:t xml:space="preserve"> </w:t>
            </w:r>
            <w:r>
              <w:rPr>
                <w:color w:val="156082" w:themeColor="accent1"/>
                <w:sz w:val="20"/>
                <w:szCs w:val="20"/>
                <w:lang w:val="en-AU"/>
              </w:rPr>
              <w:t>1</w:t>
            </w:r>
            <w:r w:rsidRPr="002A5E8E">
              <w:rPr>
                <w:color w:val="156082" w:themeColor="accent1"/>
                <w:sz w:val="20"/>
                <w:szCs w:val="20"/>
                <w:lang w:val="en-AU"/>
              </w:rPr>
              <w:t xml:space="preserve"> x Director (Tier 1) </w:t>
            </w:r>
          </w:p>
          <w:p w14:paraId="758654C0" w14:textId="4CE197FB" w:rsidR="00884336" w:rsidRDefault="00884336" w:rsidP="00425681">
            <w:pPr>
              <w:jc w:val="both"/>
              <w:rPr>
                <w:color w:val="156082" w:themeColor="accent1"/>
                <w:sz w:val="20"/>
                <w:szCs w:val="20"/>
                <w:lang w:val="en-AU"/>
              </w:rPr>
            </w:pPr>
            <w:r>
              <w:rPr>
                <w:color w:val="156082" w:themeColor="accent1"/>
                <w:sz w:val="20"/>
                <w:szCs w:val="20"/>
                <w:lang w:val="en-AU"/>
              </w:rPr>
              <w:t>2</w:t>
            </w:r>
            <w:r w:rsidRPr="00C405C1">
              <w:rPr>
                <w:color w:val="156082" w:themeColor="accent1"/>
                <w:sz w:val="20"/>
                <w:szCs w:val="20"/>
                <w:lang w:val="en-AU"/>
              </w:rPr>
              <w:t xml:space="preserve"> </w:t>
            </w:r>
            <w:r>
              <w:rPr>
                <w:color w:val="156082" w:themeColor="accent1"/>
                <w:sz w:val="20"/>
                <w:szCs w:val="20"/>
                <w:lang w:val="en-AU"/>
              </w:rPr>
              <w:t>x Regional leads</w:t>
            </w:r>
            <w:r w:rsidRPr="00C405C1">
              <w:rPr>
                <w:color w:val="156082" w:themeColor="accent1"/>
                <w:sz w:val="20"/>
                <w:szCs w:val="20"/>
                <w:lang w:val="en-AU"/>
              </w:rPr>
              <w:t xml:space="preserve"> </w:t>
            </w:r>
            <w:r>
              <w:rPr>
                <w:color w:val="156082" w:themeColor="accent1"/>
                <w:sz w:val="20"/>
                <w:szCs w:val="20"/>
                <w:lang w:val="en-AU"/>
              </w:rPr>
              <w:t xml:space="preserve">(1 GS / 1 GN) </w:t>
            </w:r>
            <w:r w:rsidRPr="00C405C1">
              <w:rPr>
                <w:color w:val="156082" w:themeColor="accent1"/>
                <w:sz w:val="20"/>
                <w:szCs w:val="20"/>
                <w:lang w:val="en-AU"/>
              </w:rPr>
              <w:t>(Tier 2)</w:t>
            </w:r>
          </w:p>
          <w:p w14:paraId="57A0FC77" w14:textId="45054073" w:rsidR="00884336" w:rsidRDefault="00884336" w:rsidP="00425681">
            <w:pPr>
              <w:jc w:val="both"/>
              <w:rPr>
                <w:color w:val="156082" w:themeColor="accent1"/>
                <w:sz w:val="20"/>
                <w:szCs w:val="20"/>
                <w:lang w:val="en-AU"/>
              </w:rPr>
            </w:pPr>
            <w:r w:rsidRPr="002A5E8E">
              <w:rPr>
                <w:color w:val="156082" w:themeColor="accent1"/>
                <w:sz w:val="20"/>
                <w:szCs w:val="20"/>
                <w:lang w:val="en-AU"/>
              </w:rPr>
              <w:t>2</w:t>
            </w:r>
            <w:r>
              <w:rPr>
                <w:color w:val="156082" w:themeColor="accent1"/>
                <w:sz w:val="20"/>
                <w:szCs w:val="20"/>
                <w:lang w:val="en-AU"/>
              </w:rPr>
              <w:t xml:space="preserve"> x</w:t>
            </w:r>
            <w:r w:rsidRPr="002A5E8E">
              <w:rPr>
                <w:color w:val="156082" w:themeColor="accent1"/>
                <w:sz w:val="20"/>
                <w:szCs w:val="20"/>
                <w:lang w:val="en-AU"/>
              </w:rPr>
              <w:t xml:space="preserve"> Technicians with specialist IT skills (Tier 2)</w:t>
            </w:r>
          </w:p>
          <w:p w14:paraId="5602403D" w14:textId="77777777" w:rsidR="00884336" w:rsidRPr="002A5E8E" w:rsidRDefault="00884336" w:rsidP="00425681">
            <w:pPr>
              <w:jc w:val="both"/>
              <w:rPr>
                <w:color w:val="156082" w:themeColor="accent1"/>
                <w:sz w:val="20"/>
                <w:szCs w:val="20"/>
                <w:lang w:val="en-AU"/>
              </w:rPr>
            </w:pPr>
            <w:r>
              <w:rPr>
                <w:color w:val="156082" w:themeColor="accent1"/>
                <w:sz w:val="20"/>
                <w:szCs w:val="20"/>
                <w:lang w:val="en-AU"/>
              </w:rPr>
              <w:t>1 x Facilitation lead (Teir 2)</w:t>
            </w:r>
          </w:p>
          <w:p w14:paraId="23973966" w14:textId="3370D8FA" w:rsidR="00884336" w:rsidRPr="00C405C1" w:rsidRDefault="00884336" w:rsidP="00884336">
            <w:pPr>
              <w:jc w:val="both"/>
              <w:rPr>
                <w:color w:val="156082" w:themeColor="accent1"/>
                <w:sz w:val="20"/>
                <w:szCs w:val="20"/>
                <w:lang w:val="en-AU"/>
              </w:rPr>
            </w:pPr>
            <w:r w:rsidRPr="002A5E8E">
              <w:rPr>
                <w:color w:val="156082" w:themeColor="accent1"/>
                <w:sz w:val="20"/>
                <w:szCs w:val="20"/>
                <w:lang w:val="en-AU"/>
              </w:rPr>
              <w:t>1 x Admin and Comm</w:t>
            </w:r>
            <w:r>
              <w:rPr>
                <w:color w:val="156082" w:themeColor="accent1"/>
                <w:sz w:val="20"/>
                <w:szCs w:val="20"/>
                <w:lang w:val="en-AU"/>
              </w:rPr>
              <w:t>s</w:t>
            </w:r>
            <w:r w:rsidRPr="002A5E8E">
              <w:rPr>
                <w:color w:val="156082" w:themeColor="accent1"/>
                <w:sz w:val="20"/>
                <w:szCs w:val="20"/>
                <w:lang w:val="en-AU"/>
              </w:rPr>
              <w:t xml:space="preserve"> Officer (Tier 2)</w:t>
            </w:r>
            <w:r w:rsidRPr="002F02E6">
              <w:rPr>
                <w:b/>
                <w:bCs/>
                <w:color w:val="156082" w:themeColor="accent1"/>
                <w:sz w:val="20"/>
                <w:szCs w:val="20"/>
                <w:lang w:val="en-AU"/>
              </w:rPr>
              <w:t xml:space="preserve"> </w:t>
            </w:r>
          </w:p>
        </w:tc>
        <w:tc>
          <w:tcPr>
            <w:tcW w:w="3688" w:type="dxa"/>
          </w:tcPr>
          <w:p w14:paraId="22659787" w14:textId="77777777" w:rsidR="00884336" w:rsidRDefault="00884336" w:rsidP="00741986">
            <w:pPr>
              <w:jc w:val="both"/>
              <w:rPr>
                <w:color w:val="156082" w:themeColor="accent1"/>
                <w:sz w:val="20"/>
                <w:szCs w:val="20"/>
                <w:lang w:val="en-AU"/>
              </w:rPr>
            </w:pPr>
            <w:r w:rsidRPr="002F02E6">
              <w:rPr>
                <w:b/>
                <w:bCs/>
                <w:color w:val="156082" w:themeColor="accent1"/>
                <w:sz w:val="20"/>
                <w:szCs w:val="20"/>
                <w:lang w:val="en-AU"/>
              </w:rPr>
              <w:t xml:space="preserve">REGIONAL </w:t>
            </w:r>
            <w:r>
              <w:rPr>
                <w:b/>
                <w:bCs/>
                <w:color w:val="156082" w:themeColor="accent1"/>
                <w:sz w:val="20"/>
                <w:szCs w:val="20"/>
                <w:lang w:val="en-AU"/>
              </w:rPr>
              <w:t>MODEL (yr 4/5)</w:t>
            </w:r>
            <w:r w:rsidRPr="002F02E6">
              <w:rPr>
                <w:b/>
                <w:bCs/>
                <w:color w:val="156082" w:themeColor="accent1"/>
                <w:sz w:val="20"/>
                <w:szCs w:val="20"/>
                <w:lang w:val="en-AU"/>
              </w:rPr>
              <w:t>:</w:t>
            </w:r>
            <w:r>
              <w:rPr>
                <w:color w:val="156082" w:themeColor="accent1"/>
                <w:sz w:val="20"/>
                <w:szCs w:val="20"/>
                <w:lang w:val="en-AU"/>
              </w:rPr>
              <w:t xml:space="preserve"> </w:t>
            </w:r>
            <w:r w:rsidRPr="00C405C1">
              <w:rPr>
                <w:color w:val="156082" w:themeColor="accent1"/>
                <w:sz w:val="20"/>
                <w:szCs w:val="20"/>
                <w:lang w:val="en-AU"/>
              </w:rPr>
              <w:t>1 x Directors (Tier 1)</w:t>
            </w:r>
          </w:p>
          <w:p w14:paraId="2284D2DB" w14:textId="6FB5896A" w:rsidR="00884336" w:rsidRDefault="00884336" w:rsidP="00741986">
            <w:pPr>
              <w:jc w:val="both"/>
              <w:rPr>
                <w:color w:val="156082" w:themeColor="accent1"/>
                <w:sz w:val="20"/>
                <w:szCs w:val="20"/>
                <w:lang w:val="en-AU"/>
              </w:rPr>
            </w:pPr>
            <w:r>
              <w:rPr>
                <w:color w:val="156082" w:themeColor="accent1"/>
                <w:sz w:val="20"/>
                <w:szCs w:val="20"/>
                <w:lang w:val="en-AU"/>
              </w:rPr>
              <w:t>5</w:t>
            </w:r>
            <w:r w:rsidRPr="00C405C1">
              <w:rPr>
                <w:color w:val="156082" w:themeColor="accent1"/>
                <w:sz w:val="20"/>
                <w:szCs w:val="20"/>
                <w:lang w:val="en-AU"/>
              </w:rPr>
              <w:t xml:space="preserve"> </w:t>
            </w:r>
            <w:r>
              <w:rPr>
                <w:color w:val="156082" w:themeColor="accent1"/>
                <w:sz w:val="20"/>
                <w:szCs w:val="20"/>
                <w:lang w:val="en-AU"/>
              </w:rPr>
              <w:t>x Regional leads</w:t>
            </w:r>
            <w:r w:rsidRPr="00C405C1">
              <w:rPr>
                <w:color w:val="156082" w:themeColor="accent1"/>
                <w:sz w:val="20"/>
                <w:szCs w:val="20"/>
                <w:lang w:val="en-AU"/>
              </w:rPr>
              <w:t xml:space="preserve"> </w:t>
            </w:r>
            <w:r>
              <w:rPr>
                <w:color w:val="156082" w:themeColor="accent1"/>
                <w:sz w:val="20"/>
                <w:szCs w:val="20"/>
                <w:lang w:val="en-AU"/>
              </w:rPr>
              <w:t xml:space="preserve">(1 per region) </w:t>
            </w:r>
            <w:r w:rsidRPr="00C405C1">
              <w:rPr>
                <w:color w:val="156082" w:themeColor="accent1"/>
                <w:sz w:val="20"/>
                <w:szCs w:val="20"/>
                <w:lang w:val="en-AU"/>
              </w:rPr>
              <w:t>(Tier 2)</w:t>
            </w:r>
          </w:p>
          <w:p w14:paraId="5C99E536" w14:textId="77777777" w:rsidR="00884336" w:rsidRDefault="00884336" w:rsidP="00741986">
            <w:pPr>
              <w:jc w:val="both"/>
              <w:rPr>
                <w:color w:val="156082" w:themeColor="accent1"/>
                <w:sz w:val="20"/>
                <w:szCs w:val="20"/>
                <w:lang w:val="en-AU"/>
              </w:rPr>
            </w:pPr>
            <w:r>
              <w:rPr>
                <w:color w:val="156082" w:themeColor="accent1"/>
                <w:sz w:val="20"/>
                <w:szCs w:val="20"/>
                <w:lang w:val="en-AU"/>
              </w:rPr>
              <w:t>0.5 x Technicians (Tier 2)</w:t>
            </w:r>
          </w:p>
          <w:p w14:paraId="16FB37AA" w14:textId="77777777" w:rsidR="00884336" w:rsidRPr="00C405C1" w:rsidRDefault="00884336" w:rsidP="00741986">
            <w:pPr>
              <w:jc w:val="both"/>
              <w:rPr>
                <w:color w:val="156082" w:themeColor="accent1"/>
                <w:sz w:val="20"/>
                <w:szCs w:val="20"/>
                <w:lang w:val="en-AU"/>
              </w:rPr>
            </w:pPr>
            <w:r>
              <w:rPr>
                <w:color w:val="156082" w:themeColor="accent1"/>
                <w:sz w:val="20"/>
                <w:szCs w:val="20"/>
                <w:lang w:val="en-AU"/>
              </w:rPr>
              <w:t>2 x Facilitation leads (Tier 2)</w:t>
            </w:r>
          </w:p>
          <w:p w14:paraId="4FF92479" w14:textId="4DE03958" w:rsidR="00884336" w:rsidRPr="00884336" w:rsidRDefault="00884336" w:rsidP="00884336">
            <w:pPr>
              <w:jc w:val="both"/>
              <w:rPr>
                <w:color w:val="156082" w:themeColor="accent1"/>
                <w:sz w:val="20"/>
                <w:szCs w:val="20"/>
                <w:lang w:val="en-AU"/>
              </w:rPr>
            </w:pPr>
            <w:r w:rsidRPr="00C405C1">
              <w:rPr>
                <w:color w:val="156082" w:themeColor="accent1"/>
                <w:sz w:val="20"/>
                <w:szCs w:val="20"/>
                <w:lang w:val="en-AU"/>
              </w:rPr>
              <w:t>1 x Admin and Comms Officer (Tier 2</w:t>
            </w:r>
            <w:r>
              <w:rPr>
                <w:color w:val="156082" w:themeColor="accent1"/>
                <w:sz w:val="20"/>
                <w:szCs w:val="20"/>
                <w:lang w:val="en-AU"/>
              </w:rPr>
              <w:t>)</w:t>
            </w:r>
          </w:p>
        </w:tc>
      </w:tr>
      <w:tr w:rsidR="00884336" w14:paraId="00AE4414" w14:textId="77777777" w:rsidTr="550DC08A">
        <w:tc>
          <w:tcPr>
            <w:tcW w:w="2122" w:type="dxa"/>
          </w:tcPr>
          <w:p w14:paraId="5614703F" w14:textId="77777777" w:rsidR="00884336" w:rsidRPr="0093000C" w:rsidRDefault="00884336" w:rsidP="00943858">
            <w:pPr>
              <w:jc w:val="both"/>
              <w:rPr>
                <w:b/>
                <w:bCs/>
                <w:sz w:val="20"/>
                <w:szCs w:val="20"/>
              </w:rPr>
            </w:pPr>
          </w:p>
        </w:tc>
        <w:tc>
          <w:tcPr>
            <w:tcW w:w="7376" w:type="dxa"/>
            <w:gridSpan w:val="2"/>
          </w:tcPr>
          <w:p w14:paraId="69230CC8" w14:textId="1C91FCF8" w:rsidR="00884336" w:rsidRPr="00884336" w:rsidRDefault="00884336" w:rsidP="00884336">
            <w:pPr>
              <w:jc w:val="both"/>
              <w:rPr>
                <w:color w:val="156082" w:themeColor="accent1"/>
                <w:sz w:val="20"/>
                <w:szCs w:val="20"/>
                <w:lang w:val="en-AU"/>
              </w:rPr>
            </w:pPr>
            <w:r w:rsidRPr="000E5A51">
              <w:rPr>
                <w:b/>
                <w:bCs/>
                <w:color w:val="156082" w:themeColor="accent1"/>
                <w:sz w:val="20"/>
                <w:szCs w:val="20"/>
                <w:lang w:val="en-AU"/>
              </w:rPr>
              <w:t>Advisory body</w:t>
            </w:r>
            <w:r w:rsidRPr="002A5E8E">
              <w:rPr>
                <w:color w:val="156082" w:themeColor="accent1"/>
                <w:sz w:val="20"/>
                <w:szCs w:val="20"/>
                <w:lang w:val="en-AU"/>
              </w:rPr>
              <w:t xml:space="preserve"> – to learn from existing global-level knowledge co-ordination efforts. 10 people @ $10,000/yr ea.</w:t>
            </w:r>
          </w:p>
        </w:tc>
      </w:tr>
      <w:tr w:rsidR="006449E1" w14:paraId="15ABE019" w14:textId="77777777" w:rsidTr="550DC08A">
        <w:tc>
          <w:tcPr>
            <w:tcW w:w="2122" w:type="dxa"/>
          </w:tcPr>
          <w:p w14:paraId="26F39EDC" w14:textId="77777777" w:rsidR="006449E1" w:rsidRPr="0093000C" w:rsidRDefault="006449E1" w:rsidP="00943858">
            <w:pPr>
              <w:jc w:val="both"/>
              <w:rPr>
                <w:b/>
                <w:bCs/>
                <w:sz w:val="20"/>
                <w:szCs w:val="20"/>
              </w:rPr>
            </w:pPr>
            <w:r w:rsidRPr="0093000C">
              <w:rPr>
                <w:b/>
                <w:bCs/>
                <w:sz w:val="20"/>
                <w:szCs w:val="20"/>
              </w:rPr>
              <w:t>Sequencing</w:t>
            </w:r>
          </w:p>
        </w:tc>
        <w:tc>
          <w:tcPr>
            <w:tcW w:w="7376" w:type="dxa"/>
            <w:gridSpan w:val="2"/>
          </w:tcPr>
          <w:p w14:paraId="6B2215D1" w14:textId="53D05DAC" w:rsidR="006449E1" w:rsidRPr="00425681" w:rsidRDefault="00425681" w:rsidP="00425681">
            <w:pPr>
              <w:rPr>
                <w:color w:val="156082" w:themeColor="accent1"/>
                <w:sz w:val="20"/>
                <w:szCs w:val="20"/>
              </w:rPr>
            </w:pPr>
            <w:r>
              <w:rPr>
                <w:color w:val="156082" w:themeColor="accent1"/>
                <w:sz w:val="20"/>
                <w:szCs w:val="20"/>
              </w:rPr>
              <w:t xml:space="preserve">Functional stand up and establishment over first three years – 6 months build; 18 months refinement; 12 months full operation; then ongoing delivery and expansion to 5 regional leads and ongoing engagement. </w:t>
            </w:r>
            <w:r w:rsidRPr="00104D54">
              <w:rPr>
                <w:color w:val="156082" w:themeColor="accent1"/>
                <w:sz w:val="20"/>
                <w:szCs w:val="20"/>
              </w:rPr>
              <w:t xml:space="preserve"> Start globally by design to connect global challenges (‘big questions’); then </w:t>
            </w:r>
            <w:r>
              <w:rPr>
                <w:color w:val="156082" w:themeColor="accent1"/>
                <w:sz w:val="20"/>
                <w:szCs w:val="20"/>
              </w:rPr>
              <w:t xml:space="preserve">transition to </w:t>
            </w:r>
            <w:r w:rsidRPr="00104D54">
              <w:rPr>
                <w:color w:val="156082" w:themeColor="accent1"/>
                <w:sz w:val="20"/>
                <w:szCs w:val="20"/>
              </w:rPr>
              <w:t xml:space="preserve">regional </w:t>
            </w:r>
            <w:r>
              <w:rPr>
                <w:color w:val="156082" w:themeColor="accent1"/>
                <w:sz w:val="20"/>
                <w:szCs w:val="20"/>
              </w:rPr>
              <w:t xml:space="preserve">set-up </w:t>
            </w:r>
            <w:r w:rsidRPr="00104D54">
              <w:rPr>
                <w:color w:val="156082" w:themeColor="accent1"/>
                <w:sz w:val="20"/>
                <w:szCs w:val="20"/>
              </w:rPr>
              <w:t>covering x 5 regions</w:t>
            </w:r>
            <w:r>
              <w:rPr>
                <w:color w:val="156082" w:themeColor="accent1"/>
                <w:sz w:val="20"/>
                <w:szCs w:val="20"/>
              </w:rPr>
              <w:t xml:space="preserve"> (one region with leads in each region)</w:t>
            </w:r>
          </w:p>
        </w:tc>
      </w:tr>
      <w:tr w:rsidR="006449E1" w14:paraId="313C99A2" w14:textId="77777777" w:rsidTr="550DC08A">
        <w:tc>
          <w:tcPr>
            <w:tcW w:w="2122" w:type="dxa"/>
            <w:tcBorders>
              <w:bottom w:val="single" w:sz="4" w:space="0" w:color="auto"/>
            </w:tcBorders>
          </w:tcPr>
          <w:p w14:paraId="7DC0EB95" w14:textId="77777777" w:rsidR="006449E1" w:rsidRPr="0093000C" w:rsidRDefault="006449E1" w:rsidP="00943858">
            <w:pPr>
              <w:jc w:val="both"/>
              <w:rPr>
                <w:b/>
                <w:bCs/>
                <w:sz w:val="20"/>
                <w:szCs w:val="20"/>
              </w:rPr>
            </w:pPr>
            <w:r w:rsidRPr="0093000C">
              <w:rPr>
                <w:b/>
                <w:bCs/>
                <w:sz w:val="20"/>
                <w:szCs w:val="20"/>
              </w:rPr>
              <w:t>Operational needs</w:t>
            </w:r>
          </w:p>
        </w:tc>
        <w:tc>
          <w:tcPr>
            <w:tcW w:w="7376" w:type="dxa"/>
            <w:gridSpan w:val="2"/>
            <w:tcBorders>
              <w:bottom w:val="single" w:sz="4" w:space="0" w:color="auto"/>
            </w:tcBorders>
          </w:tcPr>
          <w:p w14:paraId="6D1A9E6C" w14:textId="2A96425B" w:rsidR="006449E1" w:rsidRDefault="00425681" w:rsidP="00943858">
            <w:pPr>
              <w:rPr>
                <w:sz w:val="20"/>
                <w:szCs w:val="20"/>
              </w:rPr>
            </w:pPr>
            <w:r w:rsidRPr="004E1043">
              <w:rPr>
                <w:color w:val="156082" w:themeColor="accent1"/>
                <w:sz w:val="20"/>
                <w:szCs w:val="20"/>
              </w:rPr>
              <w:t>An annual provision of $</w:t>
            </w:r>
            <w:r>
              <w:rPr>
                <w:color w:val="156082" w:themeColor="accent1"/>
                <w:sz w:val="20"/>
                <w:szCs w:val="20"/>
              </w:rPr>
              <w:t>2</w:t>
            </w:r>
            <w:r w:rsidRPr="004E1043">
              <w:rPr>
                <w:color w:val="156082" w:themeColor="accent1"/>
                <w:sz w:val="20"/>
                <w:szCs w:val="20"/>
              </w:rPr>
              <w:t xml:space="preserve">00,000 </w:t>
            </w:r>
            <w:r>
              <w:rPr>
                <w:color w:val="156082" w:themeColor="accent1"/>
                <w:sz w:val="20"/>
                <w:szCs w:val="20"/>
              </w:rPr>
              <w:t>to support extensive external outreach and engagement</w:t>
            </w:r>
          </w:p>
        </w:tc>
      </w:tr>
    </w:tbl>
    <w:p w14:paraId="18D1DA61" w14:textId="77777777" w:rsidR="006449E1" w:rsidRDefault="006449E1"/>
    <w:p w14:paraId="47AFA5D9" w14:textId="77777777" w:rsidR="00700DDB" w:rsidRDefault="00700DDB">
      <w:r>
        <w:br w:type="page"/>
      </w:r>
    </w:p>
    <w:p w14:paraId="30578F7F" w14:textId="77777777" w:rsidR="00016089" w:rsidRDefault="00700DDB">
      <w:r>
        <w:lastRenderedPageBreak/>
        <w:t xml:space="preserve"> </w:t>
      </w:r>
    </w:p>
    <w:tbl>
      <w:tblPr>
        <w:tblW w:w="8020" w:type="dxa"/>
        <w:tblLook w:val="04A0" w:firstRow="1" w:lastRow="0" w:firstColumn="1" w:lastColumn="0" w:noHBand="0" w:noVBand="1"/>
      </w:tblPr>
      <w:tblGrid>
        <w:gridCol w:w="2820"/>
        <w:gridCol w:w="3000"/>
        <w:gridCol w:w="2200"/>
      </w:tblGrid>
      <w:tr w:rsidR="00016089" w:rsidRPr="00016089" w14:paraId="580354F6" w14:textId="77777777" w:rsidTr="00016089">
        <w:trPr>
          <w:trHeight w:val="902"/>
        </w:trPr>
        <w:tc>
          <w:tcPr>
            <w:tcW w:w="282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2A28D521" w14:textId="77777777" w:rsidR="00016089" w:rsidRPr="00016089" w:rsidRDefault="00016089" w:rsidP="00016089">
            <w:pPr>
              <w:spacing w:after="0" w:line="240" w:lineRule="auto"/>
              <w:rPr>
                <w:rFonts w:ascii="Aptos" w:eastAsia="Times New Roman" w:hAnsi="Aptos" w:cs="Times New Roman"/>
                <w:b/>
                <w:bCs/>
                <w:color w:val="000000"/>
                <w:kern w:val="0"/>
                <w:sz w:val="22"/>
                <w:szCs w:val="22"/>
                <w:lang w:val="en-GB" w:eastAsia="en-GB"/>
                <w14:ligatures w14:val="none"/>
              </w:rPr>
            </w:pPr>
            <w:r w:rsidRPr="00016089">
              <w:rPr>
                <w:rFonts w:ascii="Aptos" w:eastAsia="Times New Roman" w:hAnsi="Aptos" w:cs="Times New Roman"/>
                <w:b/>
                <w:bCs/>
                <w:color w:val="000000"/>
                <w:kern w:val="0"/>
                <w:sz w:val="22"/>
                <w:szCs w:val="22"/>
                <w:lang w:val="en-GB" w:eastAsia="en-GB"/>
                <w14:ligatures w14:val="none"/>
              </w:rPr>
              <w:t xml:space="preserve">Category </w:t>
            </w:r>
          </w:p>
        </w:tc>
        <w:tc>
          <w:tcPr>
            <w:tcW w:w="3000" w:type="dxa"/>
            <w:tcBorders>
              <w:top w:val="single" w:sz="4" w:space="0" w:color="auto"/>
              <w:left w:val="nil"/>
              <w:bottom w:val="single" w:sz="4" w:space="0" w:color="auto"/>
              <w:right w:val="single" w:sz="4" w:space="0" w:color="auto"/>
            </w:tcBorders>
            <w:shd w:val="clear" w:color="auto" w:fill="C1E4F5" w:themeFill="accent1" w:themeFillTint="33"/>
            <w:vAlign w:val="center"/>
            <w:hideMark/>
          </w:tcPr>
          <w:p w14:paraId="7B850C3B" w14:textId="77777777" w:rsidR="00016089" w:rsidRPr="00016089" w:rsidRDefault="00016089" w:rsidP="00016089">
            <w:pPr>
              <w:spacing w:after="0" w:line="240" w:lineRule="auto"/>
              <w:rPr>
                <w:rFonts w:ascii="Aptos" w:eastAsia="Times New Roman" w:hAnsi="Aptos" w:cs="Times New Roman"/>
                <w:b/>
                <w:bCs/>
                <w:color w:val="000000"/>
                <w:kern w:val="0"/>
                <w:sz w:val="22"/>
                <w:szCs w:val="22"/>
                <w:lang w:val="en-GB" w:eastAsia="en-GB"/>
                <w14:ligatures w14:val="none"/>
              </w:rPr>
            </w:pPr>
            <w:r w:rsidRPr="00016089">
              <w:rPr>
                <w:rFonts w:ascii="Aptos" w:eastAsia="Times New Roman" w:hAnsi="Aptos" w:cs="Times New Roman"/>
                <w:b/>
                <w:bCs/>
                <w:color w:val="000000"/>
                <w:kern w:val="0"/>
                <w:sz w:val="22"/>
                <w:szCs w:val="22"/>
                <w:lang w:val="en-GB" w:eastAsia="en-GB"/>
                <w14:ligatures w14:val="none"/>
              </w:rPr>
              <w:t>Direct Costs by category</w:t>
            </w:r>
          </w:p>
        </w:tc>
        <w:tc>
          <w:tcPr>
            <w:tcW w:w="2200" w:type="dxa"/>
            <w:tcBorders>
              <w:top w:val="single" w:sz="4" w:space="0" w:color="auto"/>
              <w:left w:val="nil"/>
              <w:bottom w:val="single" w:sz="4" w:space="0" w:color="auto"/>
              <w:right w:val="single" w:sz="4" w:space="0" w:color="auto"/>
            </w:tcBorders>
            <w:shd w:val="clear" w:color="auto" w:fill="C1E4F5" w:themeFill="accent1" w:themeFillTint="33"/>
            <w:vAlign w:val="center"/>
            <w:hideMark/>
          </w:tcPr>
          <w:p w14:paraId="3A332AF2" w14:textId="77777777" w:rsidR="00016089" w:rsidRPr="00016089" w:rsidRDefault="00016089" w:rsidP="00016089">
            <w:pPr>
              <w:spacing w:after="0" w:line="240" w:lineRule="auto"/>
              <w:rPr>
                <w:rFonts w:ascii="Aptos" w:eastAsia="Times New Roman" w:hAnsi="Aptos" w:cs="Times New Roman"/>
                <w:b/>
                <w:bCs/>
                <w:color w:val="000000"/>
                <w:kern w:val="0"/>
                <w:sz w:val="22"/>
                <w:szCs w:val="22"/>
                <w:lang w:val="en-GB" w:eastAsia="en-GB"/>
                <w14:ligatures w14:val="none"/>
              </w:rPr>
            </w:pPr>
            <w:r w:rsidRPr="00016089">
              <w:rPr>
                <w:rFonts w:ascii="Aptos" w:eastAsia="Times New Roman" w:hAnsi="Aptos" w:cs="Times New Roman"/>
                <w:b/>
                <w:bCs/>
                <w:color w:val="000000"/>
                <w:kern w:val="0"/>
                <w:sz w:val="22"/>
                <w:szCs w:val="22"/>
                <w:lang w:val="en-GB" w:eastAsia="en-GB"/>
                <w14:ligatures w14:val="none"/>
              </w:rPr>
              <w:t xml:space="preserve">Percentage of total direct costs </w:t>
            </w:r>
          </w:p>
        </w:tc>
      </w:tr>
      <w:tr w:rsidR="00016089" w:rsidRPr="00016089" w14:paraId="0CC2FD22"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2DF5369" w14:textId="77777777" w:rsidR="00016089" w:rsidRPr="00016089" w:rsidRDefault="00016089" w:rsidP="00016089">
            <w:pPr>
              <w:spacing w:after="0" w:line="240" w:lineRule="auto"/>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People</w:t>
            </w:r>
          </w:p>
        </w:tc>
        <w:tc>
          <w:tcPr>
            <w:tcW w:w="3000" w:type="dxa"/>
            <w:tcBorders>
              <w:top w:val="nil"/>
              <w:left w:val="nil"/>
              <w:bottom w:val="single" w:sz="4" w:space="0" w:color="auto"/>
              <w:right w:val="single" w:sz="4" w:space="0" w:color="auto"/>
            </w:tcBorders>
            <w:shd w:val="clear" w:color="auto" w:fill="auto"/>
            <w:noWrap/>
            <w:vAlign w:val="bottom"/>
            <w:hideMark/>
          </w:tcPr>
          <w:p w14:paraId="1C8FA828" w14:textId="77777777" w:rsidR="00016089" w:rsidRPr="00016089" w:rsidRDefault="00016089" w:rsidP="0001608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$2,469,319</w:t>
            </w:r>
          </w:p>
        </w:tc>
        <w:tc>
          <w:tcPr>
            <w:tcW w:w="2200" w:type="dxa"/>
            <w:tcBorders>
              <w:top w:val="nil"/>
              <w:left w:val="nil"/>
              <w:bottom w:val="single" w:sz="4" w:space="0" w:color="auto"/>
              <w:right w:val="single" w:sz="4" w:space="0" w:color="auto"/>
            </w:tcBorders>
            <w:shd w:val="clear" w:color="auto" w:fill="auto"/>
            <w:noWrap/>
            <w:vAlign w:val="bottom"/>
            <w:hideMark/>
          </w:tcPr>
          <w:p w14:paraId="4E32C52C" w14:textId="77777777" w:rsidR="00016089" w:rsidRPr="00016089" w:rsidRDefault="00016089" w:rsidP="0001608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63.05%</w:t>
            </w:r>
          </w:p>
        </w:tc>
      </w:tr>
      <w:tr w:rsidR="00016089" w:rsidRPr="00016089" w14:paraId="15CC91EB"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F75B427" w14:textId="77777777" w:rsidR="00016089" w:rsidRPr="00016089" w:rsidRDefault="00016089" w:rsidP="00016089">
            <w:pPr>
              <w:spacing w:after="0" w:line="240" w:lineRule="auto"/>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 xml:space="preserve">Contracts </w:t>
            </w:r>
          </w:p>
        </w:tc>
        <w:tc>
          <w:tcPr>
            <w:tcW w:w="3000" w:type="dxa"/>
            <w:tcBorders>
              <w:top w:val="nil"/>
              <w:left w:val="nil"/>
              <w:bottom w:val="single" w:sz="4" w:space="0" w:color="auto"/>
              <w:right w:val="single" w:sz="4" w:space="0" w:color="auto"/>
            </w:tcBorders>
            <w:shd w:val="clear" w:color="auto" w:fill="auto"/>
            <w:noWrap/>
            <w:vAlign w:val="bottom"/>
            <w:hideMark/>
          </w:tcPr>
          <w:p w14:paraId="518D1BDA" w14:textId="77777777" w:rsidR="00016089" w:rsidRPr="00016089" w:rsidRDefault="00016089" w:rsidP="0001608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$420,000</w:t>
            </w:r>
          </w:p>
        </w:tc>
        <w:tc>
          <w:tcPr>
            <w:tcW w:w="2200" w:type="dxa"/>
            <w:tcBorders>
              <w:top w:val="nil"/>
              <w:left w:val="nil"/>
              <w:bottom w:val="single" w:sz="4" w:space="0" w:color="auto"/>
              <w:right w:val="single" w:sz="4" w:space="0" w:color="auto"/>
            </w:tcBorders>
            <w:shd w:val="clear" w:color="auto" w:fill="auto"/>
            <w:noWrap/>
            <w:vAlign w:val="bottom"/>
            <w:hideMark/>
          </w:tcPr>
          <w:p w14:paraId="2D725250" w14:textId="77777777" w:rsidR="00016089" w:rsidRPr="00016089" w:rsidRDefault="00016089" w:rsidP="0001608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10.72%</w:t>
            </w:r>
          </w:p>
        </w:tc>
      </w:tr>
      <w:tr w:rsidR="00016089" w:rsidRPr="00016089" w14:paraId="4BD85A7D"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406A974" w14:textId="77777777" w:rsidR="00016089" w:rsidRPr="00016089" w:rsidRDefault="00016089" w:rsidP="00016089">
            <w:pPr>
              <w:spacing w:after="0" w:line="240" w:lineRule="auto"/>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 xml:space="preserve">Tools </w:t>
            </w:r>
          </w:p>
        </w:tc>
        <w:tc>
          <w:tcPr>
            <w:tcW w:w="3000" w:type="dxa"/>
            <w:tcBorders>
              <w:top w:val="nil"/>
              <w:left w:val="nil"/>
              <w:bottom w:val="single" w:sz="4" w:space="0" w:color="auto"/>
              <w:right w:val="single" w:sz="4" w:space="0" w:color="auto"/>
            </w:tcBorders>
            <w:shd w:val="clear" w:color="auto" w:fill="auto"/>
            <w:noWrap/>
            <w:vAlign w:val="bottom"/>
            <w:hideMark/>
          </w:tcPr>
          <w:p w14:paraId="6E9FB31C" w14:textId="77777777" w:rsidR="00016089" w:rsidRPr="00016089" w:rsidRDefault="00016089" w:rsidP="0001608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$29,894</w:t>
            </w:r>
          </w:p>
        </w:tc>
        <w:tc>
          <w:tcPr>
            <w:tcW w:w="2200" w:type="dxa"/>
            <w:tcBorders>
              <w:top w:val="nil"/>
              <w:left w:val="nil"/>
              <w:bottom w:val="single" w:sz="4" w:space="0" w:color="auto"/>
              <w:right w:val="single" w:sz="4" w:space="0" w:color="auto"/>
            </w:tcBorders>
            <w:shd w:val="clear" w:color="auto" w:fill="auto"/>
            <w:noWrap/>
            <w:vAlign w:val="bottom"/>
            <w:hideMark/>
          </w:tcPr>
          <w:p w14:paraId="7FA72F8E" w14:textId="77777777" w:rsidR="00016089" w:rsidRPr="00016089" w:rsidRDefault="00016089" w:rsidP="0001608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0.76%</w:t>
            </w:r>
          </w:p>
        </w:tc>
      </w:tr>
      <w:tr w:rsidR="00016089" w:rsidRPr="00016089" w14:paraId="2F86A657"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61449A6" w14:textId="77777777" w:rsidR="00016089" w:rsidRPr="00016089" w:rsidRDefault="00016089" w:rsidP="00016089">
            <w:pPr>
              <w:spacing w:after="0" w:line="240" w:lineRule="auto"/>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 xml:space="preserve">Training event attendance </w:t>
            </w:r>
          </w:p>
        </w:tc>
        <w:tc>
          <w:tcPr>
            <w:tcW w:w="3000" w:type="dxa"/>
            <w:tcBorders>
              <w:top w:val="nil"/>
              <w:left w:val="nil"/>
              <w:bottom w:val="single" w:sz="4" w:space="0" w:color="auto"/>
              <w:right w:val="single" w:sz="4" w:space="0" w:color="auto"/>
            </w:tcBorders>
            <w:shd w:val="clear" w:color="auto" w:fill="auto"/>
            <w:noWrap/>
            <w:vAlign w:val="bottom"/>
            <w:hideMark/>
          </w:tcPr>
          <w:p w14:paraId="135A2FC9" w14:textId="77777777" w:rsidR="00016089" w:rsidRPr="00016089" w:rsidRDefault="00016089" w:rsidP="0001608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$20,000</w:t>
            </w:r>
          </w:p>
        </w:tc>
        <w:tc>
          <w:tcPr>
            <w:tcW w:w="2200" w:type="dxa"/>
            <w:tcBorders>
              <w:top w:val="nil"/>
              <w:left w:val="nil"/>
              <w:bottom w:val="single" w:sz="4" w:space="0" w:color="auto"/>
              <w:right w:val="single" w:sz="4" w:space="0" w:color="auto"/>
            </w:tcBorders>
            <w:shd w:val="clear" w:color="auto" w:fill="auto"/>
            <w:noWrap/>
            <w:vAlign w:val="bottom"/>
            <w:hideMark/>
          </w:tcPr>
          <w:p w14:paraId="05E7FAA1" w14:textId="77777777" w:rsidR="00016089" w:rsidRPr="00016089" w:rsidRDefault="00016089" w:rsidP="0001608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0.51%</w:t>
            </w:r>
          </w:p>
        </w:tc>
      </w:tr>
      <w:tr w:rsidR="00016089" w:rsidRPr="00016089" w14:paraId="1D8C6333"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BA825C1" w14:textId="77777777" w:rsidR="00016089" w:rsidRPr="00016089" w:rsidRDefault="00016089" w:rsidP="00016089">
            <w:pPr>
              <w:spacing w:after="0" w:line="240" w:lineRule="auto"/>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 xml:space="preserve">Citizen engagement </w:t>
            </w:r>
          </w:p>
        </w:tc>
        <w:tc>
          <w:tcPr>
            <w:tcW w:w="3000" w:type="dxa"/>
            <w:tcBorders>
              <w:top w:val="nil"/>
              <w:left w:val="nil"/>
              <w:bottom w:val="single" w:sz="4" w:space="0" w:color="auto"/>
              <w:right w:val="single" w:sz="4" w:space="0" w:color="auto"/>
            </w:tcBorders>
            <w:shd w:val="clear" w:color="auto" w:fill="auto"/>
            <w:noWrap/>
            <w:vAlign w:val="bottom"/>
            <w:hideMark/>
          </w:tcPr>
          <w:p w14:paraId="5CBD4842" w14:textId="77777777" w:rsidR="00016089" w:rsidRPr="00016089" w:rsidRDefault="00016089" w:rsidP="0001608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$180,000</w:t>
            </w:r>
          </w:p>
        </w:tc>
        <w:tc>
          <w:tcPr>
            <w:tcW w:w="2200" w:type="dxa"/>
            <w:tcBorders>
              <w:top w:val="nil"/>
              <w:left w:val="nil"/>
              <w:bottom w:val="single" w:sz="4" w:space="0" w:color="auto"/>
              <w:right w:val="single" w:sz="4" w:space="0" w:color="auto"/>
            </w:tcBorders>
            <w:shd w:val="clear" w:color="auto" w:fill="auto"/>
            <w:noWrap/>
            <w:vAlign w:val="bottom"/>
            <w:hideMark/>
          </w:tcPr>
          <w:p w14:paraId="648A0270" w14:textId="77777777" w:rsidR="00016089" w:rsidRPr="00016089" w:rsidRDefault="00016089" w:rsidP="0001608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4.60%</w:t>
            </w:r>
          </w:p>
        </w:tc>
      </w:tr>
      <w:tr w:rsidR="00016089" w:rsidRPr="00016089" w14:paraId="037109C2"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DC64D35" w14:textId="77777777" w:rsidR="00016089" w:rsidRPr="00016089" w:rsidRDefault="00016089" w:rsidP="00016089">
            <w:pPr>
              <w:spacing w:after="0" w:line="240" w:lineRule="auto"/>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Travel</w:t>
            </w:r>
          </w:p>
        </w:tc>
        <w:tc>
          <w:tcPr>
            <w:tcW w:w="3000" w:type="dxa"/>
            <w:tcBorders>
              <w:top w:val="nil"/>
              <w:left w:val="nil"/>
              <w:bottom w:val="single" w:sz="4" w:space="0" w:color="auto"/>
              <w:right w:val="single" w:sz="4" w:space="0" w:color="auto"/>
            </w:tcBorders>
            <w:shd w:val="clear" w:color="auto" w:fill="auto"/>
            <w:noWrap/>
            <w:vAlign w:val="bottom"/>
            <w:hideMark/>
          </w:tcPr>
          <w:p w14:paraId="2B8CAE24" w14:textId="77777777" w:rsidR="00016089" w:rsidRPr="00016089" w:rsidRDefault="00016089" w:rsidP="0001608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$212,500</w:t>
            </w:r>
          </w:p>
        </w:tc>
        <w:tc>
          <w:tcPr>
            <w:tcW w:w="2200" w:type="dxa"/>
            <w:tcBorders>
              <w:top w:val="nil"/>
              <w:left w:val="nil"/>
              <w:bottom w:val="single" w:sz="4" w:space="0" w:color="auto"/>
              <w:right w:val="single" w:sz="4" w:space="0" w:color="auto"/>
            </w:tcBorders>
            <w:shd w:val="clear" w:color="auto" w:fill="auto"/>
            <w:noWrap/>
            <w:vAlign w:val="bottom"/>
            <w:hideMark/>
          </w:tcPr>
          <w:p w14:paraId="4F016448" w14:textId="77777777" w:rsidR="00016089" w:rsidRPr="00016089" w:rsidRDefault="00016089" w:rsidP="0001608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5.43%</w:t>
            </w:r>
          </w:p>
        </w:tc>
      </w:tr>
      <w:tr w:rsidR="00016089" w:rsidRPr="00016089" w14:paraId="6D9DC155"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29004A9" w14:textId="77777777" w:rsidR="00016089" w:rsidRPr="00016089" w:rsidRDefault="00016089" w:rsidP="00016089">
            <w:pPr>
              <w:spacing w:after="0" w:line="240" w:lineRule="auto"/>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Dissemination</w:t>
            </w:r>
          </w:p>
        </w:tc>
        <w:tc>
          <w:tcPr>
            <w:tcW w:w="3000" w:type="dxa"/>
            <w:tcBorders>
              <w:top w:val="nil"/>
              <w:left w:val="nil"/>
              <w:bottom w:val="single" w:sz="4" w:space="0" w:color="auto"/>
              <w:right w:val="single" w:sz="4" w:space="0" w:color="auto"/>
            </w:tcBorders>
            <w:shd w:val="clear" w:color="auto" w:fill="auto"/>
            <w:noWrap/>
            <w:vAlign w:val="bottom"/>
            <w:hideMark/>
          </w:tcPr>
          <w:p w14:paraId="0A0F8F2E" w14:textId="77777777" w:rsidR="00016089" w:rsidRPr="00016089" w:rsidRDefault="00016089" w:rsidP="0001608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$85,000</w:t>
            </w:r>
          </w:p>
        </w:tc>
        <w:tc>
          <w:tcPr>
            <w:tcW w:w="2200" w:type="dxa"/>
            <w:tcBorders>
              <w:top w:val="nil"/>
              <w:left w:val="nil"/>
              <w:bottom w:val="single" w:sz="4" w:space="0" w:color="auto"/>
              <w:right w:val="single" w:sz="4" w:space="0" w:color="auto"/>
            </w:tcBorders>
            <w:shd w:val="clear" w:color="auto" w:fill="auto"/>
            <w:noWrap/>
            <w:vAlign w:val="bottom"/>
            <w:hideMark/>
          </w:tcPr>
          <w:p w14:paraId="11F48BA4" w14:textId="77777777" w:rsidR="00016089" w:rsidRPr="00016089" w:rsidRDefault="00016089" w:rsidP="0001608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2.17%</w:t>
            </w:r>
          </w:p>
        </w:tc>
      </w:tr>
      <w:tr w:rsidR="00016089" w:rsidRPr="00016089" w14:paraId="7E440BC5"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80EC0E7" w14:textId="77777777" w:rsidR="00016089" w:rsidRPr="00016089" w:rsidRDefault="00016089" w:rsidP="00016089">
            <w:pPr>
              <w:spacing w:after="0" w:line="240" w:lineRule="auto"/>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 xml:space="preserve">Other </w:t>
            </w:r>
          </w:p>
        </w:tc>
        <w:tc>
          <w:tcPr>
            <w:tcW w:w="3000" w:type="dxa"/>
            <w:tcBorders>
              <w:top w:val="nil"/>
              <w:left w:val="nil"/>
              <w:bottom w:val="single" w:sz="4" w:space="0" w:color="auto"/>
              <w:right w:val="single" w:sz="4" w:space="0" w:color="auto"/>
            </w:tcBorders>
            <w:shd w:val="clear" w:color="auto" w:fill="auto"/>
            <w:noWrap/>
            <w:vAlign w:val="bottom"/>
            <w:hideMark/>
          </w:tcPr>
          <w:p w14:paraId="490B54D4" w14:textId="77777777" w:rsidR="00016089" w:rsidRPr="00016089" w:rsidRDefault="00016089" w:rsidP="0001608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$500,000</w:t>
            </w:r>
          </w:p>
        </w:tc>
        <w:tc>
          <w:tcPr>
            <w:tcW w:w="2200" w:type="dxa"/>
            <w:tcBorders>
              <w:top w:val="nil"/>
              <w:left w:val="nil"/>
              <w:bottom w:val="single" w:sz="4" w:space="0" w:color="auto"/>
              <w:right w:val="single" w:sz="4" w:space="0" w:color="auto"/>
            </w:tcBorders>
            <w:shd w:val="clear" w:color="auto" w:fill="auto"/>
            <w:noWrap/>
            <w:vAlign w:val="bottom"/>
            <w:hideMark/>
          </w:tcPr>
          <w:p w14:paraId="52C22CF8" w14:textId="77777777" w:rsidR="00016089" w:rsidRPr="00016089" w:rsidRDefault="00016089" w:rsidP="0001608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12.77%</w:t>
            </w:r>
          </w:p>
        </w:tc>
      </w:tr>
      <w:tr w:rsidR="00016089" w:rsidRPr="00016089" w14:paraId="06765620"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3847111" w14:textId="77777777" w:rsidR="00016089" w:rsidRPr="00016089" w:rsidRDefault="00016089" w:rsidP="00016089">
            <w:pPr>
              <w:spacing w:after="0" w:line="240" w:lineRule="auto"/>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 xml:space="preserve">Total direct costs </w:t>
            </w:r>
          </w:p>
        </w:tc>
        <w:tc>
          <w:tcPr>
            <w:tcW w:w="3000" w:type="dxa"/>
            <w:tcBorders>
              <w:top w:val="nil"/>
              <w:left w:val="nil"/>
              <w:bottom w:val="single" w:sz="4" w:space="0" w:color="auto"/>
              <w:right w:val="single" w:sz="4" w:space="0" w:color="auto"/>
            </w:tcBorders>
            <w:shd w:val="clear" w:color="auto" w:fill="auto"/>
            <w:noWrap/>
            <w:vAlign w:val="bottom"/>
            <w:hideMark/>
          </w:tcPr>
          <w:p w14:paraId="5AF24D40" w14:textId="77777777" w:rsidR="00016089" w:rsidRPr="00016089" w:rsidRDefault="00016089" w:rsidP="0001608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$3,916,713</w:t>
            </w:r>
          </w:p>
        </w:tc>
        <w:tc>
          <w:tcPr>
            <w:tcW w:w="2200" w:type="dxa"/>
            <w:tcBorders>
              <w:top w:val="nil"/>
              <w:left w:val="nil"/>
              <w:bottom w:val="single" w:sz="4" w:space="0" w:color="auto"/>
              <w:right w:val="single" w:sz="4" w:space="0" w:color="auto"/>
            </w:tcBorders>
            <w:shd w:val="clear" w:color="auto" w:fill="auto"/>
            <w:noWrap/>
            <w:vAlign w:val="bottom"/>
            <w:hideMark/>
          </w:tcPr>
          <w:p w14:paraId="1C8A734F" w14:textId="77777777" w:rsidR="00016089" w:rsidRPr="00016089" w:rsidRDefault="00016089" w:rsidP="0001608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100.00%</w:t>
            </w:r>
          </w:p>
        </w:tc>
      </w:tr>
      <w:tr w:rsidR="00016089" w:rsidRPr="00016089" w14:paraId="2B2D35CB"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4D2B47D" w14:textId="77777777" w:rsidR="00016089" w:rsidRPr="00016089" w:rsidRDefault="00016089" w:rsidP="00016089">
            <w:pPr>
              <w:spacing w:after="0" w:line="240" w:lineRule="auto"/>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 xml:space="preserve">Grand total with 20% overheads </w:t>
            </w:r>
          </w:p>
        </w:tc>
        <w:tc>
          <w:tcPr>
            <w:tcW w:w="3000" w:type="dxa"/>
            <w:tcBorders>
              <w:top w:val="nil"/>
              <w:left w:val="nil"/>
              <w:bottom w:val="single" w:sz="4" w:space="0" w:color="auto"/>
              <w:right w:val="single" w:sz="4" w:space="0" w:color="auto"/>
            </w:tcBorders>
            <w:shd w:val="clear" w:color="auto" w:fill="auto"/>
            <w:noWrap/>
            <w:vAlign w:val="bottom"/>
            <w:hideMark/>
          </w:tcPr>
          <w:p w14:paraId="2262CEFE" w14:textId="77777777" w:rsidR="00016089" w:rsidRPr="00016089" w:rsidRDefault="00016089" w:rsidP="0001608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$4,700,056</w:t>
            </w:r>
          </w:p>
        </w:tc>
        <w:tc>
          <w:tcPr>
            <w:tcW w:w="2200" w:type="dxa"/>
            <w:tcBorders>
              <w:top w:val="nil"/>
              <w:left w:val="nil"/>
              <w:bottom w:val="single" w:sz="4" w:space="0" w:color="auto"/>
              <w:right w:val="single" w:sz="4" w:space="0" w:color="auto"/>
            </w:tcBorders>
            <w:shd w:val="clear" w:color="auto" w:fill="auto"/>
            <w:noWrap/>
            <w:vAlign w:val="bottom"/>
            <w:hideMark/>
          </w:tcPr>
          <w:p w14:paraId="43ABA6DD" w14:textId="77777777" w:rsidR="00016089" w:rsidRPr="00016089" w:rsidRDefault="00016089" w:rsidP="00016089">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016089">
              <w:rPr>
                <w:rFonts w:ascii="Aptos Narrow" w:eastAsia="Times New Roman" w:hAnsi="Aptos Narrow" w:cs="Times New Roman"/>
                <w:color w:val="000000"/>
                <w:kern w:val="0"/>
                <w:sz w:val="22"/>
                <w:szCs w:val="22"/>
                <w:lang w:val="en-GB" w:eastAsia="en-GB"/>
                <w14:ligatures w14:val="none"/>
              </w:rPr>
              <w:t> </w:t>
            </w:r>
          </w:p>
        </w:tc>
      </w:tr>
    </w:tbl>
    <w:p w14:paraId="01568331" w14:textId="3F295967" w:rsidR="006449E1" w:rsidRDefault="006449E1">
      <w:r>
        <w:br w:type="page"/>
      </w:r>
    </w:p>
    <w:tbl>
      <w:tblPr>
        <w:tblStyle w:val="TableGrid"/>
        <w:tblpPr w:leftFromText="180" w:rightFromText="180" w:vertAnchor="text" w:horzAnchor="margin" w:tblpY="125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2122"/>
        <w:gridCol w:w="3688"/>
        <w:gridCol w:w="3688"/>
      </w:tblGrid>
      <w:tr w:rsidR="00904BF1" w:rsidRPr="00692DFB" w14:paraId="7F9F076F" w14:textId="77777777" w:rsidTr="00904BF1">
        <w:tc>
          <w:tcPr>
            <w:tcW w:w="9498" w:type="dxa"/>
            <w:gridSpan w:val="3"/>
            <w:shd w:val="clear" w:color="auto" w:fill="F2CEED" w:themeFill="accent5" w:themeFillTint="33"/>
          </w:tcPr>
          <w:p w14:paraId="473CB957" w14:textId="77777777" w:rsidR="00904BF1" w:rsidRPr="00692DFB" w:rsidRDefault="00904BF1" w:rsidP="00904BF1">
            <w:pPr>
              <w:rPr>
                <w:color w:val="156082" w:themeColor="accent1"/>
              </w:rPr>
            </w:pPr>
            <w:r w:rsidRPr="00692DFB">
              <w:rPr>
                <w:color w:val="156082" w:themeColor="accent1"/>
              </w:rPr>
              <w:lastRenderedPageBreak/>
              <w:t>As per 4A with a reduction in the number of regional leads and level of scale-up – changes in purple</w:t>
            </w:r>
          </w:p>
        </w:tc>
      </w:tr>
      <w:tr w:rsidR="00904BF1" w14:paraId="30AF87AC" w14:textId="77777777" w:rsidTr="00904BF1">
        <w:tc>
          <w:tcPr>
            <w:tcW w:w="2122" w:type="dxa"/>
          </w:tcPr>
          <w:p w14:paraId="12ED1C72" w14:textId="77777777" w:rsidR="00904BF1" w:rsidRPr="0093000C" w:rsidRDefault="00904BF1" w:rsidP="00904BF1">
            <w:pPr>
              <w:ind w:left="2160" w:hanging="2160"/>
              <w:jc w:val="both"/>
              <w:rPr>
                <w:b/>
                <w:bCs/>
                <w:sz w:val="20"/>
                <w:szCs w:val="20"/>
              </w:rPr>
            </w:pPr>
          </w:p>
        </w:tc>
        <w:tc>
          <w:tcPr>
            <w:tcW w:w="7376" w:type="dxa"/>
            <w:gridSpan w:val="2"/>
          </w:tcPr>
          <w:p w14:paraId="2D690347" w14:textId="77777777" w:rsidR="00904BF1" w:rsidRDefault="00904BF1" w:rsidP="00904BF1">
            <w:pPr>
              <w:rPr>
                <w:sz w:val="20"/>
                <w:szCs w:val="20"/>
              </w:rPr>
            </w:pPr>
          </w:p>
        </w:tc>
      </w:tr>
      <w:tr w:rsidR="00904BF1" w14:paraId="1F084A1F" w14:textId="77777777" w:rsidTr="00904BF1">
        <w:tc>
          <w:tcPr>
            <w:tcW w:w="2122" w:type="dxa"/>
          </w:tcPr>
          <w:p w14:paraId="58F492E5" w14:textId="77777777" w:rsidR="00904BF1" w:rsidRPr="0093000C" w:rsidRDefault="00904BF1" w:rsidP="00904BF1">
            <w:pPr>
              <w:ind w:left="2160" w:hanging="2160"/>
              <w:jc w:val="both"/>
              <w:rPr>
                <w:b/>
                <w:bCs/>
                <w:sz w:val="20"/>
                <w:szCs w:val="20"/>
              </w:rPr>
            </w:pPr>
            <w:r w:rsidRPr="0093000C">
              <w:rPr>
                <w:b/>
                <w:bCs/>
                <w:sz w:val="20"/>
                <w:szCs w:val="20"/>
              </w:rPr>
              <w:t>Implementation</w:t>
            </w:r>
          </w:p>
          <w:p w14:paraId="39B44AFC" w14:textId="77777777" w:rsidR="00904BF1" w:rsidRPr="0093000C" w:rsidRDefault="00904BF1" w:rsidP="00904BF1">
            <w:pPr>
              <w:jc w:val="both"/>
              <w:rPr>
                <w:b/>
                <w:bCs/>
                <w:sz w:val="20"/>
                <w:szCs w:val="20"/>
              </w:rPr>
            </w:pPr>
            <w:r w:rsidRPr="0093000C">
              <w:rPr>
                <w:b/>
                <w:bCs/>
                <w:sz w:val="20"/>
                <w:szCs w:val="20"/>
              </w:rPr>
              <w:t>Caveats</w:t>
            </w:r>
          </w:p>
        </w:tc>
        <w:tc>
          <w:tcPr>
            <w:tcW w:w="7376" w:type="dxa"/>
            <w:gridSpan w:val="2"/>
          </w:tcPr>
          <w:p w14:paraId="54AD7FAF" w14:textId="77777777" w:rsidR="00904BF1" w:rsidRPr="001A02EE" w:rsidRDefault="00904BF1" w:rsidP="00904BF1">
            <w:pPr>
              <w:rPr>
                <w:color w:val="156082" w:themeColor="accent1"/>
                <w:sz w:val="20"/>
                <w:szCs w:val="20"/>
              </w:rPr>
            </w:pPr>
            <w:r w:rsidRPr="001A02EE">
              <w:rPr>
                <w:color w:val="156082" w:themeColor="accent1"/>
                <w:sz w:val="20"/>
                <w:szCs w:val="20"/>
              </w:rPr>
              <w:t>As per 4A</w:t>
            </w:r>
          </w:p>
        </w:tc>
      </w:tr>
      <w:tr w:rsidR="00904BF1" w14:paraId="25A49D9F" w14:textId="77777777" w:rsidTr="00904BF1">
        <w:tc>
          <w:tcPr>
            <w:tcW w:w="2122" w:type="dxa"/>
          </w:tcPr>
          <w:p w14:paraId="1C10502B" w14:textId="77777777" w:rsidR="00904BF1" w:rsidRPr="0093000C" w:rsidRDefault="00904BF1" w:rsidP="00904BF1">
            <w:pPr>
              <w:jc w:val="both"/>
              <w:rPr>
                <w:b/>
                <w:bCs/>
                <w:sz w:val="20"/>
                <w:szCs w:val="20"/>
              </w:rPr>
            </w:pPr>
            <w:r w:rsidRPr="0093000C">
              <w:rPr>
                <w:b/>
                <w:bCs/>
                <w:sz w:val="20"/>
                <w:szCs w:val="20"/>
              </w:rPr>
              <w:t>Staff Profile</w:t>
            </w:r>
          </w:p>
        </w:tc>
        <w:tc>
          <w:tcPr>
            <w:tcW w:w="3688" w:type="dxa"/>
          </w:tcPr>
          <w:p w14:paraId="38E05158" w14:textId="77777777" w:rsidR="00904BF1" w:rsidRDefault="00904BF1" w:rsidP="00904BF1">
            <w:pPr>
              <w:jc w:val="both"/>
              <w:rPr>
                <w:color w:val="156082" w:themeColor="accent1"/>
                <w:sz w:val="20"/>
                <w:szCs w:val="20"/>
                <w:lang w:val="en-GB"/>
              </w:rPr>
            </w:pPr>
            <w:r w:rsidRPr="001C7C28">
              <w:rPr>
                <w:b/>
                <w:bCs/>
                <w:color w:val="156082" w:themeColor="accent1"/>
                <w:sz w:val="20"/>
                <w:szCs w:val="20"/>
                <w:lang w:val="en-GB"/>
              </w:rPr>
              <w:t>LEAD MODEL (yr 1-3):</w:t>
            </w:r>
            <w:r w:rsidRPr="001C7C28">
              <w:rPr>
                <w:color w:val="156082" w:themeColor="accent1"/>
                <w:sz w:val="20"/>
                <w:szCs w:val="20"/>
                <w:lang w:val="en-GB"/>
              </w:rPr>
              <w:t xml:space="preserve"> </w:t>
            </w:r>
          </w:p>
          <w:p w14:paraId="109D8100" w14:textId="77777777" w:rsidR="00904BF1" w:rsidRPr="001C7C28" w:rsidRDefault="00904BF1" w:rsidP="00904BF1">
            <w:pPr>
              <w:jc w:val="both"/>
              <w:rPr>
                <w:color w:val="156082" w:themeColor="accent1"/>
                <w:sz w:val="20"/>
                <w:szCs w:val="20"/>
                <w:lang w:val="en-AU"/>
              </w:rPr>
            </w:pPr>
            <w:r w:rsidRPr="001C7C28">
              <w:rPr>
                <w:color w:val="156082" w:themeColor="accent1"/>
                <w:sz w:val="20"/>
                <w:szCs w:val="20"/>
                <w:lang w:val="en-AU"/>
              </w:rPr>
              <w:t>1 x Director (Tier 1)  </w:t>
            </w:r>
          </w:p>
          <w:p w14:paraId="056AA349" w14:textId="77777777" w:rsidR="00904BF1" w:rsidRPr="001C7C28" w:rsidRDefault="00904BF1" w:rsidP="00904BF1">
            <w:pPr>
              <w:jc w:val="both"/>
              <w:rPr>
                <w:color w:val="156082" w:themeColor="accent1"/>
                <w:sz w:val="20"/>
                <w:szCs w:val="20"/>
                <w:lang w:val="en-AU"/>
              </w:rPr>
            </w:pPr>
            <w:r w:rsidRPr="001C7C28">
              <w:rPr>
                <w:color w:val="156082" w:themeColor="accent1"/>
                <w:sz w:val="20"/>
                <w:szCs w:val="20"/>
                <w:lang w:val="en-AU"/>
              </w:rPr>
              <w:t xml:space="preserve">2 x Regional leads (1 GS </w:t>
            </w:r>
            <w:r>
              <w:rPr>
                <w:color w:val="156082" w:themeColor="accent1"/>
                <w:sz w:val="20"/>
                <w:szCs w:val="20"/>
                <w:lang w:val="en-AU"/>
              </w:rPr>
              <w:t>/</w:t>
            </w:r>
            <w:r w:rsidRPr="001C7C28">
              <w:rPr>
                <w:color w:val="156082" w:themeColor="accent1"/>
                <w:sz w:val="20"/>
                <w:szCs w:val="20"/>
                <w:lang w:val="en-AU"/>
              </w:rPr>
              <w:t xml:space="preserve"> 1 GN) (Tier 2) </w:t>
            </w:r>
          </w:p>
          <w:p w14:paraId="6706E988" w14:textId="77777777" w:rsidR="00904BF1" w:rsidRPr="001C7C28" w:rsidRDefault="00904BF1" w:rsidP="00904BF1">
            <w:pPr>
              <w:jc w:val="both"/>
              <w:rPr>
                <w:color w:val="156082" w:themeColor="accent1"/>
                <w:sz w:val="20"/>
                <w:szCs w:val="20"/>
                <w:lang w:val="en-AU"/>
              </w:rPr>
            </w:pPr>
            <w:r w:rsidRPr="001C7C28">
              <w:rPr>
                <w:color w:val="156082" w:themeColor="accent1"/>
                <w:sz w:val="20"/>
                <w:szCs w:val="20"/>
                <w:lang w:val="en-AU"/>
              </w:rPr>
              <w:t>2 x Technicians with specialist IT skills (Tier 2) </w:t>
            </w:r>
          </w:p>
          <w:p w14:paraId="0F39E139" w14:textId="77777777" w:rsidR="00904BF1" w:rsidRPr="001C7C28" w:rsidRDefault="00904BF1" w:rsidP="00904BF1">
            <w:pPr>
              <w:jc w:val="both"/>
              <w:rPr>
                <w:color w:val="156082" w:themeColor="accent1"/>
                <w:sz w:val="20"/>
                <w:szCs w:val="20"/>
                <w:lang w:val="en-AU"/>
              </w:rPr>
            </w:pPr>
            <w:r w:rsidRPr="001C7C28">
              <w:rPr>
                <w:color w:val="156082" w:themeColor="accent1"/>
                <w:sz w:val="20"/>
                <w:szCs w:val="20"/>
                <w:lang w:val="en-AU"/>
              </w:rPr>
              <w:t>1 x Facilitation lead (Teir 2) </w:t>
            </w:r>
          </w:p>
          <w:p w14:paraId="3A8200E1" w14:textId="77777777" w:rsidR="00904BF1" w:rsidRPr="00C71973" w:rsidRDefault="00904BF1" w:rsidP="00904BF1">
            <w:pPr>
              <w:jc w:val="both"/>
              <w:rPr>
                <w:color w:val="156082" w:themeColor="accent1"/>
                <w:sz w:val="20"/>
                <w:szCs w:val="20"/>
                <w:lang w:val="en-AU"/>
              </w:rPr>
            </w:pPr>
            <w:r w:rsidRPr="001C7C28">
              <w:rPr>
                <w:color w:val="156082" w:themeColor="accent1"/>
                <w:sz w:val="20"/>
                <w:szCs w:val="20"/>
                <w:lang w:val="en-AU"/>
              </w:rPr>
              <w:t>1 x Admin and Comm</w:t>
            </w:r>
            <w:r>
              <w:rPr>
                <w:color w:val="156082" w:themeColor="accent1"/>
                <w:sz w:val="20"/>
                <w:szCs w:val="20"/>
                <w:lang w:val="en-AU"/>
              </w:rPr>
              <w:t xml:space="preserve">s </w:t>
            </w:r>
            <w:r w:rsidRPr="001C7C28">
              <w:rPr>
                <w:color w:val="156082" w:themeColor="accent1"/>
                <w:sz w:val="20"/>
                <w:szCs w:val="20"/>
                <w:lang w:val="en-AU"/>
              </w:rPr>
              <w:t>Officer (Tier 2) </w:t>
            </w:r>
          </w:p>
        </w:tc>
        <w:tc>
          <w:tcPr>
            <w:tcW w:w="3688" w:type="dxa"/>
          </w:tcPr>
          <w:p w14:paraId="286881EB" w14:textId="77777777" w:rsidR="00904BF1" w:rsidRDefault="00904BF1" w:rsidP="00904BF1">
            <w:pPr>
              <w:pStyle w:val="paragraph"/>
              <w:spacing w:before="0" w:beforeAutospacing="0" w:after="0" w:afterAutospacing="0"/>
              <w:ind w:left="1410" w:hanging="1410"/>
              <w:jc w:val="both"/>
              <w:textAlignment w:val="baseline"/>
              <w:rPr>
                <w:rStyle w:val="normaltextrun"/>
                <w:rFonts w:ascii="Aptos" w:eastAsiaTheme="majorEastAsia" w:hAnsi="Aptos" w:cs="Segoe UI"/>
                <w:color w:val="156082"/>
                <w:sz w:val="20"/>
                <w:szCs w:val="20"/>
              </w:rPr>
            </w:pPr>
            <w:r>
              <w:rPr>
                <w:rStyle w:val="normaltextrun"/>
                <w:rFonts w:ascii="Aptos" w:eastAsiaTheme="majorEastAsia" w:hAnsi="Aptos" w:cs="Segoe UI"/>
                <w:b/>
                <w:bCs/>
                <w:color w:val="156082"/>
                <w:sz w:val="20"/>
                <w:szCs w:val="20"/>
              </w:rPr>
              <w:t>OPERATION (yr 4/5):</w:t>
            </w:r>
            <w:r>
              <w:rPr>
                <w:rStyle w:val="normaltextrun"/>
                <w:rFonts w:ascii="Aptos" w:eastAsiaTheme="majorEastAsia" w:hAnsi="Aptos" w:cs="Segoe UI"/>
                <w:color w:val="156082"/>
                <w:sz w:val="20"/>
                <w:szCs w:val="20"/>
              </w:rPr>
              <w:t xml:space="preserve"> </w:t>
            </w:r>
          </w:p>
          <w:p w14:paraId="4C4CE777" w14:textId="77777777" w:rsidR="00904BF1" w:rsidRDefault="00904BF1" w:rsidP="00904BF1">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color w:val="156082"/>
                <w:sz w:val="20"/>
                <w:szCs w:val="20"/>
              </w:rPr>
              <w:t>1 x Directors (Tier 1) </w:t>
            </w:r>
            <w:r>
              <w:rPr>
                <w:rStyle w:val="eop"/>
                <w:rFonts w:ascii="Aptos" w:eastAsiaTheme="majorEastAsia" w:hAnsi="Aptos" w:cs="Segoe UI"/>
                <w:color w:val="156082"/>
                <w:sz w:val="20"/>
                <w:szCs w:val="20"/>
              </w:rPr>
              <w:t> </w:t>
            </w:r>
          </w:p>
          <w:p w14:paraId="3D58AAEE" w14:textId="77777777" w:rsidR="00904BF1" w:rsidRDefault="00904BF1" w:rsidP="00904BF1">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color w:val="A02B93"/>
                <w:sz w:val="20"/>
                <w:szCs w:val="20"/>
              </w:rPr>
              <w:t xml:space="preserve">2 x </w:t>
            </w:r>
            <w:r>
              <w:rPr>
                <w:rStyle w:val="normaltextrun"/>
                <w:rFonts w:ascii="Aptos" w:eastAsiaTheme="majorEastAsia" w:hAnsi="Aptos" w:cs="Segoe UI"/>
                <w:color w:val="156082"/>
                <w:sz w:val="20"/>
                <w:szCs w:val="20"/>
              </w:rPr>
              <w:t>Regional leads (1 per region) (Tier 2)</w:t>
            </w:r>
            <w:r>
              <w:rPr>
                <w:rStyle w:val="eop"/>
                <w:rFonts w:ascii="Aptos" w:eastAsiaTheme="majorEastAsia" w:hAnsi="Aptos" w:cs="Segoe UI"/>
                <w:color w:val="156082"/>
                <w:sz w:val="20"/>
                <w:szCs w:val="20"/>
              </w:rPr>
              <w:t> </w:t>
            </w:r>
          </w:p>
          <w:p w14:paraId="0DA2391E" w14:textId="77777777" w:rsidR="00904BF1" w:rsidRDefault="00904BF1" w:rsidP="00904BF1">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color w:val="156082"/>
                <w:sz w:val="20"/>
                <w:szCs w:val="20"/>
              </w:rPr>
              <w:t>0.5 x Technicians (Tier 2)</w:t>
            </w:r>
            <w:r>
              <w:rPr>
                <w:rStyle w:val="eop"/>
                <w:rFonts w:ascii="Aptos" w:eastAsiaTheme="majorEastAsia" w:hAnsi="Aptos" w:cs="Segoe UI"/>
                <w:color w:val="156082"/>
                <w:sz w:val="20"/>
                <w:szCs w:val="20"/>
              </w:rPr>
              <w:t> </w:t>
            </w:r>
          </w:p>
          <w:p w14:paraId="2375E068" w14:textId="77777777" w:rsidR="00904BF1" w:rsidRDefault="00904BF1" w:rsidP="00904BF1">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color w:val="A02B93"/>
                <w:sz w:val="20"/>
                <w:szCs w:val="20"/>
              </w:rPr>
              <w:t>1</w:t>
            </w:r>
            <w:r>
              <w:rPr>
                <w:rStyle w:val="normaltextrun"/>
                <w:rFonts w:ascii="Aptos" w:eastAsiaTheme="majorEastAsia" w:hAnsi="Aptos" w:cs="Segoe UI"/>
                <w:color w:val="156082"/>
                <w:sz w:val="20"/>
                <w:szCs w:val="20"/>
              </w:rPr>
              <w:t xml:space="preserve"> x Facilitation leads (Tier 2)</w:t>
            </w:r>
            <w:r>
              <w:rPr>
                <w:rStyle w:val="eop"/>
                <w:rFonts w:ascii="Aptos" w:eastAsiaTheme="majorEastAsia" w:hAnsi="Aptos" w:cs="Segoe UI"/>
                <w:color w:val="156082"/>
                <w:sz w:val="20"/>
                <w:szCs w:val="20"/>
              </w:rPr>
              <w:t> </w:t>
            </w:r>
          </w:p>
          <w:p w14:paraId="7C2ECB92" w14:textId="77777777" w:rsidR="00904BF1" w:rsidRDefault="00904BF1" w:rsidP="00904BF1">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color w:val="156082"/>
                <w:sz w:val="20"/>
                <w:szCs w:val="20"/>
              </w:rPr>
              <w:t>1 x Admin and Comms Officer (Tier 2)</w:t>
            </w:r>
            <w:r>
              <w:rPr>
                <w:rStyle w:val="eop"/>
                <w:rFonts w:ascii="Aptos" w:eastAsiaTheme="majorEastAsia" w:hAnsi="Aptos" w:cs="Segoe UI"/>
                <w:color w:val="156082"/>
                <w:sz w:val="20"/>
                <w:szCs w:val="20"/>
              </w:rPr>
              <w:t> </w:t>
            </w:r>
          </w:p>
          <w:p w14:paraId="2A449F6B" w14:textId="77777777" w:rsidR="00904BF1" w:rsidRPr="007019C8" w:rsidRDefault="00904BF1" w:rsidP="00904BF1">
            <w:pPr>
              <w:jc w:val="both"/>
              <w:rPr>
                <w:color w:val="156082" w:themeColor="accent1"/>
                <w:sz w:val="20"/>
                <w:szCs w:val="20"/>
              </w:rPr>
            </w:pPr>
          </w:p>
        </w:tc>
      </w:tr>
      <w:tr w:rsidR="00904BF1" w14:paraId="6CAAD241" w14:textId="77777777" w:rsidTr="00904BF1">
        <w:tc>
          <w:tcPr>
            <w:tcW w:w="2122" w:type="dxa"/>
          </w:tcPr>
          <w:p w14:paraId="373F96C2" w14:textId="77777777" w:rsidR="00904BF1" w:rsidRPr="0093000C" w:rsidRDefault="00904BF1" w:rsidP="00904BF1">
            <w:pPr>
              <w:jc w:val="both"/>
              <w:rPr>
                <w:b/>
                <w:bCs/>
                <w:sz w:val="20"/>
                <w:szCs w:val="20"/>
              </w:rPr>
            </w:pPr>
          </w:p>
        </w:tc>
        <w:tc>
          <w:tcPr>
            <w:tcW w:w="7376" w:type="dxa"/>
            <w:gridSpan w:val="2"/>
          </w:tcPr>
          <w:p w14:paraId="1D875A95" w14:textId="77777777" w:rsidR="00904BF1" w:rsidRDefault="00904BF1" w:rsidP="00904BF1">
            <w:pPr>
              <w:rPr>
                <w:sz w:val="20"/>
                <w:szCs w:val="20"/>
              </w:rPr>
            </w:pPr>
            <w:r>
              <w:rPr>
                <w:rStyle w:val="normaltextrun"/>
                <w:rFonts w:ascii="Aptos" w:hAnsi="Aptos"/>
                <w:b/>
                <w:bCs/>
                <w:color w:val="156082"/>
                <w:sz w:val="20"/>
                <w:szCs w:val="20"/>
                <w:shd w:val="clear" w:color="auto" w:fill="FFFFFF"/>
              </w:rPr>
              <w:t>Advisory body</w:t>
            </w:r>
            <w:r>
              <w:rPr>
                <w:rStyle w:val="normaltextrun"/>
                <w:rFonts w:ascii="Aptos" w:hAnsi="Aptos"/>
                <w:color w:val="156082"/>
                <w:sz w:val="20"/>
                <w:szCs w:val="20"/>
                <w:shd w:val="clear" w:color="auto" w:fill="FFFFFF"/>
              </w:rPr>
              <w:t xml:space="preserve"> – to learn from existing global-level knowledge co-ordination efforts. 10 people @ $10,000/yr ea.</w:t>
            </w:r>
            <w:r>
              <w:rPr>
                <w:rStyle w:val="eop"/>
                <w:rFonts w:ascii="Aptos" w:hAnsi="Aptos"/>
                <w:color w:val="156082"/>
                <w:sz w:val="20"/>
                <w:szCs w:val="20"/>
                <w:shd w:val="clear" w:color="auto" w:fill="FFFFFF"/>
              </w:rPr>
              <w:t> </w:t>
            </w:r>
          </w:p>
        </w:tc>
      </w:tr>
      <w:tr w:rsidR="00904BF1" w14:paraId="525AE648" w14:textId="77777777" w:rsidTr="00C150D3">
        <w:tc>
          <w:tcPr>
            <w:tcW w:w="2122" w:type="dxa"/>
          </w:tcPr>
          <w:p w14:paraId="7050F66E" w14:textId="77777777" w:rsidR="00904BF1" w:rsidRPr="0093000C" w:rsidRDefault="00904BF1" w:rsidP="00904BF1">
            <w:pPr>
              <w:jc w:val="both"/>
              <w:rPr>
                <w:b/>
                <w:bCs/>
                <w:sz w:val="20"/>
                <w:szCs w:val="20"/>
              </w:rPr>
            </w:pPr>
            <w:r w:rsidRPr="0093000C">
              <w:rPr>
                <w:b/>
                <w:bCs/>
                <w:sz w:val="20"/>
                <w:szCs w:val="20"/>
              </w:rPr>
              <w:t>Sequencing</w:t>
            </w:r>
          </w:p>
        </w:tc>
        <w:tc>
          <w:tcPr>
            <w:tcW w:w="7376" w:type="dxa"/>
            <w:gridSpan w:val="2"/>
          </w:tcPr>
          <w:p w14:paraId="6D0ACCAC" w14:textId="77777777" w:rsidR="00904BF1" w:rsidRDefault="00904BF1" w:rsidP="00904BF1">
            <w:pPr>
              <w:rPr>
                <w:sz w:val="20"/>
                <w:szCs w:val="20"/>
              </w:rPr>
            </w:pPr>
            <w:r>
              <w:rPr>
                <w:rStyle w:val="normaltextrun"/>
                <w:rFonts w:ascii="Aptos" w:hAnsi="Aptos"/>
                <w:color w:val="156082"/>
                <w:sz w:val="20"/>
                <w:szCs w:val="20"/>
                <w:shd w:val="clear" w:color="auto" w:fill="FFFFFF"/>
                <w:lang w:val="en-GB"/>
              </w:rPr>
              <w:t xml:space="preserve">Functional stand up and establishment over first three years – 6 months build; 18 months refinement; 12 months full operation; then </w:t>
            </w:r>
            <w:r>
              <w:rPr>
                <w:rStyle w:val="normaltextrun"/>
                <w:rFonts w:ascii="Aptos" w:hAnsi="Aptos"/>
                <w:color w:val="A02B93"/>
                <w:sz w:val="20"/>
                <w:szCs w:val="20"/>
                <w:shd w:val="clear" w:color="auto" w:fill="FFFFFF"/>
                <w:lang w:val="en-GB"/>
              </w:rPr>
              <w:t>ongoing delivery at same scale as start-up. </w:t>
            </w:r>
          </w:p>
        </w:tc>
      </w:tr>
      <w:tr w:rsidR="00904BF1" w14:paraId="16B29CAA" w14:textId="77777777" w:rsidTr="00C150D3">
        <w:tc>
          <w:tcPr>
            <w:tcW w:w="2122" w:type="dxa"/>
            <w:tcBorders>
              <w:bottom w:val="single" w:sz="4" w:space="0" w:color="auto"/>
            </w:tcBorders>
          </w:tcPr>
          <w:p w14:paraId="0441457B" w14:textId="77777777" w:rsidR="00904BF1" w:rsidRPr="0093000C" w:rsidRDefault="00904BF1" w:rsidP="00904BF1">
            <w:pPr>
              <w:jc w:val="both"/>
              <w:rPr>
                <w:b/>
                <w:bCs/>
                <w:sz w:val="20"/>
                <w:szCs w:val="20"/>
              </w:rPr>
            </w:pPr>
            <w:r w:rsidRPr="0093000C">
              <w:rPr>
                <w:b/>
                <w:bCs/>
                <w:sz w:val="20"/>
                <w:szCs w:val="20"/>
              </w:rPr>
              <w:t>Operational needs</w:t>
            </w:r>
          </w:p>
        </w:tc>
        <w:tc>
          <w:tcPr>
            <w:tcW w:w="7376" w:type="dxa"/>
            <w:gridSpan w:val="2"/>
            <w:tcBorders>
              <w:bottom w:val="single" w:sz="4" w:space="0" w:color="auto"/>
            </w:tcBorders>
          </w:tcPr>
          <w:p w14:paraId="571333AF" w14:textId="77777777" w:rsidR="00904BF1" w:rsidRDefault="00904BF1" w:rsidP="00904BF1">
            <w:pPr>
              <w:rPr>
                <w:sz w:val="20"/>
                <w:szCs w:val="20"/>
              </w:rPr>
            </w:pPr>
            <w:r>
              <w:rPr>
                <w:rStyle w:val="normaltextrun"/>
                <w:rFonts w:ascii="Aptos" w:hAnsi="Aptos"/>
                <w:color w:val="156082"/>
                <w:sz w:val="20"/>
                <w:szCs w:val="20"/>
                <w:shd w:val="clear" w:color="auto" w:fill="FFFFFF"/>
                <w:lang w:val="en-GB"/>
              </w:rPr>
              <w:t xml:space="preserve">An annual provision of </w:t>
            </w:r>
            <w:r>
              <w:rPr>
                <w:rStyle w:val="normaltextrun"/>
                <w:rFonts w:ascii="Aptos" w:hAnsi="Aptos"/>
                <w:color w:val="A02B93"/>
                <w:sz w:val="20"/>
                <w:szCs w:val="20"/>
                <w:shd w:val="clear" w:color="auto" w:fill="FFFFFF"/>
                <w:lang w:val="en-GB"/>
              </w:rPr>
              <w:t xml:space="preserve">$100,000 </w:t>
            </w:r>
            <w:r>
              <w:rPr>
                <w:rStyle w:val="normaltextrun"/>
                <w:rFonts w:ascii="Aptos" w:hAnsi="Aptos"/>
                <w:color w:val="156082"/>
                <w:sz w:val="20"/>
                <w:szCs w:val="20"/>
                <w:shd w:val="clear" w:color="auto" w:fill="FFFFFF"/>
                <w:lang w:val="en-GB"/>
              </w:rPr>
              <w:t>to support extensive external outreach and engagement </w:t>
            </w:r>
            <w:r>
              <w:rPr>
                <w:rStyle w:val="eop"/>
                <w:rFonts w:ascii="Aptos" w:hAnsi="Aptos"/>
                <w:color w:val="156082"/>
                <w:sz w:val="20"/>
                <w:szCs w:val="20"/>
                <w:shd w:val="clear" w:color="auto" w:fill="FFFFFF"/>
              </w:rPr>
              <w:t> </w:t>
            </w:r>
          </w:p>
        </w:tc>
      </w:tr>
    </w:tbl>
    <w:p w14:paraId="4A7F5B01" w14:textId="593DB1E3" w:rsidR="00374F31" w:rsidRPr="00A855E9" w:rsidRDefault="00374F31" w:rsidP="00374F31">
      <w:pPr>
        <w:rPr>
          <w:rStyle w:val="Heading1Char"/>
        </w:rPr>
      </w:pPr>
      <w:r w:rsidRPr="003F58C2">
        <w:rPr>
          <w:rStyle w:val="Heading1Char"/>
        </w:rPr>
        <w:t>Option 4</w:t>
      </w:r>
      <w:r>
        <w:rPr>
          <w:rStyle w:val="Heading1Char"/>
        </w:rPr>
        <w:t>B</w:t>
      </w:r>
      <w:r w:rsidRPr="003F58C2">
        <w:rPr>
          <w:rStyle w:val="Heading1Char"/>
        </w:rPr>
        <w:t xml:space="preserve">: A global digital repository to capture priority </w:t>
      </w:r>
      <w:r w:rsidRPr="00A855E9">
        <w:rPr>
          <w:rStyle w:val="Heading1Char"/>
        </w:rPr>
        <w:t>policy questions and related information</w:t>
      </w:r>
      <w:r w:rsidR="00AB73CC">
        <w:rPr>
          <w:rStyle w:val="Heading1Char"/>
        </w:rPr>
        <w:t>: $2.8m</w:t>
      </w:r>
      <w:r w:rsidRPr="00A855E9">
        <w:rPr>
          <w:rStyle w:val="Heading1Char"/>
        </w:rPr>
        <w:t xml:space="preserve"> </w:t>
      </w:r>
    </w:p>
    <w:p w14:paraId="716A84D4" w14:textId="77777777" w:rsidR="00D805EF" w:rsidRDefault="00D805EF"/>
    <w:p w14:paraId="39ACF8C0" w14:textId="77777777" w:rsidR="00D805EF" w:rsidRDefault="00D805EF"/>
    <w:p w14:paraId="4B563A82" w14:textId="77777777" w:rsidR="00D805EF" w:rsidRDefault="00D805EF"/>
    <w:tbl>
      <w:tblPr>
        <w:tblW w:w="8020" w:type="dxa"/>
        <w:tblLook w:val="04A0" w:firstRow="1" w:lastRow="0" w:firstColumn="1" w:lastColumn="0" w:noHBand="0" w:noVBand="1"/>
      </w:tblPr>
      <w:tblGrid>
        <w:gridCol w:w="2820"/>
        <w:gridCol w:w="3000"/>
        <w:gridCol w:w="2200"/>
      </w:tblGrid>
      <w:tr w:rsidR="00A67623" w:rsidRPr="00A67623" w14:paraId="69074197" w14:textId="77777777" w:rsidTr="00700312">
        <w:trPr>
          <w:trHeight w:val="902"/>
        </w:trPr>
        <w:tc>
          <w:tcPr>
            <w:tcW w:w="2820" w:type="dxa"/>
            <w:tcBorders>
              <w:top w:val="single" w:sz="4" w:space="0" w:color="auto"/>
              <w:left w:val="single" w:sz="4" w:space="0" w:color="auto"/>
              <w:bottom w:val="single" w:sz="4" w:space="0" w:color="auto"/>
              <w:right w:val="single" w:sz="4" w:space="0" w:color="auto"/>
            </w:tcBorders>
            <w:shd w:val="clear" w:color="auto" w:fill="F2CEED" w:themeFill="accent5" w:themeFillTint="33"/>
            <w:vAlign w:val="center"/>
            <w:hideMark/>
          </w:tcPr>
          <w:p w14:paraId="49BBB599" w14:textId="36C2473A" w:rsidR="00A67623" w:rsidRPr="00A67623" w:rsidRDefault="00AB73CC" w:rsidP="00A67623">
            <w:pPr>
              <w:spacing w:after="0" w:line="240" w:lineRule="auto"/>
              <w:rPr>
                <w:rFonts w:ascii="Aptos" w:eastAsia="Times New Roman" w:hAnsi="Aptos" w:cs="Times New Roman"/>
                <w:b/>
                <w:bCs/>
                <w:color w:val="000000"/>
                <w:kern w:val="0"/>
                <w:sz w:val="22"/>
                <w:szCs w:val="22"/>
                <w:lang w:val="en-GB" w:eastAsia="en-GB"/>
                <w14:ligatures w14:val="none"/>
              </w:rPr>
            </w:pPr>
            <w:r>
              <w:t xml:space="preserve"> </w:t>
            </w:r>
            <w:r w:rsidR="00A67623" w:rsidRPr="00A67623">
              <w:rPr>
                <w:rFonts w:ascii="Aptos" w:eastAsia="Times New Roman" w:hAnsi="Aptos" w:cs="Times New Roman"/>
                <w:b/>
                <w:bCs/>
                <w:color w:val="000000"/>
                <w:kern w:val="0"/>
                <w:sz w:val="22"/>
                <w:szCs w:val="22"/>
                <w:lang w:val="en-GB" w:eastAsia="en-GB"/>
                <w14:ligatures w14:val="none"/>
              </w:rPr>
              <w:t xml:space="preserve">Category </w:t>
            </w:r>
          </w:p>
        </w:tc>
        <w:tc>
          <w:tcPr>
            <w:tcW w:w="3000" w:type="dxa"/>
            <w:tcBorders>
              <w:top w:val="single" w:sz="4" w:space="0" w:color="auto"/>
              <w:left w:val="nil"/>
              <w:bottom w:val="single" w:sz="4" w:space="0" w:color="auto"/>
              <w:right w:val="single" w:sz="4" w:space="0" w:color="auto"/>
            </w:tcBorders>
            <w:shd w:val="clear" w:color="auto" w:fill="F2CEED" w:themeFill="accent5" w:themeFillTint="33"/>
            <w:vAlign w:val="center"/>
            <w:hideMark/>
          </w:tcPr>
          <w:p w14:paraId="413289D8" w14:textId="77777777" w:rsidR="00A67623" w:rsidRPr="00A67623" w:rsidRDefault="00A67623" w:rsidP="00A67623">
            <w:pPr>
              <w:spacing w:after="0" w:line="240" w:lineRule="auto"/>
              <w:rPr>
                <w:rFonts w:ascii="Aptos" w:eastAsia="Times New Roman" w:hAnsi="Aptos" w:cs="Times New Roman"/>
                <w:b/>
                <w:bCs/>
                <w:color w:val="000000"/>
                <w:kern w:val="0"/>
                <w:sz w:val="22"/>
                <w:szCs w:val="22"/>
                <w:lang w:val="en-GB" w:eastAsia="en-GB"/>
                <w14:ligatures w14:val="none"/>
              </w:rPr>
            </w:pPr>
            <w:r w:rsidRPr="00A67623">
              <w:rPr>
                <w:rFonts w:ascii="Aptos" w:eastAsia="Times New Roman" w:hAnsi="Aptos" w:cs="Times New Roman"/>
                <w:b/>
                <w:bCs/>
                <w:color w:val="000000"/>
                <w:kern w:val="0"/>
                <w:sz w:val="22"/>
                <w:szCs w:val="22"/>
                <w:lang w:val="en-GB" w:eastAsia="en-GB"/>
                <w14:ligatures w14:val="none"/>
              </w:rPr>
              <w:t>Direct Costs by category</w:t>
            </w:r>
          </w:p>
        </w:tc>
        <w:tc>
          <w:tcPr>
            <w:tcW w:w="2200" w:type="dxa"/>
            <w:tcBorders>
              <w:top w:val="single" w:sz="4" w:space="0" w:color="auto"/>
              <w:left w:val="nil"/>
              <w:bottom w:val="single" w:sz="4" w:space="0" w:color="auto"/>
              <w:right w:val="single" w:sz="4" w:space="0" w:color="auto"/>
            </w:tcBorders>
            <w:shd w:val="clear" w:color="auto" w:fill="F2CEED" w:themeFill="accent5" w:themeFillTint="33"/>
            <w:vAlign w:val="center"/>
            <w:hideMark/>
          </w:tcPr>
          <w:p w14:paraId="4ADF0673" w14:textId="77777777" w:rsidR="00A67623" w:rsidRPr="00A67623" w:rsidRDefault="00A67623" w:rsidP="00A67623">
            <w:pPr>
              <w:spacing w:after="0" w:line="240" w:lineRule="auto"/>
              <w:rPr>
                <w:rFonts w:ascii="Aptos" w:eastAsia="Times New Roman" w:hAnsi="Aptos" w:cs="Times New Roman"/>
                <w:b/>
                <w:bCs/>
                <w:color w:val="000000"/>
                <w:kern w:val="0"/>
                <w:sz w:val="22"/>
                <w:szCs w:val="22"/>
                <w:lang w:val="en-GB" w:eastAsia="en-GB"/>
                <w14:ligatures w14:val="none"/>
              </w:rPr>
            </w:pPr>
            <w:r w:rsidRPr="00A67623">
              <w:rPr>
                <w:rFonts w:ascii="Aptos" w:eastAsia="Times New Roman" w:hAnsi="Aptos" w:cs="Times New Roman"/>
                <w:b/>
                <w:bCs/>
                <w:color w:val="000000"/>
                <w:kern w:val="0"/>
                <w:sz w:val="22"/>
                <w:szCs w:val="22"/>
                <w:lang w:val="en-GB" w:eastAsia="en-GB"/>
                <w14:ligatures w14:val="none"/>
              </w:rPr>
              <w:t xml:space="preserve">Percentage of total direct costs </w:t>
            </w:r>
          </w:p>
        </w:tc>
      </w:tr>
      <w:tr w:rsidR="00A67623" w:rsidRPr="00A67623" w14:paraId="2B405DBB"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66C3990" w14:textId="77777777" w:rsidR="00A67623" w:rsidRPr="00A67623" w:rsidRDefault="00A67623" w:rsidP="00A67623">
            <w:pPr>
              <w:spacing w:after="0" w:line="240" w:lineRule="auto"/>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People</w:t>
            </w:r>
          </w:p>
        </w:tc>
        <w:tc>
          <w:tcPr>
            <w:tcW w:w="3000" w:type="dxa"/>
            <w:tcBorders>
              <w:top w:val="nil"/>
              <w:left w:val="nil"/>
              <w:bottom w:val="single" w:sz="4" w:space="0" w:color="auto"/>
              <w:right w:val="single" w:sz="4" w:space="0" w:color="auto"/>
            </w:tcBorders>
            <w:shd w:val="clear" w:color="auto" w:fill="auto"/>
            <w:noWrap/>
            <w:vAlign w:val="bottom"/>
            <w:hideMark/>
          </w:tcPr>
          <w:p w14:paraId="10E91EE2" w14:textId="77777777" w:rsidR="00A67623" w:rsidRPr="00A67623" w:rsidRDefault="00A67623" w:rsidP="00A67623">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$2,007,326</w:t>
            </w:r>
          </w:p>
        </w:tc>
        <w:tc>
          <w:tcPr>
            <w:tcW w:w="2200" w:type="dxa"/>
            <w:tcBorders>
              <w:top w:val="nil"/>
              <w:left w:val="nil"/>
              <w:bottom w:val="single" w:sz="4" w:space="0" w:color="auto"/>
              <w:right w:val="single" w:sz="4" w:space="0" w:color="auto"/>
            </w:tcBorders>
            <w:shd w:val="clear" w:color="auto" w:fill="auto"/>
            <w:noWrap/>
            <w:vAlign w:val="bottom"/>
            <w:hideMark/>
          </w:tcPr>
          <w:p w14:paraId="5A528836" w14:textId="77777777" w:rsidR="00A67623" w:rsidRPr="00A67623" w:rsidRDefault="00A67623" w:rsidP="00A67623">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65.23%</w:t>
            </w:r>
          </w:p>
        </w:tc>
      </w:tr>
      <w:tr w:rsidR="00A67623" w:rsidRPr="00A67623" w14:paraId="2ECB5E40"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F5887CD" w14:textId="77777777" w:rsidR="00A67623" w:rsidRPr="00A67623" w:rsidRDefault="00A67623" w:rsidP="00A67623">
            <w:pPr>
              <w:spacing w:after="0" w:line="240" w:lineRule="auto"/>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 xml:space="preserve">Contracts </w:t>
            </w:r>
          </w:p>
        </w:tc>
        <w:tc>
          <w:tcPr>
            <w:tcW w:w="3000" w:type="dxa"/>
            <w:tcBorders>
              <w:top w:val="nil"/>
              <w:left w:val="nil"/>
              <w:bottom w:val="single" w:sz="4" w:space="0" w:color="auto"/>
              <w:right w:val="single" w:sz="4" w:space="0" w:color="auto"/>
            </w:tcBorders>
            <w:shd w:val="clear" w:color="auto" w:fill="auto"/>
            <w:noWrap/>
            <w:vAlign w:val="bottom"/>
            <w:hideMark/>
          </w:tcPr>
          <w:p w14:paraId="625EBE81" w14:textId="77777777" w:rsidR="00A67623" w:rsidRPr="00A67623" w:rsidRDefault="00A67623" w:rsidP="00A67623">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$210,000</w:t>
            </w:r>
          </w:p>
        </w:tc>
        <w:tc>
          <w:tcPr>
            <w:tcW w:w="2200" w:type="dxa"/>
            <w:tcBorders>
              <w:top w:val="nil"/>
              <w:left w:val="nil"/>
              <w:bottom w:val="single" w:sz="4" w:space="0" w:color="auto"/>
              <w:right w:val="single" w:sz="4" w:space="0" w:color="auto"/>
            </w:tcBorders>
            <w:shd w:val="clear" w:color="auto" w:fill="auto"/>
            <w:noWrap/>
            <w:vAlign w:val="bottom"/>
            <w:hideMark/>
          </w:tcPr>
          <w:p w14:paraId="67BF3E71" w14:textId="77777777" w:rsidR="00A67623" w:rsidRPr="00A67623" w:rsidRDefault="00A67623" w:rsidP="00A67623">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6.82%</w:t>
            </w:r>
          </w:p>
        </w:tc>
      </w:tr>
      <w:tr w:rsidR="00A67623" w:rsidRPr="00A67623" w14:paraId="1E59E97C"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AEB97FD" w14:textId="77777777" w:rsidR="00A67623" w:rsidRPr="00A67623" w:rsidRDefault="00A67623" w:rsidP="00A67623">
            <w:pPr>
              <w:spacing w:after="0" w:line="240" w:lineRule="auto"/>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 xml:space="preserve">Tools </w:t>
            </w:r>
          </w:p>
        </w:tc>
        <w:tc>
          <w:tcPr>
            <w:tcW w:w="3000" w:type="dxa"/>
            <w:tcBorders>
              <w:top w:val="nil"/>
              <w:left w:val="nil"/>
              <w:bottom w:val="single" w:sz="4" w:space="0" w:color="auto"/>
              <w:right w:val="single" w:sz="4" w:space="0" w:color="auto"/>
            </w:tcBorders>
            <w:shd w:val="clear" w:color="auto" w:fill="auto"/>
            <w:noWrap/>
            <w:vAlign w:val="bottom"/>
            <w:hideMark/>
          </w:tcPr>
          <w:p w14:paraId="4B329D7A" w14:textId="77777777" w:rsidR="00A67623" w:rsidRPr="00A67623" w:rsidRDefault="00A67623" w:rsidP="00A67623">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$28,022</w:t>
            </w:r>
          </w:p>
        </w:tc>
        <w:tc>
          <w:tcPr>
            <w:tcW w:w="2200" w:type="dxa"/>
            <w:tcBorders>
              <w:top w:val="nil"/>
              <w:left w:val="nil"/>
              <w:bottom w:val="single" w:sz="4" w:space="0" w:color="auto"/>
              <w:right w:val="single" w:sz="4" w:space="0" w:color="auto"/>
            </w:tcBorders>
            <w:shd w:val="clear" w:color="auto" w:fill="auto"/>
            <w:noWrap/>
            <w:vAlign w:val="bottom"/>
            <w:hideMark/>
          </w:tcPr>
          <w:p w14:paraId="6FD01F9E" w14:textId="77777777" w:rsidR="00A67623" w:rsidRPr="00A67623" w:rsidRDefault="00A67623" w:rsidP="00A67623">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0.91%</w:t>
            </w:r>
          </w:p>
        </w:tc>
      </w:tr>
      <w:tr w:rsidR="00A67623" w:rsidRPr="00A67623" w14:paraId="7225861C"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A5F01E6" w14:textId="77777777" w:rsidR="00A67623" w:rsidRPr="00A67623" w:rsidRDefault="00A67623" w:rsidP="00A67623">
            <w:pPr>
              <w:spacing w:after="0" w:line="240" w:lineRule="auto"/>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 xml:space="preserve">Training event attendance </w:t>
            </w:r>
          </w:p>
        </w:tc>
        <w:tc>
          <w:tcPr>
            <w:tcW w:w="3000" w:type="dxa"/>
            <w:tcBorders>
              <w:top w:val="nil"/>
              <w:left w:val="nil"/>
              <w:bottom w:val="single" w:sz="4" w:space="0" w:color="auto"/>
              <w:right w:val="single" w:sz="4" w:space="0" w:color="auto"/>
            </w:tcBorders>
            <w:shd w:val="clear" w:color="auto" w:fill="auto"/>
            <w:noWrap/>
            <w:vAlign w:val="bottom"/>
            <w:hideMark/>
          </w:tcPr>
          <w:p w14:paraId="29D8DC2D" w14:textId="77777777" w:rsidR="00A67623" w:rsidRPr="00A67623" w:rsidRDefault="00A67623" w:rsidP="00A67623">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$16,000</w:t>
            </w:r>
          </w:p>
        </w:tc>
        <w:tc>
          <w:tcPr>
            <w:tcW w:w="2200" w:type="dxa"/>
            <w:tcBorders>
              <w:top w:val="nil"/>
              <w:left w:val="nil"/>
              <w:bottom w:val="single" w:sz="4" w:space="0" w:color="auto"/>
              <w:right w:val="single" w:sz="4" w:space="0" w:color="auto"/>
            </w:tcBorders>
            <w:shd w:val="clear" w:color="auto" w:fill="auto"/>
            <w:noWrap/>
            <w:vAlign w:val="bottom"/>
            <w:hideMark/>
          </w:tcPr>
          <w:p w14:paraId="7F837B7E" w14:textId="77777777" w:rsidR="00A67623" w:rsidRPr="00A67623" w:rsidRDefault="00A67623" w:rsidP="00A67623">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0.52%</w:t>
            </w:r>
          </w:p>
        </w:tc>
      </w:tr>
      <w:tr w:rsidR="00A67623" w:rsidRPr="00A67623" w14:paraId="2E594E98"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496CB65" w14:textId="77777777" w:rsidR="00A67623" w:rsidRPr="00A67623" w:rsidRDefault="00A67623" w:rsidP="00A67623">
            <w:pPr>
              <w:spacing w:after="0" w:line="240" w:lineRule="auto"/>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 xml:space="preserve">Citizen engagement </w:t>
            </w:r>
          </w:p>
        </w:tc>
        <w:tc>
          <w:tcPr>
            <w:tcW w:w="3000" w:type="dxa"/>
            <w:tcBorders>
              <w:top w:val="nil"/>
              <w:left w:val="nil"/>
              <w:bottom w:val="single" w:sz="4" w:space="0" w:color="auto"/>
              <w:right w:val="single" w:sz="4" w:space="0" w:color="auto"/>
            </w:tcBorders>
            <w:shd w:val="clear" w:color="auto" w:fill="auto"/>
            <w:noWrap/>
            <w:vAlign w:val="bottom"/>
            <w:hideMark/>
          </w:tcPr>
          <w:p w14:paraId="4805B8D5" w14:textId="77777777" w:rsidR="00A67623" w:rsidRPr="00A67623" w:rsidRDefault="00A67623" w:rsidP="00A67623">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$90,000</w:t>
            </w:r>
          </w:p>
        </w:tc>
        <w:tc>
          <w:tcPr>
            <w:tcW w:w="2200" w:type="dxa"/>
            <w:tcBorders>
              <w:top w:val="nil"/>
              <w:left w:val="nil"/>
              <w:bottom w:val="single" w:sz="4" w:space="0" w:color="auto"/>
              <w:right w:val="single" w:sz="4" w:space="0" w:color="auto"/>
            </w:tcBorders>
            <w:shd w:val="clear" w:color="auto" w:fill="auto"/>
            <w:noWrap/>
            <w:vAlign w:val="bottom"/>
            <w:hideMark/>
          </w:tcPr>
          <w:p w14:paraId="1E90A6BC" w14:textId="77777777" w:rsidR="00A67623" w:rsidRPr="00A67623" w:rsidRDefault="00A67623" w:rsidP="00A67623">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2.92%</w:t>
            </w:r>
          </w:p>
        </w:tc>
      </w:tr>
      <w:tr w:rsidR="00A67623" w:rsidRPr="00A67623" w14:paraId="5B7DD2F7"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328DDF5" w14:textId="77777777" w:rsidR="00A67623" w:rsidRPr="00A67623" w:rsidRDefault="00A67623" w:rsidP="00A67623">
            <w:pPr>
              <w:spacing w:after="0" w:line="240" w:lineRule="auto"/>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Travel</w:t>
            </w:r>
          </w:p>
        </w:tc>
        <w:tc>
          <w:tcPr>
            <w:tcW w:w="3000" w:type="dxa"/>
            <w:tcBorders>
              <w:top w:val="nil"/>
              <w:left w:val="nil"/>
              <w:bottom w:val="single" w:sz="4" w:space="0" w:color="auto"/>
              <w:right w:val="single" w:sz="4" w:space="0" w:color="auto"/>
            </w:tcBorders>
            <w:shd w:val="clear" w:color="auto" w:fill="auto"/>
            <w:noWrap/>
            <w:vAlign w:val="bottom"/>
            <w:hideMark/>
          </w:tcPr>
          <w:p w14:paraId="41D7D772" w14:textId="77777777" w:rsidR="00A67623" w:rsidRPr="00A67623" w:rsidRDefault="00A67623" w:rsidP="00A67623">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$153,000</w:t>
            </w:r>
          </w:p>
        </w:tc>
        <w:tc>
          <w:tcPr>
            <w:tcW w:w="2200" w:type="dxa"/>
            <w:tcBorders>
              <w:top w:val="nil"/>
              <w:left w:val="nil"/>
              <w:bottom w:val="single" w:sz="4" w:space="0" w:color="auto"/>
              <w:right w:val="single" w:sz="4" w:space="0" w:color="auto"/>
            </w:tcBorders>
            <w:shd w:val="clear" w:color="auto" w:fill="auto"/>
            <w:noWrap/>
            <w:vAlign w:val="bottom"/>
            <w:hideMark/>
          </w:tcPr>
          <w:p w14:paraId="10710948" w14:textId="77777777" w:rsidR="00A67623" w:rsidRPr="00A67623" w:rsidRDefault="00A67623" w:rsidP="00A67623">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4.97%</w:t>
            </w:r>
          </w:p>
        </w:tc>
      </w:tr>
      <w:tr w:rsidR="00A67623" w:rsidRPr="00A67623" w14:paraId="6586C965"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5133656" w14:textId="77777777" w:rsidR="00A67623" w:rsidRPr="00A67623" w:rsidRDefault="00A67623" w:rsidP="00A67623">
            <w:pPr>
              <w:spacing w:after="0" w:line="240" w:lineRule="auto"/>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Dissemination</w:t>
            </w:r>
          </w:p>
        </w:tc>
        <w:tc>
          <w:tcPr>
            <w:tcW w:w="3000" w:type="dxa"/>
            <w:tcBorders>
              <w:top w:val="nil"/>
              <w:left w:val="nil"/>
              <w:bottom w:val="single" w:sz="4" w:space="0" w:color="auto"/>
              <w:right w:val="single" w:sz="4" w:space="0" w:color="auto"/>
            </w:tcBorders>
            <w:shd w:val="clear" w:color="auto" w:fill="auto"/>
            <w:noWrap/>
            <w:vAlign w:val="bottom"/>
            <w:hideMark/>
          </w:tcPr>
          <w:p w14:paraId="4D18243C" w14:textId="77777777" w:rsidR="00A67623" w:rsidRPr="00A67623" w:rsidRDefault="00A67623" w:rsidP="00A67623">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$73,000</w:t>
            </w:r>
          </w:p>
        </w:tc>
        <w:tc>
          <w:tcPr>
            <w:tcW w:w="2200" w:type="dxa"/>
            <w:tcBorders>
              <w:top w:val="nil"/>
              <w:left w:val="nil"/>
              <w:bottom w:val="single" w:sz="4" w:space="0" w:color="auto"/>
              <w:right w:val="single" w:sz="4" w:space="0" w:color="auto"/>
            </w:tcBorders>
            <w:shd w:val="clear" w:color="auto" w:fill="auto"/>
            <w:noWrap/>
            <w:vAlign w:val="bottom"/>
            <w:hideMark/>
          </w:tcPr>
          <w:p w14:paraId="3232E4F8" w14:textId="77777777" w:rsidR="00A67623" w:rsidRPr="00A67623" w:rsidRDefault="00A67623" w:rsidP="00A67623">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2.37%</w:t>
            </w:r>
          </w:p>
        </w:tc>
      </w:tr>
      <w:tr w:rsidR="00A67623" w:rsidRPr="00A67623" w14:paraId="1BCB6C1B"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EE91695" w14:textId="0C2D7F60" w:rsidR="00A67623" w:rsidRPr="00A67623" w:rsidRDefault="00A67623" w:rsidP="00A67623">
            <w:pPr>
              <w:spacing w:after="0" w:line="240" w:lineRule="auto"/>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Other</w:t>
            </w:r>
            <w:r>
              <w:rPr>
                <w:rFonts w:ascii="Aptos Narrow" w:eastAsia="Times New Roman" w:hAnsi="Aptos Narrow" w:cs="Times New Roman"/>
                <w:color w:val="000000"/>
                <w:kern w:val="0"/>
                <w:sz w:val="22"/>
                <w:szCs w:val="22"/>
                <w:lang w:val="en-GB" w:eastAsia="en-GB"/>
                <w14:ligatures w14:val="none"/>
              </w:rPr>
              <w:t>*</w:t>
            </w:r>
          </w:p>
        </w:tc>
        <w:tc>
          <w:tcPr>
            <w:tcW w:w="3000" w:type="dxa"/>
            <w:tcBorders>
              <w:top w:val="nil"/>
              <w:left w:val="nil"/>
              <w:bottom w:val="single" w:sz="4" w:space="0" w:color="auto"/>
              <w:right w:val="single" w:sz="4" w:space="0" w:color="auto"/>
            </w:tcBorders>
            <w:shd w:val="clear" w:color="auto" w:fill="auto"/>
            <w:noWrap/>
            <w:vAlign w:val="bottom"/>
            <w:hideMark/>
          </w:tcPr>
          <w:p w14:paraId="4F144BBD" w14:textId="77777777" w:rsidR="00A67623" w:rsidRPr="00A67623" w:rsidRDefault="00A67623" w:rsidP="00A67623">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$500,000</w:t>
            </w:r>
          </w:p>
        </w:tc>
        <w:tc>
          <w:tcPr>
            <w:tcW w:w="2200" w:type="dxa"/>
            <w:tcBorders>
              <w:top w:val="nil"/>
              <w:left w:val="nil"/>
              <w:bottom w:val="single" w:sz="4" w:space="0" w:color="auto"/>
              <w:right w:val="single" w:sz="4" w:space="0" w:color="auto"/>
            </w:tcBorders>
            <w:shd w:val="clear" w:color="auto" w:fill="auto"/>
            <w:noWrap/>
            <w:vAlign w:val="bottom"/>
            <w:hideMark/>
          </w:tcPr>
          <w:p w14:paraId="58AA6401" w14:textId="77777777" w:rsidR="00A67623" w:rsidRPr="00A67623" w:rsidRDefault="00A67623" w:rsidP="00A67623">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16.25%</w:t>
            </w:r>
          </w:p>
        </w:tc>
      </w:tr>
      <w:tr w:rsidR="00A67623" w:rsidRPr="00A67623" w14:paraId="632157DC"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5FF174E" w14:textId="77777777" w:rsidR="00A67623" w:rsidRPr="00A67623" w:rsidRDefault="00A67623" w:rsidP="00A67623">
            <w:pPr>
              <w:spacing w:after="0" w:line="240" w:lineRule="auto"/>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 xml:space="preserve">Total direct costs </w:t>
            </w:r>
          </w:p>
        </w:tc>
        <w:tc>
          <w:tcPr>
            <w:tcW w:w="3000" w:type="dxa"/>
            <w:tcBorders>
              <w:top w:val="nil"/>
              <w:left w:val="nil"/>
              <w:bottom w:val="single" w:sz="4" w:space="0" w:color="auto"/>
              <w:right w:val="single" w:sz="4" w:space="0" w:color="auto"/>
            </w:tcBorders>
            <w:shd w:val="clear" w:color="auto" w:fill="auto"/>
            <w:noWrap/>
            <w:vAlign w:val="bottom"/>
            <w:hideMark/>
          </w:tcPr>
          <w:p w14:paraId="062E00D4" w14:textId="77777777" w:rsidR="00A67623" w:rsidRPr="00A67623" w:rsidRDefault="00A67623" w:rsidP="00A67623">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$3,077,348</w:t>
            </w:r>
          </w:p>
        </w:tc>
        <w:tc>
          <w:tcPr>
            <w:tcW w:w="2200" w:type="dxa"/>
            <w:tcBorders>
              <w:top w:val="nil"/>
              <w:left w:val="nil"/>
              <w:bottom w:val="single" w:sz="4" w:space="0" w:color="auto"/>
              <w:right w:val="single" w:sz="4" w:space="0" w:color="auto"/>
            </w:tcBorders>
            <w:shd w:val="clear" w:color="auto" w:fill="auto"/>
            <w:noWrap/>
            <w:vAlign w:val="bottom"/>
            <w:hideMark/>
          </w:tcPr>
          <w:p w14:paraId="2DE2714D" w14:textId="77777777" w:rsidR="00A67623" w:rsidRPr="00A67623" w:rsidRDefault="00A67623" w:rsidP="00A67623">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100.00%</w:t>
            </w:r>
          </w:p>
        </w:tc>
      </w:tr>
      <w:tr w:rsidR="00A67623" w:rsidRPr="00A67623" w14:paraId="65CCF2A2"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134784E" w14:textId="77777777" w:rsidR="00A67623" w:rsidRPr="00A67623" w:rsidRDefault="00A67623" w:rsidP="00A67623">
            <w:pPr>
              <w:spacing w:after="0" w:line="240" w:lineRule="auto"/>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 xml:space="preserve">Grand total with 20% overheads </w:t>
            </w:r>
          </w:p>
        </w:tc>
        <w:tc>
          <w:tcPr>
            <w:tcW w:w="3000" w:type="dxa"/>
            <w:tcBorders>
              <w:top w:val="nil"/>
              <w:left w:val="nil"/>
              <w:bottom w:val="single" w:sz="4" w:space="0" w:color="auto"/>
              <w:right w:val="single" w:sz="4" w:space="0" w:color="auto"/>
            </w:tcBorders>
            <w:shd w:val="clear" w:color="auto" w:fill="auto"/>
            <w:noWrap/>
            <w:vAlign w:val="bottom"/>
            <w:hideMark/>
          </w:tcPr>
          <w:p w14:paraId="24F7F299" w14:textId="77777777" w:rsidR="00A67623" w:rsidRPr="00A67623" w:rsidRDefault="00A67623" w:rsidP="00A67623">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$3,692,817</w:t>
            </w:r>
          </w:p>
        </w:tc>
        <w:tc>
          <w:tcPr>
            <w:tcW w:w="2200" w:type="dxa"/>
            <w:tcBorders>
              <w:top w:val="nil"/>
              <w:left w:val="nil"/>
              <w:bottom w:val="single" w:sz="4" w:space="0" w:color="auto"/>
              <w:right w:val="single" w:sz="4" w:space="0" w:color="auto"/>
            </w:tcBorders>
            <w:shd w:val="clear" w:color="auto" w:fill="auto"/>
            <w:noWrap/>
            <w:vAlign w:val="bottom"/>
            <w:hideMark/>
          </w:tcPr>
          <w:p w14:paraId="57229C24" w14:textId="77777777" w:rsidR="00A67623" w:rsidRPr="00A67623" w:rsidRDefault="00A67623" w:rsidP="00A67623">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A67623">
              <w:rPr>
                <w:rFonts w:ascii="Aptos Narrow" w:eastAsia="Times New Roman" w:hAnsi="Aptos Narrow" w:cs="Times New Roman"/>
                <w:color w:val="000000"/>
                <w:kern w:val="0"/>
                <w:sz w:val="22"/>
                <w:szCs w:val="22"/>
                <w:lang w:val="en-GB" w:eastAsia="en-GB"/>
                <w14:ligatures w14:val="none"/>
              </w:rPr>
              <w:t> </w:t>
            </w:r>
          </w:p>
        </w:tc>
      </w:tr>
    </w:tbl>
    <w:p w14:paraId="0806B941" w14:textId="77777777" w:rsidR="002227B5" w:rsidRDefault="002227B5">
      <w:pPr>
        <w:rPr>
          <w:i/>
          <w:iCs/>
          <w:sz w:val="20"/>
          <w:szCs w:val="20"/>
        </w:rPr>
      </w:pPr>
    </w:p>
    <w:p w14:paraId="21383E09" w14:textId="57FB263E" w:rsidR="00374F31" w:rsidRPr="00A67623" w:rsidRDefault="00A67623">
      <w:pPr>
        <w:rPr>
          <w:rFonts w:asciiTheme="majorHAnsi" w:eastAsiaTheme="majorEastAsia" w:hAnsiTheme="majorHAnsi" w:cstheme="majorBidi"/>
          <w:i/>
          <w:iCs/>
          <w:color w:val="0F4761" w:themeColor="accent1" w:themeShade="BF"/>
          <w:sz w:val="32"/>
          <w:szCs w:val="32"/>
        </w:rPr>
      </w:pPr>
      <w:r w:rsidRPr="00A67623">
        <w:rPr>
          <w:i/>
          <w:iCs/>
          <w:sz w:val="20"/>
          <w:szCs w:val="20"/>
        </w:rPr>
        <w:t xml:space="preserve">* </w:t>
      </w:r>
      <w:r w:rsidR="00DB7BE9" w:rsidRPr="00A67623">
        <w:rPr>
          <w:i/>
          <w:iCs/>
          <w:sz w:val="20"/>
          <w:szCs w:val="20"/>
        </w:rPr>
        <w:t>Cost</w:t>
      </w:r>
      <w:r w:rsidRPr="00A67623">
        <w:rPr>
          <w:i/>
          <w:iCs/>
          <w:sz w:val="20"/>
          <w:szCs w:val="20"/>
        </w:rPr>
        <w:t xml:space="preserve"> likely to am</w:t>
      </w:r>
      <w:r>
        <w:rPr>
          <w:i/>
          <w:iCs/>
          <w:sz w:val="20"/>
          <w:szCs w:val="20"/>
        </w:rPr>
        <w:t>e</w:t>
      </w:r>
      <w:r w:rsidRPr="00A67623">
        <w:rPr>
          <w:i/>
          <w:iCs/>
          <w:sz w:val="20"/>
          <w:szCs w:val="20"/>
        </w:rPr>
        <w:t xml:space="preserve">nded downwards </w:t>
      </w:r>
      <w:r>
        <w:rPr>
          <w:i/>
          <w:iCs/>
          <w:sz w:val="20"/>
          <w:szCs w:val="20"/>
        </w:rPr>
        <w:t>i</w:t>
      </w:r>
      <w:r w:rsidRPr="00A67623">
        <w:rPr>
          <w:i/>
          <w:iCs/>
          <w:sz w:val="20"/>
          <w:szCs w:val="20"/>
        </w:rPr>
        <w:t>n</w:t>
      </w:r>
      <w:r>
        <w:rPr>
          <w:i/>
          <w:iCs/>
          <w:sz w:val="20"/>
          <w:szCs w:val="20"/>
        </w:rPr>
        <w:t xml:space="preserve"> final</w:t>
      </w:r>
      <w:r w:rsidR="002227B5">
        <w:rPr>
          <w:i/>
          <w:iCs/>
          <w:sz w:val="20"/>
          <w:szCs w:val="20"/>
        </w:rPr>
        <w:t xml:space="preserve"> version (adjustment wasn’t possible before publication)</w:t>
      </w:r>
      <w:r w:rsidR="00374F31" w:rsidRPr="00A67623">
        <w:rPr>
          <w:i/>
          <w:iCs/>
          <w:sz w:val="20"/>
          <w:szCs w:val="20"/>
        </w:rPr>
        <w:br w:type="page"/>
      </w:r>
    </w:p>
    <w:p w14:paraId="0F6B8BBF" w14:textId="715B0FEC" w:rsidR="006449E1" w:rsidRDefault="00374F31" w:rsidP="00374F31">
      <w:pPr>
        <w:pStyle w:val="Heading1"/>
      </w:pPr>
      <w:r w:rsidRPr="00F66025">
        <w:lastRenderedPageBreak/>
        <w:t xml:space="preserve">Option </w:t>
      </w:r>
      <w:r>
        <w:t>5</w:t>
      </w:r>
      <w:r w:rsidRPr="00F66025">
        <w:t>A</w:t>
      </w:r>
      <w:r w:rsidRPr="00374F31">
        <w:t xml:space="preserve"> </w:t>
      </w:r>
      <w:r>
        <w:t>Grant</w:t>
      </w:r>
      <w:r w:rsidR="00271224">
        <w:t>s</w:t>
      </w:r>
      <w:r>
        <w:t xml:space="preserve"> to End Users</w:t>
      </w:r>
      <w:r w:rsidR="00AB73CC">
        <w:t>:</w:t>
      </w:r>
      <w:r w:rsidR="000F6957">
        <w:t xml:space="preserve"> $15.5m</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2122"/>
        <w:gridCol w:w="7376"/>
      </w:tblGrid>
      <w:tr w:rsidR="00762BD8" w:rsidRPr="00904BF1" w14:paraId="280C8471" w14:textId="77777777" w:rsidTr="00904BF1">
        <w:tc>
          <w:tcPr>
            <w:tcW w:w="9498" w:type="dxa"/>
            <w:gridSpan w:val="2"/>
            <w:shd w:val="clear" w:color="auto" w:fill="C1E4F5" w:themeFill="accent1" w:themeFillTint="33"/>
          </w:tcPr>
          <w:p w14:paraId="07D8ED19" w14:textId="14FBE89D" w:rsidR="00762BD8" w:rsidRPr="00904BF1" w:rsidRDefault="00374F31" w:rsidP="00943858">
            <w:pPr>
              <w:rPr>
                <w:sz w:val="22"/>
                <w:szCs w:val="22"/>
              </w:rPr>
            </w:pPr>
            <w:r w:rsidRPr="00904BF1">
              <w:rPr>
                <w:color w:val="156082" w:themeColor="accent1"/>
                <w:sz w:val="22"/>
                <w:szCs w:val="22"/>
              </w:rPr>
              <w:t xml:space="preserve">This investment model aims to enhance the use of evidence synthesis by directly funding </w:t>
            </w:r>
            <w:r w:rsidR="002227B5" w:rsidRPr="002227B5">
              <w:rPr>
                <w:color w:val="156082" w:themeColor="accent1"/>
                <w:sz w:val="22"/>
                <w:szCs w:val="22"/>
              </w:rPr>
              <w:t xml:space="preserve">decision makers and </w:t>
            </w:r>
            <w:r w:rsidR="00DB7BE9" w:rsidRPr="002227B5">
              <w:rPr>
                <w:color w:val="156082" w:themeColor="accent1"/>
                <w:sz w:val="22"/>
                <w:szCs w:val="22"/>
              </w:rPr>
              <w:t>front-line</w:t>
            </w:r>
            <w:r w:rsidR="002227B5" w:rsidRPr="002227B5">
              <w:rPr>
                <w:color w:val="156082" w:themeColor="accent1"/>
                <w:sz w:val="22"/>
                <w:szCs w:val="22"/>
              </w:rPr>
              <w:t xml:space="preserve"> actors who do not have the resources to commission evidence synthesis</w:t>
            </w:r>
            <w:r w:rsidRPr="00904BF1">
              <w:rPr>
                <w:color w:val="156082" w:themeColor="accent1"/>
                <w:sz w:val="22"/>
                <w:szCs w:val="22"/>
              </w:rPr>
              <w:t>. It prioritises underserved regions and sectors where intermediary infrastructure is limited, empowering local actors to embed evidence in policy and practice through context-driven innovation.</w:t>
            </w:r>
            <w:r w:rsidR="00E655B5">
              <w:rPr>
                <w:color w:val="156082" w:themeColor="accent1"/>
                <w:sz w:val="22"/>
                <w:szCs w:val="22"/>
              </w:rPr>
              <w:t xml:space="preserve"> This model would include </w:t>
            </w:r>
            <w:r w:rsidR="00E655B5" w:rsidRPr="00E655B5">
              <w:rPr>
                <w:color w:val="156082" w:themeColor="accent1"/>
                <w:sz w:val="22"/>
                <w:szCs w:val="22"/>
              </w:rPr>
              <w:t>mechanisms for grant accountability and learning capture</w:t>
            </w:r>
            <w:r w:rsidR="00E655B5">
              <w:rPr>
                <w:color w:val="156082" w:themeColor="accent1"/>
                <w:sz w:val="22"/>
                <w:szCs w:val="22"/>
              </w:rPr>
              <w:t>.</w:t>
            </w:r>
          </w:p>
        </w:tc>
      </w:tr>
      <w:tr w:rsidR="00762BD8" w14:paraId="0DD91F7E" w14:textId="77777777" w:rsidTr="00904BF1">
        <w:tc>
          <w:tcPr>
            <w:tcW w:w="2122" w:type="dxa"/>
          </w:tcPr>
          <w:p w14:paraId="5ED1A780" w14:textId="77777777" w:rsidR="00762BD8" w:rsidRPr="0093000C" w:rsidRDefault="00762BD8" w:rsidP="00943858">
            <w:pPr>
              <w:ind w:left="2160" w:hanging="2160"/>
              <w:jc w:val="both"/>
              <w:rPr>
                <w:b/>
                <w:bCs/>
                <w:sz w:val="20"/>
                <w:szCs w:val="20"/>
              </w:rPr>
            </w:pPr>
          </w:p>
        </w:tc>
        <w:tc>
          <w:tcPr>
            <w:tcW w:w="7376" w:type="dxa"/>
          </w:tcPr>
          <w:p w14:paraId="2C13C77F" w14:textId="77777777" w:rsidR="00762BD8" w:rsidRDefault="00762BD8" w:rsidP="00943858">
            <w:pPr>
              <w:rPr>
                <w:sz w:val="20"/>
                <w:szCs w:val="20"/>
              </w:rPr>
            </w:pPr>
          </w:p>
        </w:tc>
      </w:tr>
      <w:tr w:rsidR="006449E1" w14:paraId="0A68F263" w14:textId="77777777" w:rsidTr="00904BF1">
        <w:tc>
          <w:tcPr>
            <w:tcW w:w="2122" w:type="dxa"/>
          </w:tcPr>
          <w:p w14:paraId="0341AAE9" w14:textId="77777777" w:rsidR="006449E1" w:rsidRPr="0093000C" w:rsidRDefault="006449E1" w:rsidP="00943858">
            <w:pPr>
              <w:ind w:left="2160" w:hanging="2160"/>
              <w:jc w:val="both"/>
              <w:rPr>
                <w:b/>
                <w:bCs/>
                <w:sz w:val="20"/>
                <w:szCs w:val="20"/>
              </w:rPr>
            </w:pPr>
            <w:r w:rsidRPr="0093000C">
              <w:rPr>
                <w:b/>
                <w:bCs/>
                <w:sz w:val="20"/>
                <w:szCs w:val="20"/>
              </w:rPr>
              <w:t>Implementation</w:t>
            </w:r>
          </w:p>
          <w:p w14:paraId="0946678B" w14:textId="77777777" w:rsidR="006449E1" w:rsidRPr="0093000C" w:rsidRDefault="006449E1" w:rsidP="00943858">
            <w:pPr>
              <w:jc w:val="both"/>
              <w:rPr>
                <w:b/>
                <w:bCs/>
                <w:sz w:val="20"/>
                <w:szCs w:val="20"/>
              </w:rPr>
            </w:pPr>
            <w:r w:rsidRPr="0093000C">
              <w:rPr>
                <w:b/>
                <w:bCs/>
                <w:sz w:val="20"/>
                <w:szCs w:val="20"/>
              </w:rPr>
              <w:t>Caveats</w:t>
            </w:r>
          </w:p>
        </w:tc>
        <w:tc>
          <w:tcPr>
            <w:tcW w:w="7376" w:type="dxa"/>
          </w:tcPr>
          <w:p w14:paraId="6CFEEA21" w14:textId="4F78CF7A" w:rsidR="006449E1" w:rsidRDefault="00374F31" w:rsidP="00943858">
            <w:pPr>
              <w:rPr>
                <w:sz w:val="20"/>
                <w:szCs w:val="20"/>
              </w:rPr>
            </w:pPr>
            <w:r w:rsidRPr="00941E08">
              <w:rPr>
                <w:color w:val="156082" w:themeColor="accent1"/>
                <w:sz w:val="20"/>
                <w:szCs w:val="20"/>
              </w:rPr>
              <w:t>The grants scheme can achieve optimal impact when its implementation is aligned with the work of the regional secretariats (Option 1) and the technical support aimed at capacity strengthening that would be provided to evidence intermediaries (Option 2).</w:t>
            </w:r>
            <w:r w:rsidR="00564E9D" w:rsidRPr="00564E9D">
              <w:rPr>
                <w:color w:val="156082" w:themeColor="accent1"/>
                <w:sz w:val="20"/>
                <w:szCs w:val="20"/>
              </w:rPr>
              <w:t>Success of grants in sectors like the environment will depend on upstream investments in regional coordination (Option 1) and support to intermediaries (Option 2), which enable both the targeting and uptake of synthesis</w:t>
            </w:r>
            <w:r w:rsidR="00564E9D">
              <w:rPr>
                <w:color w:val="156082" w:themeColor="accent1"/>
                <w:sz w:val="20"/>
                <w:szCs w:val="20"/>
              </w:rPr>
              <w:t>.</w:t>
            </w:r>
          </w:p>
        </w:tc>
      </w:tr>
      <w:tr w:rsidR="006449E1" w14:paraId="4C364EA3" w14:textId="77777777" w:rsidTr="00904BF1">
        <w:tc>
          <w:tcPr>
            <w:tcW w:w="2122" w:type="dxa"/>
          </w:tcPr>
          <w:p w14:paraId="772774A3" w14:textId="77777777" w:rsidR="006449E1" w:rsidRPr="0093000C" w:rsidRDefault="006449E1" w:rsidP="00943858">
            <w:pPr>
              <w:jc w:val="both"/>
              <w:rPr>
                <w:b/>
                <w:bCs/>
                <w:sz w:val="20"/>
                <w:szCs w:val="20"/>
              </w:rPr>
            </w:pPr>
            <w:r w:rsidRPr="0093000C">
              <w:rPr>
                <w:b/>
                <w:bCs/>
                <w:sz w:val="20"/>
                <w:szCs w:val="20"/>
              </w:rPr>
              <w:t>Staff Profile</w:t>
            </w:r>
          </w:p>
        </w:tc>
        <w:tc>
          <w:tcPr>
            <w:tcW w:w="7376" w:type="dxa"/>
          </w:tcPr>
          <w:p w14:paraId="231087CB" w14:textId="1D4B2960" w:rsidR="006449E1" w:rsidRPr="007019C8" w:rsidRDefault="00374F31" w:rsidP="00943858">
            <w:pPr>
              <w:jc w:val="both"/>
              <w:rPr>
                <w:color w:val="156082" w:themeColor="accent1"/>
                <w:sz w:val="20"/>
                <w:szCs w:val="20"/>
              </w:rPr>
            </w:pPr>
            <w:r w:rsidRPr="00D0780E">
              <w:rPr>
                <w:color w:val="156082" w:themeColor="accent1"/>
                <w:sz w:val="20"/>
                <w:szCs w:val="20"/>
              </w:rPr>
              <w:t>0.3 FTE Grants Coordinator per region, embedded within the regional secretariat structure (Tier 2)</w:t>
            </w:r>
            <w:r>
              <w:rPr>
                <w:color w:val="156082" w:themeColor="accent1"/>
                <w:sz w:val="20"/>
                <w:szCs w:val="20"/>
              </w:rPr>
              <w:t xml:space="preserve">. </w:t>
            </w:r>
            <w:r w:rsidRPr="00F12B32">
              <w:rPr>
                <w:color w:val="156082" w:themeColor="accent1"/>
                <w:sz w:val="20"/>
                <w:szCs w:val="20"/>
              </w:rPr>
              <w:t>Projects will target diverse sectors with limited existing synthesis infrastructure.</w:t>
            </w:r>
          </w:p>
        </w:tc>
      </w:tr>
      <w:tr w:rsidR="006449E1" w14:paraId="6013D942" w14:textId="77777777" w:rsidTr="00C150D3">
        <w:tc>
          <w:tcPr>
            <w:tcW w:w="2122" w:type="dxa"/>
          </w:tcPr>
          <w:p w14:paraId="5A739F86" w14:textId="77777777" w:rsidR="006449E1" w:rsidRPr="0093000C" w:rsidRDefault="006449E1" w:rsidP="00943858">
            <w:pPr>
              <w:jc w:val="both"/>
              <w:rPr>
                <w:b/>
                <w:bCs/>
                <w:sz w:val="20"/>
                <w:szCs w:val="20"/>
              </w:rPr>
            </w:pPr>
            <w:r w:rsidRPr="0093000C">
              <w:rPr>
                <w:b/>
                <w:bCs/>
                <w:sz w:val="20"/>
                <w:szCs w:val="20"/>
              </w:rPr>
              <w:t>Sequencing</w:t>
            </w:r>
          </w:p>
        </w:tc>
        <w:tc>
          <w:tcPr>
            <w:tcW w:w="7376" w:type="dxa"/>
          </w:tcPr>
          <w:p w14:paraId="20BBCF7E" w14:textId="2CDD1B2C" w:rsidR="006449E1" w:rsidRDefault="00374F31" w:rsidP="00943858">
            <w:pPr>
              <w:rPr>
                <w:sz w:val="20"/>
                <w:szCs w:val="20"/>
              </w:rPr>
            </w:pPr>
            <w:r w:rsidRPr="0001447B">
              <w:rPr>
                <w:color w:val="156082" w:themeColor="accent1"/>
                <w:sz w:val="20"/>
                <w:szCs w:val="20"/>
              </w:rPr>
              <w:t>The Grants Programme/Scheme is scheduled to commence in Year 1, with 50% of the full-year grants available. Early implementation will facilitate rapid learning and provide context-specific insights.</w:t>
            </w:r>
          </w:p>
        </w:tc>
      </w:tr>
      <w:tr w:rsidR="006449E1" w14:paraId="246D42E1" w14:textId="77777777" w:rsidTr="00C150D3">
        <w:tc>
          <w:tcPr>
            <w:tcW w:w="2122" w:type="dxa"/>
            <w:tcBorders>
              <w:bottom w:val="single" w:sz="4" w:space="0" w:color="auto"/>
            </w:tcBorders>
          </w:tcPr>
          <w:p w14:paraId="74829390" w14:textId="77777777" w:rsidR="006449E1" w:rsidRPr="0093000C" w:rsidRDefault="006449E1" w:rsidP="00943858">
            <w:pPr>
              <w:jc w:val="both"/>
              <w:rPr>
                <w:b/>
                <w:bCs/>
                <w:sz w:val="20"/>
                <w:szCs w:val="20"/>
              </w:rPr>
            </w:pPr>
            <w:r w:rsidRPr="0093000C">
              <w:rPr>
                <w:b/>
                <w:bCs/>
                <w:sz w:val="20"/>
                <w:szCs w:val="20"/>
              </w:rPr>
              <w:t>Operational needs</w:t>
            </w:r>
          </w:p>
        </w:tc>
        <w:tc>
          <w:tcPr>
            <w:tcW w:w="7376" w:type="dxa"/>
            <w:tcBorders>
              <w:bottom w:val="single" w:sz="4" w:space="0" w:color="auto"/>
            </w:tcBorders>
          </w:tcPr>
          <w:p w14:paraId="7054D649" w14:textId="77777777" w:rsidR="00374F31" w:rsidRPr="00B72BEE" w:rsidRDefault="00374F31" w:rsidP="00374F31">
            <w:pPr>
              <w:rPr>
                <w:color w:val="156082" w:themeColor="accent1"/>
                <w:sz w:val="20"/>
                <w:szCs w:val="20"/>
              </w:rPr>
            </w:pPr>
            <w:r w:rsidRPr="00EE765C">
              <w:rPr>
                <w:color w:val="156082" w:themeColor="accent1"/>
                <w:sz w:val="20"/>
                <w:szCs w:val="20"/>
              </w:rPr>
              <w:t xml:space="preserve">Annual </w:t>
            </w:r>
            <w:r>
              <w:rPr>
                <w:color w:val="156082" w:themeColor="accent1"/>
                <w:sz w:val="20"/>
                <w:szCs w:val="20"/>
              </w:rPr>
              <w:t xml:space="preserve">grant </w:t>
            </w:r>
            <w:r w:rsidRPr="00B72BEE">
              <w:rPr>
                <w:color w:val="156082" w:themeColor="accent1"/>
                <w:sz w:val="20"/>
                <w:szCs w:val="20"/>
              </w:rPr>
              <w:t>budget of approximately $2.5m ($500,000 per region)</w:t>
            </w:r>
          </w:p>
          <w:p w14:paraId="5063EC4E" w14:textId="73E76B3A" w:rsidR="006449E1" w:rsidRPr="00374F31" w:rsidRDefault="00374F31" w:rsidP="00374F31">
            <w:pPr>
              <w:rPr>
                <w:color w:val="156082" w:themeColor="accent1"/>
                <w:sz w:val="20"/>
                <w:szCs w:val="20"/>
              </w:rPr>
            </w:pPr>
            <w:r w:rsidRPr="00B72BEE">
              <w:rPr>
                <w:color w:val="156082" w:themeColor="accent1"/>
                <w:sz w:val="20"/>
                <w:szCs w:val="20"/>
              </w:rPr>
              <w:t>8 grants per global region per year (40 total annually) that can range from $50,000 to $100,000.</w:t>
            </w:r>
          </w:p>
        </w:tc>
      </w:tr>
    </w:tbl>
    <w:p w14:paraId="52E18C25" w14:textId="77777777" w:rsidR="006449E1" w:rsidRDefault="006449E1"/>
    <w:p w14:paraId="339C1592" w14:textId="77777777" w:rsidR="007033B4" w:rsidRDefault="007033B4"/>
    <w:tbl>
      <w:tblPr>
        <w:tblW w:w="8020" w:type="dxa"/>
        <w:tblLook w:val="04A0" w:firstRow="1" w:lastRow="0" w:firstColumn="1" w:lastColumn="0" w:noHBand="0" w:noVBand="1"/>
      </w:tblPr>
      <w:tblGrid>
        <w:gridCol w:w="2820"/>
        <w:gridCol w:w="3000"/>
        <w:gridCol w:w="2200"/>
      </w:tblGrid>
      <w:tr w:rsidR="00700312" w:rsidRPr="00700312" w14:paraId="20A88C45" w14:textId="77777777" w:rsidTr="00700312">
        <w:trPr>
          <w:trHeight w:val="902"/>
        </w:trPr>
        <w:tc>
          <w:tcPr>
            <w:tcW w:w="282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7F5D31BD" w14:textId="77777777" w:rsidR="00700312" w:rsidRPr="00700312" w:rsidRDefault="00700312" w:rsidP="00700312">
            <w:pPr>
              <w:spacing w:after="0" w:line="240" w:lineRule="auto"/>
              <w:rPr>
                <w:rFonts w:ascii="Aptos" w:eastAsia="Times New Roman" w:hAnsi="Aptos" w:cs="Times New Roman"/>
                <w:b/>
                <w:bCs/>
                <w:color w:val="000000"/>
                <w:kern w:val="0"/>
                <w:sz w:val="22"/>
                <w:szCs w:val="22"/>
                <w:lang w:val="en-GB" w:eastAsia="en-GB"/>
                <w14:ligatures w14:val="none"/>
              </w:rPr>
            </w:pPr>
            <w:r w:rsidRPr="00700312">
              <w:rPr>
                <w:rFonts w:ascii="Aptos" w:eastAsia="Times New Roman" w:hAnsi="Aptos" w:cs="Times New Roman"/>
                <w:b/>
                <w:bCs/>
                <w:color w:val="000000"/>
                <w:kern w:val="0"/>
                <w:sz w:val="22"/>
                <w:szCs w:val="22"/>
                <w:lang w:val="en-GB" w:eastAsia="en-GB"/>
                <w14:ligatures w14:val="none"/>
              </w:rPr>
              <w:t xml:space="preserve">Category </w:t>
            </w:r>
          </w:p>
        </w:tc>
        <w:tc>
          <w:tcPr>
            <w:tcW w:w="3000" w:type="dxa"/>
            <w:tcBorders>
              <w:top w:val="single" w:sz="4" w:space="0" w:color="auto"/>
              <w:left w:val="nil"/>
              <w:bottom w:val="single" w:sz="4" w:space="0" w:color="auto"/>
              <w:right w:val="single" w:sz="4" w:space="0" w:color="auto"/>
            </w:tcBorders>
            <w:shd w:val="clear" w:color="auto" w:fill="C1E4F5" w:themeFill="accent1" w:themeFillTint="33"/>
            <w:vAlign w:val="center"/>
            <w:hideMark/>
          </w:tcPr>
          <w:p w14:paraId="354A2974" w14:textId="77777777" w:rsidR="00700312" w:rsidRPr="00700312" w:rsidRDefault="00700312" w:rsidP="00700312">
            <w:pPr>
              <w:spacing w:after="0" w:line="240" w:lineRule="auto"/>
              <w:rPr>
                <w:rFonts w:ascii="Aptos" w:eastAsia="Times New Roman" w:hAnsi="Aptos" w:cs="Times New Roman"/>
                <w:b/>
                <w:bCs/>
                <w:color w:val="000000"/>
                <w:kern w:val="0"/>
                <w:sz w:val="22"/>
                <w:szCs w:val="22"/>
                <w:lang w:val="en-GB" w:eastAsia="en-GB"/>
                <w14:ligatures w14:val="none"/>
              </w:rPr>
            </w:pPr>
            <w:r w:rsidRPr="00700312">
              <w:rPr>
                <w:rFonts w:ascii="Aptos" w:eastAsia="Times New Roman" w:hAnsi="Aptos" w:cs="Times New Roman"/>
                <w:b/>
                <w:bCs/>
                <w:color w:val="000000"/>
                <w:kern w:val="0"/>
                <w:sz w:val="22"/>
                <w:szCs w:val="22"/>
                <w:lang w:val="en-GB" w:eastAsia="en-GB"/>
                <w14:ligatures w14:val="none"/>
              </w:rPr>
              <w:t>Direct Costs by category</w:t>
            </w:r>
          </w:p>
        </w:tc>
        <w:tc>
          <w:tcPr>
            <w:tcW w:w="2200" w:type="dxa"/>
            <w:tcBorders>
              <w:top w:val="single" w:sz="4" w:space="0" w:color="auto"/>
              <w:left w:val="nil"/>
              <w:bottom w:val="single" w:sz="4" w:space="0" w:color="auto"/>
              <w:right w:val="single" w:sz="4" w:space="0" w:color="auto"/>
            </w:tcBorders>
            <w:shd w:val="clear" w:color="auto" w:fill="C1E4F5" w:themeFill="accent1" w:themeFillTint="33"/>
            <w:vAlign w:val="center"/>
            <w:hideMark/>
          </w:tcPr>
          <w:p w14:paraId="7925227A" w14:textId="77777777" w:rsidR="00700312" w:rsidRPr="00700312" w:rsidRDefault="00700312" w:rsidP="00700312">
            <w:pPr>
              <w:spacing w:after="0" w:line="240" w:lineRule="auto"/>
              <w:rPr>
                <w:rFonts w:ascii="Aptos" w:eastAsia="Times New Roman" w:hAnsi="Aptos" w:cs="Times New Roman"/>
                <w:b/>
                <w:bCs/>
                <w:color w:val="000000"/>
                <w:kern w:val="0"/>
                <w:sz w:val="22"/>
                <w:szCs w:val="22"/>
                <w:lang w:val="en-GB" w:eastAsia="en-GB"/>
                <w14:ligatures w14:val="none"/>
              </w:rPr>
            </w:pPr>
            <w:r w:rsidRPr="00700312">
              <w:rPr>
                <w:rFonts w:ascii="Aptos" w:eastAsia="Times New Roman" w:hAnsi="Aptos" w:cs="Times New Roman"/>
                <w:b/>
                <w:bCs/>
                <w:color w:val="000000"/>
                <w:kern w:val="0"/>
                <w:sz w:val="22"/>
                <w:szCs w:val="22"/>
                <w:lang w:val="en-GB" w:eastAsia="en-GB"/>
                <w14:ligatures w14:val="none"/>
              </w:rPr>
              <w:t xml:space="preserve">Percentage of total direct costs </w:t>
            </w:r>
          </w:p>
        </w:tc>
      </w:tr>
      <w:tr w:rsidR="00700312" w:rsidRPr="00700312" w14:paraId="1D296BA7"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D1A06E8" w14:textId="77777777" w:rsidR="00700312" w:rsidRPr="00700312" w:rsidRDefault="00700312" w:rsidP="00700312">
            <w:pPr>
              <w:spacing w:after="0" w:line="240" w:lineRule="auto"/>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People</w:t>
            </w:r>
          </w:p>
        </w:tc>
        <w:tc>
          <w:tcPr>
            <w:tcW w:w="3000" w:type="dxa"/>
            <w:tcBorders>
              <w:top w:val="nil"/>
              <w:left w:val="nil"/>
              <w:bottom w:val="single" w:sz="4" w:space="0" w:color="auto"/>
              <w:right w:val="single" w:sz="4" w:space="0" w:color="auto"/>
            </w:tcBorders>
            <w:shd w:val="clear" w:color="auto" w:fill="auto"/>
            <w:noWrap/>
            <w:vAlign w:val="bottom"/>
            <w:hideMark/>
          </w:tcPr>
          <w:p w14:paraId="6A87FC4C" w14:textId="77777777" w:rsidR="00700312" w:rsidRPr="00700312" w:rsidRDefault="00700312" w:rsidP="007003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$578,043</w:t>
            </w:r>
          </w:p>
        </w:tc>
        <w:tc>
          <w:tcPr>
            <w:tcW w:w="2200" w:type="dxa"/>
            <w:tcBorders>
              <w:top w:val="nil"/>
              <w:left w:val="nil"/>
              <w:bottom w:val="single" w:sz="4" w:space="0" w:color="auto"/>
              <w:right w:val="single" w:sz="4" w:space="0" w:color="auto"/>
            </w:tcBorders>
            <w:shd w:val="clear" w:color="auto" w:fill="auto"/>
            <w:noWrap/>
            <w:vAlign w:val="bottom"/>
            <w:hideMark/>
          </w:tcPr>
          <w:p w14:paraId="7DE6DFEC" w14:textId="77777777" w:rsidR="00700312" w:rsidRPr="00700312" w:rsidRDefault="00700312" w:rsidP="007003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4.41%</w:t>
            </w:r>
          </w:p>
        </w:tc>
      </w:tr>
      <w:tr w:rsidR="00700312" w:rsidRPr="00700312" w14:paraId="658DF0CE"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913B684" w14:textId="77777777" w:rsidR="00700312" w:rsidRPr="00700312" w:rsidRDefault="00700312" w:rsidP="00700312">
            <w:pPr>
              <w:spacing w:after="0" w:line="240" w:lineRule="auto"/>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 xml:space="preserve">Contracts </w:t>
            </w:r>
          </w:p>
        </w:tc>
        <w:tc>
          <w:tcPr>
            <w:tcW w:w="3000" w:type="dxa"/>
            <w:tcBorders>
              <w:top w:val="nil"/>
              <w:left w:val="nil"/>
              <w:bottom w:val="single" w:sz="4" w:space="0" w:color="auto"/>
              <w:right w:val="single" w:sz="4" w:space="0" w:color="auto"/>
            </w:tcBorders>
            <w:shd w:val="clear" w:color="auto" w:fill="auto"/>
            <w:noWrap/>
            <w:vAlign w:val="bottom"/>
            <w:hideMark/>
          </w:tcPr>
          <w:p w14:paraId="644DBF6A" w14:textId="77777777" w:rsidR="00700312" w:rsidRPr="00700312" w:rsidRDefault="00700312" w:rsidP="007003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$12,500,000</w:t>
            </w:r>
          </w:p>
        </w:tc>
        <w:tc>
          <w:tcPr>
            <w:tcW w:w="2200" w:type="dxa"/>
            <w:tcBorders>
              <w:top w:val="nil"/>
              <w:left w:val="nil"/>
              <w:bottom w:val="single" w:sz="4" w:space="0" w:color="auto"/>
              <w:right w:val="single" w:sz="4" w:space="0" w:color="auto"/>
            </w:tcBorders>
            <w:shd w:val="clear" w:color="auto" w:fill="auto"/>
            <w:noWrap/>
            <w:vAlign w:val="bottom"/>
            <w:hideMark/>
          </w:tcPr>
          <w:p w14:paraId="15B54111" w14:textId="77777777" w:rsidR="00700312" w:rsidRPr="00700312" w:rsidRDefault="00700312" w:rsidP="007003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95.45%</w:t>
            </w:r>
          </w:p>
        </w:tc>
      </w:tr>
      <w:tr w:rsidR="00700312" w:rsidRPr="00700312" w14:paraId="244EF24D"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15C018E" w14:textId="77777777" w:rsidR="00700312" w:rsidRPr="00700312" w:rsidRDefault="00700312" w:rsidP="00700312">
            <w:pPr>
              <w:spacing w:after="0" w:line="240" w:lineRule="auto"/>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 xml:space="preserve">Tools </w:t>
            </w:r>
          </w:p>
        </w:tc>
        <w:tc>
          <w:tcPr>
            <w:tcW w:w="3000" w:type="dxa"/>
            <w:tcBorders>
              <w:top w:val="nil"/>
              <w:left w:val="nil"/>
              <w:bottom w:val="single" w:sz="4" w:space="0" w:color="auto"/>
              <w:right w:val="single" w:sz="4" w:space="0" w:color="auto"/>
            </w:tcBorders>
            <w:shd w:val="clear" w:color="auto" w:fill="auto"/>
            <w:noWrap/>
            <w:vAlign w:val="bottom"/>
            <w:hideMark/>
          </w:tcPr>
          <w:p w14:paraId="11B45B96" w14:textId="77777777" w:rsidR="00700312" w:rsidRPr="00700312" w:rsidRDefault="00700312" w:rsidP="007003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$17,350</w:t>
            </w:r>
          </w:p>
        </w:tc>
        <w:tc>
          <w:tcPr>
            <w:tcW w:w="2200" w:type="dxa"/>
            <w:tcBorders>
              <w:top w:val="nil"/>
              <w:left w:val="nil"/>
              <w:bottom w:val="single" w:sz="4" w:space="0" w:color="auto"/>
              <w:right w:val="single" w:sz="4" w:space="0" w:color="auto"/>
            </w:tcBorders>
            <w:shd w:val="clear" w:color="auto" w:fill="auto"/>
            <w:noWrap/>
            <w:vAlign w:val="bottom"/>
            <w:hideMark/>
          </w:tcPr>
          <w:p w14:paraId="4F2A4968" w14:textId="77777777" w:rsidR="00700312" w:rsidRPr="00700312" w:rsidRDefault="00700312" w:rsidP="007003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0.13%</w:t>
            </w:r>
          </w:p>
        </w:tc>
      </w:tr>
      <w:tr w:rsidR="00700312" w:rsidRPr="00700312" w14:paraId="071BE912"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3B22D72" w14:textId="77777777" w:rsidR="00700312" w:rsidRPr="00700312" w:rsidRDefault="00700312" w:rsidP="00700312">
            <w:pPr>
              <w:spacing w:after="0" w:line="240" w:lineRule="auto"/>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 xml:space="preserve">Training event attendance </w:t>
            </w:r>
          </w:p>
        </w:tc>
        <w:tc>
          <w:tcPr>
            <w:tcW w:w="3000" w:type="dxa"/>
            <w:tcBorders>
              <w:top w:val="nil"/>
              <w:left w:val="nil"/>
              <w:bottom w:val="single" w:sz="4" w:space="0" w:color="auto"/>
              <w:right w:val="single" w:sz="4" w:space="0" w:color="auto"/>
            </w:tcBorders>
            <w:shd w:val="clear" w:color="auto" w:fill="auto"/>
            <w:noWrap/>
            <w:vAlign w:val="bottom"/>
            <w:hideMark/>
          </w:tcPr>
          <w:p w14:paraId="65862E1A" w14:textId="77777777" w:rsidR="00700312" w:rsidRPr="00700312" w:rsidRDefault="00700312" w:rsidP="007003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67A3846B" w14:textId="77777777" w:rsidR="00700312" w:rsidRPr="00700312" w:rsidRDefault="00700312" w:rsidP="007003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0.00%</w:t>
            </w:r>
          </w:p>
        </w:tc>
      </w:tr>
      <w:tr w:rsidR="00700312" w:rsidRPr="00700312" w14:paraId="3B1FF0B0"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4C9161A" w14:textId="77777777" w:rsidR="00700312" w:rsidRPr="00700312" w:rsidRDefault="00700312" w:rsidP="00700312">
            <w:pPr>
              <w:spacing w:after="0" w:line="240" w:lineRule="auto"/>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 xml:space="preserve">Citizen engagement </w:t>
            </w:r>
          </w:p>
        </w:tc>
        <w:tc>
          <w:tcPr>
            <w:tcW w:w="3000" w:type="dxa"/>
            <w:tcBorders>
              <w:top w:val="nil"/>
              <w:left w:val="nil"/>
              <w:bottom w:val="single" w:sz="4" w:space="0" w:color="auto"/>
              <w:right w:val="single" w:sz="4" w:space="0" w:color="auto"/>
            </w:tcBorders>
            <w:shd w:val="clear" w:color="auto" w:fill="auto"/>
            <w:noWrap/>
            <w:vAlign w:val="bottom"/>
            <w:hideMark/>
          </w:tcPr>
          <w:p w14:paraId="4161D6FC" w14:textId="77777777" w:rsidR="00700312" w:rsidRPr="00700312" w:rsidRDefault="00700312" w:rsidP="007003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61815ED5" w14:textId="77777777" w:rsidR="00700312" w:rsidRPr="00700312" w:rsidRDefault="00700312" w:rsidP="007003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0.00%</w:t>
            </w:r>
          </w:p>
        </w:tc>
      </w:tr>
      <w:tr w:rsidR="00700312" w:rsidRPr="00700312" w14:paraId="63E4495A"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3616B93" w14:textId="77777777" w:rsidR="00700312" w:rsidRPr="00700312" w:rsidRDefault="00700312" w:rsidP="00700312">
            <w:pPr>
              <w:spacing w:after="0" w:line="240" w:lineRule="auto"/>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Travel</w:t>
            </w:r>
          </w:p>
        </w:tc>
        <w:tc>
          <w:tcPr>
            <w:tcW w:w="3000" w:type="dxa"/>
            <w:tcBorders>
              <w:top w:val="nil"/>
              <w:left w:val="nil"/>
              <w:bottom w:val="single" w:sz="4" w:space="0" w:color="auto"/>
              <w:right w:val="single" w:sz="4" w:space="0" w:color="auto"/>
            </w:tcBorders>
            <w:shd w:val="clear" w:color="auto" w:fill="auto"/>
            <w:noWrap/>
            <w:vAlign w:val="bottom"/>
            <w:hideMark/>
          </w:tcPr>
          <w:p w14:paraId="5B68C5DC" w14:textId="77777777" w:rsidR="00700312" w:rsidRPr="00700312" w:rsidRDefault="00700312" w:rsidP="007003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5D7B727F" w14:textId="77777777" w:rsidR="00700312" w:rsidRPr="00700312" w:rsidRDefault="00700312" w:rsidP="007003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0.00%</w:t>
            </w:r>
          </w:p>
        </w:tc>
      </w:tr>
      <w:tr w:rsidR="00700312" w:rsidRPr="00700312" w14:paraId="0C8A79E3"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7DEEC05" w14:textId="77777777" w:rsidR="00700312" w:rsidRPr="00700312" w:rsidRDefault="00700312" w:rsidP="00700312">
            <w:pPr>
              <w:spacing w:after="0" w:line="240" w:lineRule="auto"/>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Dissemination</w:t>
            </w:r>
          </w:p>
        </w:tc>
        <w:tc>
          <w:tcPr>
            <w:tcW w:w="3000" w:type="dxa"/>
            <w:tcBorders>
              <w:top w:val="nil"/>
              <w:left w:val="nil"/>
              <w:bottom w:val="single" w:sz="4" w:space="0" w:color="auto"/>
              <w:right w:val="single" w:sz="4" w:space="0" w:color="auto"/>
            </w:tcBorders>
            <w:shd w:val="clear" w:color="auto" w:fill="auto"/>
            <w:noWrap/>
            <w:vAlign w:val="bottom"/>
            <w:hideMark/>
          </w:tcPr>
          <w:p w14:paraId="4E114BFD" w14:textId="77777777" w:rsidR="00700312" w:rsidRPr="00700312" w:rsidRDefault="00700312" w:rsidP="007003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089D1064" w14:textId="77777777" w:rsidR="00700312" w:rsidRPr="00700312" w:rsidRDefault="00700312" w:rsidP="007003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0.00%</w:t>
            </w:r>
          </w:p>
        </w:tc>
      </w:tr>
      <w:tr w:rsidR="00700312" w:rsidRPr="00700312" w14:paraId="3BF011BA"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772BDBA" w14:textId="77777777" w:rsidR="00700312" w:rsidRPr="00700312" w:rsidRDefault="00700312" w:rsidP="00700312">
            <w:pPr>
              <w:spacing w:after="0" w:line="240" w:lineRule="auto"/>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 xml:space="preserve">Other </w:t>
            </w:r>
          </w:p>
        </w:tc>
        <w:tc>
          <w:tcPr>
            <w:tcW w:w="3000" w:type="dxa"/>
            <w:tcBorders>
              <w:top w:val="nil"/>
              <w:left w:val="nil"/>
              <w:bottom w:val="single" w:sz="4" w:space="0" w:color="auto"/>
              <w:right w:val="single" w:sz="4" w:space="0" w:color="auto"/>
            </w:tcBorders>
            <w:shd w:val="clear" w:color="auto" w:fill="auto"/>
            <w:noWrap/>
            <w:vAlign w:val="bottom"/>
            <w:hideMark/>
          </w:tcPr>
          <w:p w14:paraId="47E54E41" w14:textId="77777777" w:rsidR="00700312" w:rsidRPr="00700312" w:rsidRDefault="00700312" w:rsidP="007003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42F7EA9B" w14:textId="77777777" w:rsidR="00700312" w:rsidRPr="00700312" w:rsidRDefault="00700312" w:rsidP="007003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0.00%</w:t>
            </w:r>
          </w:p>
        </w:tc>
      </w:tr>
      <w:tr w:rsidR="00700312" w:rsidRPr="00700312" w14:paraId="08EE0B07"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3E4E91C" w14:textId="77777777" w:rsidR="00700312" w:rsidRPr="00700312" w:rsidRDefault="00700312" w:rsidP="00700312">
            <w:pPr>
              <w:spacing w:after="0" w:line="240" w:lineRule="auto"/>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 xml:space="preserve">Total direct costs </w:t>
            </w:r>
          </w:p>
        </w:tc>
        <w:tc>
          <w:tcPr>
            <w:tcW w:w="3000" w:type="dxa"/>
            <w:tcBorders>
              <w:top w:val="nil"/>
              <w:left w:val="nil"/>
              <w:bottom w:val="single" w:sz="4" w:space="0" w:color="auto"/>
              <w:right w:val="single" w:sz="4" w:space="0" w:color="auto"/>
            </w:tcBorders>
            <w:shd w:val="clear" w:color="auto" w:fill="auto"/>
            <w:noWrap/>
            <w:vAlign w:val="bottom"/>
            <w:hideMark/>
          </w:tcPr>
          <w:p w14:paraId="7FCF9728" w14:textId="77777777" w:rsidR="00700312" w:rsidRPr="00700312" w:rsidRDefault="00700312" w:rsidP="007003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$13,095,393</w:t>
            </w:r>
          </w:p>
        </w:tc>
        <w:tc>
          <w:tcPr>
            <w:tcW w:w="2200" w:type="dxa"/>
            <w:tcBorders>
              <w:top w:val="nil"/>
              <w:left w:val="nil"/>
              <w:bottom w:val="single" w:sz="4" w:space="0" w:color="auto"/>
              <w:right w:val="single" w:sz="4" w:space="0" w:color="auto"/>
            </w:tcBorders>
            <w:shd w:val="clear" w:color="auto" w:fill="auto"/>
            <w:noWrap/>
            <w:vAlign w:val="bottom"/>
            <w:hideMark/>
          </w:tcPr>
          <w:p w14:paraId="59E6DE61" w14:textId="77777777" w:rsidR="00700312" w:rsidRPr="00700312" w:rsidRDefault="00700312" w:rsidP="007003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100.00%</w:t>
            </w:r>
          </w:p>
        </w:tc>
      </w:tr>
      <w:tr w:rsidR="00700312" w:rsidRPr="00700312" w14:paraId="6926A3C4"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F29D294" w14:textId="77777777" w:rsidR="00700312" w:rsidRPr="00700312" w:rsidRDefault="00700312" w:rsidP="00700312">
            <w:pPr>
              <w:spacing w:after="0" w:line="240" w:lineRule="auto"/>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 xml:space="preserve">Grand total with 20% overheads </w:t>
            </w:r>
          </w:p>
        </w:tc>
        <w:tc>
          <w:tcPr>
            <w:tcW w:w="3000" w:type="dxa"/>
            <w:tcBorders>
              <w:top w:val="nil"/>
              <w:left w:val="nil"/>
              <w:bottom w:val="single" w:sz="4" w:space="0" w:color="auto"/>
              <w:right w:val="single" w:sz="4" w:space="0" w:color="auto"/>
            </w:tcBorders>
            <w:shd w:val="clear" w:color="auto" w:fill="auto"/>
            <w:noWrap/>
            <w:vAlign w:val="bottom"/>
            <w:hideMark/>
          </w:tcPr>
          <w:p w14:paraId="728032BB" w14:textId="77777777" w:rsidR="00700312" w:rsidRPr="00700312" w:rsidRDefault="00700312" w:rsidP="007003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$15,714,472</w:t>
            </w:r>
          </w:p>
        </w:tc>
        <w:tc>
          <w:tcPr>
            <w:tcW w:w="2200" w:type="dxa"/>
            <w:tcBorders>
              <w:top w:val="nil"/>
              <w:left w:val="nil"/>
              <w:bottom w:val="single" w:sz="4" w:space="0" w:color="auto"/>
              <w:right w:val="single" w:sz="4" w:space="0" w:color="auto"/>
            </w:tcBorders>
            <w:shd w:val="clear" w:color="auto" w:fill="auto"/>
            <w:noWrap/>
            <w:vAlign w:val="bottom"/>
            <w:hideMark/>
          </w:tcPr>
          <w:p w14:paraId="3B272E43" w14:textId="77777777" w:rsidR="00700312" w:rsidRPr="00700312" w:rsidRDefault="00700312" w:rsidP="00700312">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700312">
              <w:rPr>
                <w:rFonts w:ascii="Aptos Narrow" w:eastAsia="Times New Roman" w:hAnsi="Aptos Narrow" w:cs="Times New Roman"/>
                <w:color w:val="000000"/>
                <w:kern w:val="0"/>
                <w:sz w:val="22"/>
                <w:szCs w:val="22"/>
                <w:lang w:val="en-GB" w:eastAsia="en-GB"/>
                <w14:ligatures w14:val="none"/>
              </w:rPr>
              <w:t> </w:t>
            </w:r>
          </w:p>
        </w:tc>
      </w:tr>
    </w:tbl>
    <w:p w14:paraId="4D0AF058" w14:textId="77777777" w:rsidR="00374F31" w:rsidRDefault="00374F31">
      <w:pPr>
        <w:rPr>
          <w:sz w:val="20"/>
          <w:szCs w:val="20"/>
        </w:rPr>
      </w:pPr>
    </w:p>
    <w:p w14:paraId="119D06E1" w14:textId="3F0C1192" w:rsidR="006449E1" w:rsidRDefault="006449E1">
      <w:r>
        <w:br w:type="page"/>
      </w:r>
    </w:p>
    <w:p w14:paraId="480152CA" w14:textId="2DC95304" w:rsidR="00374F31" w:rsidRDefault="00374F31" w:rsidP="00374F31">
      <w:pPr>
        <w:pStyle w:val="Heading1"/>
      </w:pPr>
      <w:r w:rsidRPr="00F66025">
        <w:lastRenderedPageBreak/>
        <w:t xml:space="preserve">Option </w:t>
      </w:r>
      <w:r>
        <w:t>5B</w:t>
      </w:r>
      <w:r w:rsidRPr="00374F31">
        <w:t xml:space="preserve"> </w:t>
      </w:r>
      <w:r>
        <w:t>Grant</w:t>
      </w:r>
      <w:r w:rsidR="00271224">
        <w:t>s</w:t>
      </w:r>
      <w:r>
        <w:t xml:space="preserve"> to End Users</w:t>
      </w:r>
      <w:r w:rsidR="003B4C55">
        <w:t>: $9.3m</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2122"/>
        <w:gridCol w:w="7376"/>
      </w:tblGrid>
      <w:tr w:rsidR="00692DFB" w:rsidRPr="00904BF1" w14:paraId="79EC44DF" w14:textId="77777777" w:rsidTr="00BA68F2">
        <w:tc>
          <w:tcPr>
            <w:tcW w:w="9498" w:type="dxa"/>
            <w:gridSpan w:val="2"/>
            <w:shd w:val="clear" w:color="auto" w:fill="F2CEED" w:themeFill="accent5" w:themeFillTint="33"/>
          </w:tcPr>
          <w:p w14:paraId="51E5DA15" w14:textId="61DA5DB7" w:rsidR="00762BD8" w:rsidRPr="00904BF1" w:rsidRDefault="00692DFB" w:rsidP="00943858">
            <w:pPr>
              <w:rPr>
                <w:color w:val="156082" w:themeColor="accent1"/>
                <w:sz w:val="22"/>
                <w:szCs w:val="22"/>
              </w:rPr>
            </w:pPr>
            <w:r w:rsidRPr="00904BF1">
              <w:rPr>
                <w:color w:val="156082" w:themeColor="accent1"/>
                <w:sz w:val="22"/>
                <w:szCs w:val="22"/>
              </w:rPr>
              <w:t>As per 5A with reduced annual budget</w:t>
            </w:r>
            <w:r w:rsidR="00F10507">
              <w:rPr>
                <w:color w:val="156082" w:themeColor="accent1"/>
                <w:sz w:val="22"/>
                <w:szCs w:val="22"/>
              </w:rPr>
              <w:t xml:space="preserve"> and changed sequencing</w:t>
            </w:r>
            <w:r w:rsidRPr="00904BF1">
              <w:rPr>
                <w:color w:val="156082" w:themeColor="accent1"/>
                <w:sz w:val="22"/>
                <w:szCs w:val="22"/>
              </w:rPr>
              <w:t xml:space="preserve"> – changes in purple</w:t>
            </w:r>
          </w:p>
        </w:tc>
      </w:tr>
      <w:tr w:rsidR="00762BD8" w14:paraId="0ABD7646" w14:textId="77777777" w:rsidTr="00BA68F2">
        <w:tc>
          <w:tcPr>
            <w:tcW w:w="2122" w:type="dxa"/>
          </w:tcPr>
          <w:p w14:paraId="292B6A0B" w14:textId="77777777" w:rsidR="00762BD8" w:rsidRPr="0093000C" w:rsidRDefault="00762BD8" w:rsidP="00943858">
            <w:pPr>
              <w:ind w:left="2160" w:hanging="2160"/>
              <w:jc w:val="both"/>
              <w:rPr>
                <w:b/>
                <w:bCs/>
                <w:sz w:val="20"/>
                <w:szCs w:val="20"/>
              </w:rPr>
            </w:pPr>
          </w:p>
        </w:tc>
        <w:tc>
          <w:tcPr>
            <w:tcW w:w="7376" w:type="dxa"/>
          </w:tcPr>
          <w:p w14:paraId="018FF52D" w14:textId="77777777" w:rsidR="00762BD8" w:rsidRDefault="00762BD8" w:rsidP="00943858">
            <w:pPr>
              <w:rPr>
                <w:sz w:val="20"/>
                <w:szCs w:val="20"/>
              </w:rPr>
            </w:pPr>
          </w:p>
        </w:tc>
      </w:tr>
      <w:tr w:rsidR="006449E1" w14:paraId="00132801" w14:textId="77777777" w:rsidTr="00BA68F2">
        <w:tc>
          <w:tcPr>
            <w:tcW w:w="2122" w:type="dxa"/>
          </w:tcPr>
          <w:p w14:paraId="781B18C4" w14:textId="77777777" w:rsidR="006449E1" w:rsidRPr="0093000C" w:rsidRDefault="006449E1" w:rsidP="00943858">
            <w:pPr>
              <w:ind w:left="2160" w:hanging="2160"/>
              <w:jc w:val="both"/>
              <w:rPr>
                <w:b/>
                <w:bCs/>
                <w:sz w:val="20"/>
                <w:szCs w:val="20"/>
              </w:rPr>
            </w:pPr>
            <w:r w:rsidRPr="0093000C">
              <w:rPr>
                <w:b/>
                <w:bCs/>
                <w:sz w:val="20"/>
                <w:szCs w:val="20"/>
              </w:rPr>
              <w:t>Implementation</w:t>
            </w:r>
          </w:p>
          <w:p w14:paraId="42921DD9" w14:textId="77777777" w:rsidR="006449E1" w:rsidRPr="0093000C" w:rsidRDefault="006449E1" w:rsidP="00943858">
            <w:pPr>
              <w:jc w:val="both"/>
              <w:rPr>
                <w:b/>
                <w:bCs/>
                <w:sz w:val="20"/>
                <w:szCs w:val="20"/>
              </w:rPr>
            </w:pPr>
            <w:r w:rsidRPr="0093000C">
              <w:rPr>
                <w:b/>
                <w:bCs/>
                <w:sz w:val="20"/>
                <w:szCs w:val="20"/>
              </w:rPr>
              <w:t>Caveats</w:t>
            </w:r>
          </w:p>
        </w:tc>
        <w:tc>
          <w:tcPr>
            <w:tcW w:w="7376" w:type="dxa"/>
          </w:tcPr>
          <w:p w14:paraId="7A8FF767" w14:textId="18CFFD1E" w:rsidR="00222376" w:rsidRDefault="00222376" w:rsidP="00943858">
            <w:pPr>
              <w:rPr>
                <w:sz w:val="20"/>
                <w:szCs w:val="20"/>
              </w:rPr>
            </w:pPr>
            <w:r>
              <w:rPr>
                <w:sz w:val="20"/>
                <w:szCs w:val="20"/>
              </w:rPr>
              <w:t>As per 5A</w:t>
            </w:r>
          </w:p>
        </w:tc>
      </w:tr>
      <w:tr w:rsidR="006449E1" w14:paraId="71775F65" w14:textId="77777777" w:rsidTr="00BA68F2">
        <w:tc>
          <w:tcPr>
            <w:tcW w:w="2122" w:type="dxa"/>
          </w:tcPr>
          <w:p w14:paraId="79F24BF5" w14:textId="77777777" w:rsidR="006449E1" w:rsidRPr="0093000C" w:rsidRDefault="006449E1" w:rsidP="00943858">
            <w:pPr>
              <w:jc w:val="both"/>
              <w:rPr>
                <w:b/>
                <w:bCs/>
                <w:sz w:val="20"/>
                <w:szCs w:val="20"/>
              </w:rPr>
            </w:pPr>
            <w:r w:rsidRPr="0093000C">
              <w:rPr>
                <w:b/>
                <w:bCs/>
                <w:sz w:val="20"/>
                <w:szCs w:val="20"/>
              </w:rPr>
              <w:t>Staff Profile</w:t>
            </w:r>
          </w:p>
        </w:tc>
        <w:tc>
          <w:tcPr>
            <w:tcW w:w="7376" w:type="dxa"/>
          </w:tcPr>
          <w:p w14:paraId="5F58EC8A" w14:textId="60A4746C" w:rsidR="006449E1" w:rsidRPr="007019C8" w:rsidRDefault="00222376" w:rsidP="00943858">
            <w:pPr>
              <w:jc w:val="both"/>
              <w:rPr>
                <w:color w:val="156082" w:themeColor="accent1"/>
                <w:sz w:val="20"/>
                <w:szCs w:val="20"/>
              </w:rPr>
            </w:pPr>
            <w:r>
              <w:rPr>
                <w:color w:val="156082" w:themeColor="accent1"/>
                <w:sz w:val="20"/>
                <w:szCs w:val="20"/>
              </w:rPr>
              <w:t>As per 5A</w:t>
            </w:r>
          </w:p>
        </w:tc>
      </w:tr>
      <w:tr w:rsidR="006449E1" w14:paraId="23F1C1AE" w14:textId="77777777" w:rsidTr="00C150D3">
        <w:tc>
          <w:tcPr>
            <w:tcW w:w="2122" w:type="dxa"/>
          </w:tcPr>
          <w:p w14:paraId="0B9389CD" w14:textId="77777777" w:rsidR="006449E1" w:rsidRPr="0093000C" w:rsidRDefault="006449E1" w:rsidP="00943858">
            <w:pPr>
              <w:jc w:val="both"/>
              <w:rPr>
                <w:b/>
                <w:bCs/>
                <w:sz w:val="20"/>
                <w:szCs w:val="20"/>
              </w:rPr>
            </w:pPr>
            <w:r w:rsidRPr="0093000C">
              <w:rPr>
                <w:b/>
                <w:bCs/>
                <w:sz w:val="20"/>
                <w:szCs w:val="20"/>
              </w:rPr>
              <w:t>Sequencing</w:t>
            </w:r>
          </w:p>
        </w:tc>
        <w:tc>
          <w:tcPr>
            <w:tcW w:w="7376" w:type="dxa"/>
          </w:tcPr>
          <w:p w14:paraId="5FCDD6A4" w14:textId="77777777" w:rsidR="00222376" w:rsidRDefault="00222376" w:rsidP="00222376">
            <w:pPr>
              <w:pStyle w:val="paragraph"/>
              <w:spacing w:before="0" w:beforeAutospacing="0" w:after="0" w:afterAutospacing="0"/>
              <w:ind w:left="2160" w:hanging="2160"/>
              <w:jc w:val="both"/>
              <w:textAlignment w:val="baseline"/>
              <w:rPr>
                <w:rFonts w:ascii="Segoe UI" w:hAnsi="Segoe UI" w:cs="Segoe UI"/>
                <w:sz w:val="18"/>
                <w:szCs w:val="18"/>
              </w:rPr>
            </w:pPr>
            <w:r>
              <w:rPr>
                <w:rStyle w:val="normaltextrun"/>
                <w:rFonts w:ascii="Aptos" w:eastAsiaTheme="majorEastAsia" w:hAnsi="Aptos" w:cs="Segoe UI"/>
                <w:color w:val="A02B93"/>
                <w:sz w:val="20"/>
                <w:szCs w:val="20"/>
                <w:lang w:val="en-GB"/>
              </w:rPr>
              <w:t>Year 1: 2 Regions</w:t>
            </w:r>
            <w:r>
              <w:rPr>
                <w:rStyle w:val="eop"/>
                <w:rFonts w:ascii="Aptos" w:eastAsiaTheme="majorEastAsia" w:hAnsi="Aptos" w:cs="Segoe UI"/>
                <w:color w:val="A02B93"/>
                <w:sz w:val="20"/>
                <w:szCs w:val="20"/>
              </w:rPr>
              <w:t> </w:t>
            </w:r>
          </w:p>
          <w:p w14:paraId="76B03980" w14:textId="77777777" w:rsidR="00222376" w:rsidRDefault="00222376" w:rsidP="00222376">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color w:val="A02B93"/>
                <w:sz w:val="20"/>
                <w:szCs w:val="20"/>
                <w:lang w:val="en-GB"/>
              </w:rPr>
              <w:t>Year 2: 1 Region</w:t>
            </w:r>
            <w:r>
              <w:rPr>
                <w:rStyle w:val="eop"/>
                <w:rFonts w:ascii="Aptos" w:eastAsiaTheme="majorEastAsia" w:hAnsi="Aptos" w:cs="Segoe UI"/>
                <w:color w:val="A02B93"/>
                <w:sz w:val="20"/>
                <w:szCs w:val="20"/>
              </w:rPr>
              <w:t> </w:t>
            </w:r>
          </w:p>
          <w:p w14:paraId="619AE13A" w14:textId="77777777" w:rsidR="00222376" w:rsidRDefault="00222376" w:rsidP="00222376">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color w:val="A02B93"/>
                <w:sz w:val="20"/>
                <w:szCs w:val="20"/>
                <w:lang w:val="en-GB"/>
              </w:rPr>
              <w:t>Year 3: 1 Region</w:t>
            </w:r>
            <w:r>
              <w:rPr>
                <w:rStyle w:val="eop"/>
                <w:rFonts w:ascii="Aptos" w:eastAsiaTheme="majorEastAsia" w:hAnsi="Aptos" w:cs="Segoe UI"/>
                <w:color w:val="A02B93"/>
                <w:sz w:val="20"/>
                <w:szCs w:val="20"/>
              </w:rPr>
              <w:t> </w:t>
            </w:r>
          </w:p>
          <w:p w14:paraId="361A245D" w14:textId="7382A196" w:rsidR="006449E1" w:rsidRPr="00222376" w:rsidRDefault="00222376" w:rsidP="00222376">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color w:val="A02B93"/>
                <w:sz w:val="20"/>
                <w:szCs w:val="20"/>
                <w:lang w:val="en-GB"/>
              </w:rPr>
              <w:t>Year 4: 1 Region</w:t>
            </w:r>
            <w:r>
              <w:rPr>
                <w:rStyle w:val="eop"/>
                <w:rFonts w:ascii="Aptos" w:eastAsiaTheme="majorEastAsia" w:hAnsi="Aptos" w:cs="Segoe UI"/>
                <w:color w:val="A02B93"/>
                <w:sz w:val="20"/>
                <w:szCs w:val="20"/>
              </w:rPr>
              <w:t> </w:t>
            </w:r>
          </w:p>
        </w:tc>
      </w:tr>
      <w:tr w:rsidR="006449E1" w14:paraId="5BBAB418" w14:textId="77777777" w:rsidTr="00C150D3">
        <w:tc>
          <w:tcPr>
            <w:tcW w:w="2122" w:type="dxa"/>
            <w:tcBorders>
              <w:bottom w:val="single" w:sz="4" w:space="0" w:color="auto"/>
            </w:tcBorders>
          </w:tcPr>
          <w:p w14:paraId="0C9FE50A" w14:textId="77777777" w:rsidR="006449E1" w:rsidRPr="0093000C" w:rsidRDefault="006449E1" w:rsidP="00943858">
            <w:pPr>
              <w:jc w:val="both"/>
              <w:rPr>
                <w:b/>
                <w:bCs/>
                <w:sz w:val="20"/>
                <w:szCs w:val="20"/>
              </w:rPr>
            </w:pPr>
            <w:r w:rsidRPr="0093000C">
              <w:rPr>
                <w:b/>
                <w:bCs/>
                <w:sz w:val="20"/>
                <w:szCs w:val="20"/>
              </w:rPr>
              <w:t>Operational needs</w:t>
            </w:r>
          </w:p>
        </w:tc>
        <w:tc>
          <w:tcPr>
            <w:tcW w:w="7376" w:type="dxa"/>
            <w:tcBorders>
              <w:bottom w:val="single" w:sz="4" w:space="0" w:color="auto"/>
            </w:tcBorders>
          </w:tcPr>
          <w:p w14:paraId="255731D5" w14:textId="77777777" w:rsidR="00BA68F2" w:rsidRPr="00991935" w:rsidRDefault="00BA68F2" w:rsidP="00BA68F2">
            <w:pPr>
              <w:pStyle w:val="paragraph"/>
              <w:spacing w:before="0" w:beforeAutospacing="0" w:after="0" w:afterAutospacing="0"/>
              <w:ind w:left="2160" w:hanging="2160"/>
              <w:jc w:val="both"/>
              <w:textAlignment w:val="baseline"/>
              <w:rPr>
                <w:rFonts w:ascii="Segoe UI" w:hAnsi="Segoe UI" w:cs="Segoe UI"/>
                <w:color w:val="A02B93" w:themeColor="accent5"/>
                <w:sz w:val="18"/>
                <w:szCs w:val="18"/>
              </w:rPr>
            </w:pPr>
            <w:r w:rsidRPr="00991935">
              <w:rPr>
                <w:rStyle w:val="normaltextrun"/>
                <w:rFonts w:ascii="Aptos" w:eastAsiaTheme="majorEastAsia" w:hAnsi="Aptos" w:cs="Segoe UI"/>
                <w:color w:val="A02B93" w:themeColor="accent5"/>
                <w:sz w:val="20"/>
                <w:szCs w:val="20"/>
                <w:lang w:val="en-GB"/>
              </w:rPr>
              <w:t>Annual grant budget of approximately $1.5m ($300,000 per region)</w:t>
            </w:r>
            <w:r w:rsidRPr="00991935">
              <w:rPr>
                <w:rStyle w:val="eop"/>
                <w:rFonts w:ascii="Aptos" w:eastAsiaTheme="majorEastAsia" w:hAnsi="Aptos" w:cs="Segoe UI"/>
                <w:color w:val="A02B93" w:themeColor="accent5"/>
                <w:sz w:val="20"/>
                <w:szCs w:val="20"/>
              </w:rPr>
              <w:t> </w:t>
            </w:r>
          </w:p>
          <w:p w14:paraId="6D226647" w14:textId="41C8C52A" w:rsidR="006449E1" w:rsidRPr="00BA68F2" w:rsidRDefault="00BA68F2" w:rsidP="00BA68F2">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color w:val="156082"/>
                <w:sz w:val="20"/>
                <w:szCs w:val="20"/>
                <w:lang w:val="en-GB"/>
              </w:rPr>
              <w:t>8 grants per global region per year (40 total annually) that can range from $50,000 to $100,000.</w:t>
            </w:r>
            <w:r>
              <w:rPr>
                <w:rStyle w:val="eop"/>
                <w:rFonts w:ascii="Aptos" w:eastAsiaTheme="majorEastAsia" w:hAnsi="Aptos" w:cs="Segoe UI"/>
                <w:color w:val="156082"/>
                <w:sz w:val="20"/>
                <w:szCs w:val="20"/>
              </w:rPr>
              <w:t> </w:t>
            </w:r>
          </w:p>
        </w:tc>
      </w:tr>
    </w:tbl>
    <w:p w14:paraId="08CB05E7" w14:textId="77777777" w:rsidR="006449E1" w:rsidRDefault="006449E1"/>
    <w:p w14:paraId="6A234152" w14:textId="77777777" w:rsidR="007033B4" w:rsidRDefault="007033B4"/>
    <w:p w14:paraId="0F3417D6" w14:textId="77777777" w:rsidR="007033B4" w:rsidRDefault="007033B4"/>
    <w:p w14:paraId="30941232" w14:textId="77777777" w:rsidR="007033B4" w:rsidRDefault="007033B4"/>
    <w:p w14:paraId="55A364DC" w14:textId="77777777" w:rsidR="007033B4" w:rsidRDefault="007033B4"/>
    <w:p w14:paraId="43204DEF" w14:textId="77777777" w:rsidR="007033B4" w:rsidRDefault="007033B4"/>
    <w:p w14:paraId="6D1C58DD" w14:textId="77777777" w:rsidR="00D805EF" w:rsidRDefault="00D805EF"/>
    <w:tbl>
      <w:tblPr>
        <w:tblW w:w="8020" w:type="dxa"/>
        <w:tblLook w:val="04A0" w:firstRow="1" w:lastRow="0" w:firstColumn="1" w:lastColumn="0" w:noHBand="0" w:noVBand="1"/>
      </w:tblPr>
      <w:tblGrid>
        <w:gridCol w:w="2820"/>
        <w:gridCol w:w="3000"/>
        <w:gridCol w:w="2200"/>
      </w:tblGrid>
      <w:tr w:rsidR="001A3DAB" w:rsidRPr="001A3DAB" w14:paraId="251E1255" w14:textId="77777777" w:rsidTr="001A3DAB">
        <w:trPr>
          <w:trHeight w:val="902"/>
        </w:trPr>
        <w:tc>
          <w:tcPr>
            <w:tcW w:w="2820" w:type="dxa"/>
            <w:tcBorders>
              <w:top w:val="single" w:sz="4" w:space="0" w:color="auto"/>
              <w:left w:val="single" w:sz="4" w:space="0" w:color="auto"/>
              <w:bottom w:val="single" w:sz="4" w:space="0" w:color="auto"/>
              <w:right w:val="single" w:sz="4" w:space="0" w:color="auto"/>
            </w:tcBorders>
            <w:shd w:val="clear" w:color="auto" w:fill="F2CEED" w:themeFill="accent5" w:themeFillTint="33"/>
            <w:vAlign w:val="center"/>
            <w:hideMark/>
          </w:tcPr>
          <w:p w14:paraId="1D195524" w14:textId="77777777" w:rsidR="001A3DAB" w:rsidRPr="001A3DAB" w:rsidRDefault="001A3DAB" w:rsidP="001A3DAB">
            <w:pPr>
              <w:spacing w:after="0" w:line="240" w:lineRule="auto"/>
              <w:rPr>
                <w:rFonts w:ascii="Aptos" w:eastAsia="Times New Roman" w:hAnsi="Aptos" w:cs="Times New Roman"/>
                <w:b/>
                <w:bCs/>
                <w:color w:val="000000"/>
                <w:kern w:val="0"/>
                <w:sz w:val="22"/>
                <w:szCs w:val="22"/>
                <w:lang w:val="en-GB" w:eastAsia="en-GB"/>
                <w14:ligatures w14:val="none"/>
              </w:rPr>
            </w:pPr>
            <w:r w:rsidRPr="001A3DAB">
              <w:rPr>
                <w:rFonts w:ascii="Aptos" w:eastAsia="Times New Roman" w:hAnsi="Aptos" w:cs="Times New Roman"/>
                <w:b/>
                <w:bCs/>
                <w:color w:val="000000"/>
                <w:kern w:val="0"/>
                <w:sz w:val="22"/>
                <w:szCs w:val="22"/>
                <w:lang w:val="en-GB" w:eastAsia="en-GB"/>
                <w14:ligatures w14:val="none"/>
              </w:rPr>
              <w:t xml:space="preserve">Category </w:t>
            </w:r>
          </w:p>
        </w:tc>
        <w:tc>
          <w:tcPr>
            <w:tcW w:w="3000" w:type="dxa"/>
            <w:tcBorders>
              <w:top w:val="single" w:sz="4" w:space="0" w:color="auto"/>
              <w:left w:val="nil"/>
              <w:bottom w:val="single" w:sz="4" w:space="0" w:color="auto"/>
              <w:right w:val="single" w:sz="4" w:space="0" w:color="auto"/>
            </w:tcBorders>
            <w:shd w:val="clear" w:color="auto" w:fill="F2CEED" w:themeFill="accent5" w:themeFillTint="33"/>
            <w:vAlign w:val="center"/>
            <w:hideMark/>
          </w:tcPr>
          <w:p w14:paraId="6FE3FFD8" w14:textId="77777777" w:rsidR="001A3DAB" w:rsidRPr="001A3DAB" w:rsidRDefault="001A3DAB" w:rsidP="001A3DAB">
            <w:pPr>
              <w:spacing w:after="0" w:line="240" w:lineRule="auto"/>
              <w:rPr>
                <w:rFonts w:ascii="Aptos" w:eastAsia="Times New Roman" w:hAnsi="Aptos" w:cs="Times New Roman"/>
                <w:b/>
                <w:bCs/>
                <w:color w:val="000000"/>
                <w:kern w:val="0"/>
                <w:sz w:val="22"/>
                <w:szCs w:val="22"/>
                <w:lang w:val="en-GB" w:eastAsia="en-GB"/>
                <w14:ligatures w14:val="none"/>
              </w:rPr>
            </w:pPr>
            <w:r w:rsidRPr="001A3DAB">
              <w:rPr>
                <w:rFonts w:ascii="Aptos" w:eastAsia="Times New Roman" w:hAnsi="Aptos" w:cs="Times New Roman"/>
                <w:b/>
                <w:bCs/>
                <w:color w:val="000000"/>
                <w:kern w:val="0"/>
                <w:sz w:val="22"/>
                <w:szCs w:val="22"/>
                <w:lang w:val="en-GB" w:eastAsia="en-GB"/>
                <w14:ligatures w14:val="none"/>
              </w:rPr>
              <w:t>Direct Costs by category</w:t>
            </w:r>
          </w:p>
        </w:tc>
        <w:tc>
          <w:tcPr>
            <w:tcW w:w="2200" w:type="dxa"/>
            <w:tcBorders>
              <w:top w:val="single" w:sz="4" w:space="0" w:color="auto"/>
              <w:left w:val="nil"/>
              <w:bottom w:val="single" w:sz="4" w:space="0" w:color="auto"/>
              <w:right w:val="single" w:sz="4" w:space="0" w:color="auto"/>
            </w:tcBorders>
            <w:shd w:val="clear" w:color="auto" w:fill="F2CEED" w:themeFill="accent5" w:themeFillTint="33"/>
            <w:vAlign w:val="center"/>
            <w:hideMark/>
          </w:tcPr>
          <w:p w14:paraId="18DB0366" w14:textId="77777777" w:rsidR="001A3DAB" w:rsidRPr="001A3DAB" w:rsidRDefault="001A3DAB" w:rsidP="001A3DAB">
            <w:pPr>
              <w:spacing w:after="0" w:line="240" w:lineRule="auto"/>
              <w:rPr>
                <w:rFonts w:ascii="Aptos" w:eastAsia="Times New Roman" w:hAnsi="Aptos" w:cs="Times New Roman"/>
                <w:b/>
                <w:bCs/>
                <w:color w:val="000000"/>
                <w:kern w:val="0"/>
                <w:sz w:val="22"/>
                <w:szCs w:val="22"/>
                <w:lang w:val="en-GB" w:eastAsia="en-GB"/>
                <w14:ligatures w14:val="none"/>
              </w:rPr>
            </w:pPr>
            <w:r w:rsidRPr="001A3DAB">
              <w:rPr>
                <w:rFonts w:ascii="Aptos" w:eastAsia="Times New Roman" w:hAnsi="Aptos" w:cs="Times New Roman"/>
                <w:b/>
                <w:bCs/>
                <w:color w:val="000000"/>
                <w:kern w:val="0"/>
                <w:sz w:val="22"/>
                <w:szCs w:val="22"/>
                <w:lang w:val="en-GB" w:eastAsia="en-GB"/>
                <w14:ligatures w14:val="none"/>
              </w:rPr>
              <w:t xml:space="preserve">Percentage of total direct costs </w:t>
            </w:r>
          </w:p>
        </w:tc>
      </w:tr>
      <w:tr w:rsidR="001A3DAB" w:rsidRPr="001A3DAB" w14:paraId="12B082D4"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DB21C27" w14:textId="77777777" w:rsidR="001A3DAB" w:rsidRPr="001A3DAB" w:rsidRDefault="001A3DAB" w:rsidP="001A3DAB">
            <w:pPr>
              <w:spacing w:after="0" w:line="240" w:lineRule="auto"/>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People</w:t>
            </w:r>
          </w:p>
        </w:tc>
        <w:tc>
          <w:tcPr>
            <w:tcW w:w="3000" w:type="dxa"/>
            <w:tcBorders>
              <w:top w:val="nil"/>
              <w:left w:val="nil"/>
              <w:bottom w:val="single" w:sz="4" w:space="0" w:color="auto"/>
              <w:right w:val="single" w:sz="4" w:space="0" w:color="auto"/>
            </w:tcBorders>
            <w:shd w:val="clear" w:color="auto" w:fill="auto"/>
            <w:noWrap/>
            <w:vAlign w:val="bottom"/>
            <w:hideMark/>
          </w:tcPr>
          <w:p w14:paraId="04EEAC69" w14:textId="77777777" w:rsidR="001A3DAB" w:rsidRPr="001A3DAB" w:rsidRDefault="001A3DAB" w:rsidP="001A3DAB">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$332,576</w:t>
            </w:r>
          </w:p>
        </w:tc>
        <w:tc>
          <w:tcPr>
            <w:tcW w:w="2200" w:type="dxa"/>
            <w:tcBorders>
              <w:top w:val="nil"/>
              <w:left w:val="nil"/>
              <w:bottom w:val="single" w:sz="4" w:space="0" w:color="auto"/>
              <w:right w:val="single" w:sz="4" w:space="0" w:color="auto"/>
            </w:tcBorders>
            <w:shd w:val="clear" w:color="auto" w:fill="auto"/>
            <w:noWrap/>
            <w:vAlign w:val="bottom"/>
            <w:hideMark/>
          </w:tcPr>
          <w:p w14:paraId="5358DA03" w14:textId="77777777" w:rsidR="001A3DAB" w:rsidRPr="001A3DAB" w:rsidRDefault="001A3DAB" w:rsidP="001A3DAB">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4.24%</w:t>
            </w:r>
          </w:p>
        </w:tc>
      </w:tr>
      <w:tr w:rsidR="001A3DAB" w:rsidRPr="001A3DAB" w14:paraId="62E97030"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897BB69" w14:textId="77777777" w:rsidR="001A3DAB" w:rsidRPr="001A3DAB" w:rsidRDefault="001A3DAB" w:rsidP="001A3DAB">
            <w:pPr>
              <w:spacing w:after="0" w:line="240" w:lineRule="auto"/>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 xml:space="preserve">Contracts </w:t>
            </w:r>
          </w:p>
        </w:tc>
        <w:tc>
          <w:tcPr>
            <w:tcW w:w="3000" w:type="dxa"/>
            <w:tcBorders>
              <w:top w:val="nil"/>
              <w:left w:val="nil"/>
              <w:bottom w:val="single" w:sz="4" w:space="0" w:color="auto"/>
              <w:right w:val="single" w:sz="4" w:space="0" w:color="auto"/>
            </w:tcBorders>
            <w:shd w:val="clear" w:color="auto" w:fill="auto"/>
            <w:noWrap/>
            <w:vAlign w:val="bottom"/>
            <w:hideMark/>
          </w:tcPr>
          <w:p w14:paraId="0FFD6E0F" w14:textId="77777777" w:rsidR="001A3DAB" w:rsidRPr="001A3DAB" w:rsidRDefault="001A3DAB" w:rsidP="001A3DAB">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$7,500,000</w:t>
            </w:r>
          </w:p>
        </w:tc>
        <w:tc>
          <w:tcPr>
            <w:tcW w:w="2200" w:type="dxa"/>
            <w:tcBorders>
              <w:top w:val="nil"/>
              <w:left w:val="nil"/>
              <w:bottom w:val="single" w:sz="4" w:space="0" w:color="auto"/>
              <w:right w:val="single" w:sz="4" w:space="0" w:color="auto"/>
            </w:tcBorders>
            <w:shd w:val="clear" w:color="auto" w:fill="auto"/>
            <w:noWrap/>
            <w:vAlign w:val="bottom"/>
            <w:hideMark/>
          </w:tcPr>
          <w:p w14:paraId="0873F0CC" w14:textId="77777777" w:rsidR="001A3DAB" w:rsidRPr="001A3DAB" w:rsidRDefault="001A3DAB" w:rsidP="001A3DAB">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95.57%</w:t>
            </w:r>
          </w:p>
        </w:tc>
      </w:tr>
      <w:tr w:rsidR="001A3DAB" w:rsidRPr="001A3DAB" w14:paraId="7FC01597"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081D67A" w14:textId="77777777" w:rsidR="001A3DAB" w:rsidRPr="001A3DAB" w:rsidRDefault="001A3DAB" w:rsidP="001A3DAB">
            <w:pPr>
              <w:spacing w:after="0" w:line="240" w:lineRule="auto"/>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 xml:space="preserve">Tools </w:t>
            </w:r>
          </w:p>
        </w:tc>
        <w:tc>
          <w:tcPr>
            <w:tcW w:w="3000" w:type="dxa"/>
            <w:tcBorders>
              <w:top w:val="nil"/>
              <w:left w:val="nil"/>
              <w:bottom w:val="single" w:sz="4" w:space="0" w:color="auto"/>
              <w:right w:val="single" w:sz="4" w:space="0" w:color="auto"/>
            </w:tcBorders>
            <w:shd w:val="clear" w:color="auto" w:fill="auto"/>
            <w:noWrap/>
            <w:vAlign w:val="bottom"/>
            <w:hideMark/>
          </w:tcPr>
          <w:p w14:paraId="000DD586" w14:textId="77777777" w:rsidR="001A3DAB" w:rsidRPr="001A3DAB" w:rsidRDefault="001A3DAB" w:rsidP="001A3DAB">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$14,786</w:t>
            </w:r>
          </w:p>
        </w:tc>
        <w:tc>
          <w:tcPr>
            <w:tcW w:w="2200" w:type="dxa"/>
            <w:tcBorders>
              <w:top w:val="nil"/>
              <w:left w:val="nil"/>
              <w:bottom w:val="single" w:sz="4" w:space="0" w:color="auto"/>
              <w:right w:val="single" w:sz="4" w:space="0" w:color="auto"/>
            </w:tcBorders>
            <w:shd w:val="clear" w:color="auto" w:fill="auto"/>
            <w:noWrap/>
            <w:vAlign w:val="bottom"/>
            <w:hideMark/>
          </w:tcPr>
          <w:p w14:paraId="2DC528EF" w14:textId="77777777" w:rsidR="001A3DAB" w:rsidRPr="001A3DAB" w:rsidRDefault="001A3DAB" w:rsidP="001A3DAB">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0.19%</w:t>
            </w:r>
          </w:p>
        </w:tc>
      </w:tr>
      <w:tr w:rsidR="001A3DAB" w:rsidRPr="001A3DAB" w14:paraId="275AAB39"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7093540" w14:textId="77777777" w:rsidR="001A3DAB" w:rsidRPr="001A3DAB" w:rsidRDefault="001A3DAB" w:rsidP="001A3DAB">
            <w:pPr>
              <w:spacing w:after="0" w:line="240" w:lineRule="auto"/>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 xml:space="preserve">Training event attendance </w:t>
            </w:r>
          </w:p>
        </w:tc>
        <w:tc>
          <w:tcPr>
            <w:tcW w:w="3000" w:type="dxa"/>
            <w:tcBorders>
              <w:top w:val="nil"/>
              <w:left w:val="nil"/>
              <w:bottom w:val="single" w:sz="4" w:space="0" w:color="auto"/>
              <w:right w:val="single" w:sz="4" w:space="0" w:color="auto"/>
            </w:tcBorders>
            <w:shd w:val="clear" w:color="auto" w:fill="auto"/>
            <w:noWrap/>
            <w:vAlign w:val="bottom"/>
            <w:hideMark/>
          </w:tcPr>
          <w:p w14:paraId="074C813D" w14:textId="77777777" w:rsidR="001A3DAB" w:rsidRPr="001A3DAB" w:rsidRDefault="001A3DAB" w:rsidP="001A3DAB">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1D06C25A" w14:textId="77777777" w:rsidR="001A3DAB" w:rsidRPr="001A3DAB" w:rsidRDefault="001A3DAB" w:rsidP="001A3DAB">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0.00%</w:t>
            </w:r>
          </w:p>
        </w:tc>
      </w:tr>
      <w:tr w:rsidR="001A3DAB" w:rsidRPr="001A3DAB" w14:paraId="141CB7CA"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C6769D8" w14:textId="77777777" w:rsidR="001A3DAB" w:rsidRPr="001A3DAB" w:rsidRDefault="001A3DAB" w:rsidP="001A3DAB">
            <w:pPr>
              <w:spacing w:after="0" w:line="240" w:lineRule="auto"/>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 xml:space="preserve">Citizen engagement </w:t>
            </w:r>
          </w:p>
        </w:tc>
        <w:tc>
          <w:tcPr>
            <w:tcW w:w="3000" w:type="dxa"/>
            <w:tcBorders>
              <w:top w:val="nil"/>
              <w:left w:val="nil"/>
              <w:bottom w:val="single" w:sz="4" w:space="0" w:color="auto"/>
              <w:right w:val="single" w:sz="4" w:space="0" w:color="auto"/>
            </w:tcBorders>
            <w:shd w:val="clear" w:color="auto" w:fill="auto"/>
            <w:noWrap/>
            <w:vAlign w:val="bottom"/>
            <w:hideMark/>
          </w:tcPr>
          <w:p w14:paraId="06546FE5" w14:textId="77777777" w:rsidR="001A3DAB" w:rsidRPr="001A3DAB" w:rsidRDefault="001A3DAB" w:rsidP="001A3DAB">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7055514C" w14:textId="77777777" w:rsidR="001A3DAB" w:rsidRPr="001A3DAB" w:rsidRDefault="001A3DAB" w:rsidP="001A3DAB">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0.00%</w:t>
            </w:r>
          </w:p>
        </w:tc>
      </w:tr>
      <w:tr w:rsidR="001A3DAB" w:rsidRPr="001A3DAB" w14:paraId="0351CB79"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CC37881" w14:textId="77777777" w:rsidR="001A3DAB" w:rsidRPr="001A3DAB" w:rsidRDefault="001A3DAB" w:rsidP="001A3DAB">
            <w:pPr>
              <w:spacing w:after="0" w:line="240" w:lineRule="auto"/>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Travel</w:t>
            </w:r>
          </w:p>
        </w:tc>
        <w:tc>
          <w:tcPr>
            <w:tcW w:w="3000" w:type="dxa"/>
            <w:tcBorders>
              <w:top w:val="nil"/>
              <w:left w:val="nil"/>
              <w:bottom w:val="single" w:sz="4" w:space="0" w:color="auto"/>
              <w:right w:val="single" w:sz="4" w:space="0" w:color="auto"/>
            </w:tcBorders>
            <w:shd w:val="clear" w:color="auto" w:fill="auto"/>
            <w:noWrap/>
            <w:vAlign w:val="bottom"/>
            <w:hideMark/>
          </w:tcPr>
          <w:p w14:paraId="61F2C893" w14:textId="77777777" w:rsidR="001A3DAB" w:rsidRPr="001A3DAB" w:rsidRDefault="001A3DAB" w:rsidP="001A3DAB">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3A0595D4" w14:textId="77777777" w:rsidR="001A3DAB" w:rsidRPr="001A3DAB" w:rsidRDefault="001A3DAB" w:rsidP="001A3DAB">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0.00%</w:t>
            </w:r>
          </w:p>
        </w:tc>
      </w:tr>
      <w:tr w:rsidR="001A3DAB" w:rsidRPr="001A3DAB" w14:paraId="31FACBEE"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3F7922F" w14:textId="77777777" w:rsidR="001A3DAB" w:rsidRPr="001A3DAB" w:rsidRDefault="001A3DAB" w:rsidP="001A3DAB">
            <w:pPr>
              <w:spacing w:after="0" w:line="240" w:lineRule="auto"/>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Dissemination</w:t>
            </w:r>
          </w:p>
        </w:tc>
        <w:tc>
          <w:tcPr>
            <w:tcW w:w="3000" w:type="dxa"/>
            <w:tcBorders>
              <w:top w:val="nil"/>
              <w:left w:val="nil"/>
              <w:bottom w:val="single" w:sz="4" w:space="0" w:color="auto"/>
              <w:right w:val="single" w:sz="4" w:space="0" w:color="auto"/>
            </w:tcBorders>
            <w:shd w:val="clear" w:color="auto" w:fill="auto"/>
            <w:noWrap/>
            <w:vAlign w:val="bottom"/>
            <w:hideMark/>
          </w:tcPr>
          <w:p w14:paraId="7BAFFBE0" w14:textId="77777777" w:rsidR="001A3DAB" w:rsidRPr="001A3DAB" w:rsidRDefault="001A3DAB" w:rsidP="001A3DAB">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295EB963" w14:textId="77777777" w:rsidR="001A3DAB" w:rsidRPr="001A3DAB" w:rsidRDefault="001A3DAB" w:rsidP="001A3DAB">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0.00%</w:t>
            </w:r>
          </w:p>
        </w:tc>
      </w:tr>
      <w:tr w:rsidR="001A3DAB" w:rsidRPr="001A3DAB" w14:paraId="18638E3F"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D6E2F71" w14:textId="77777777" w:rsidR="001A3DAB" w:rsidRPr="001A3DAB" w:rsidRDefault="001A3DAB" w:rsidP="001A3DAB">
            <w:pPr>
              <w:spacing w:after="0" w:line="240" w:lineRule="auto"/>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 xml:space="preserve">Other </w:t>
            </w:r>
          </w:p>
        </w:tc>
        <w:tc>
          <w:tcPr>
            <w:tcW w:w="3000" w:type="dxa"/>
            <w:tcBorders>
              <w:top w:val="nil"/>
              <w:left w:val="nil"/>
              <w:bottom w:val="single" w:sz="4" w:space="0" w:color="auto"/>
              <w:right w:val="single" w:sz="4" w:space="0" w:color="auto"/>
            </w:tcBorders>
            <w:shd w:val="clear" w:color="auto" w:fill="auto"/>
            <w:noWrap/>
            <w:vAlign w:val="bottom"/>
            <w:hideMark/>
          </w:tcPr>
          <w:p w14:paraId="071EF4EB" w14:textId="77777777" w:rsidR="001A3DAB" w:rsidRPr="001A3DAB" w:rsidRDefault="001A3DAB" w:rsidP="001A3DAB">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$0</w:t>
            </w:r>
          </w:p>
        </w:tc>
        <w:tc>
          <w:tcPr>
            <w:tcW w:w="2200" w:type="dxa"/>
            <w:tcBorders>
              <w:top w:val="nil"/>
              <w:left w:val="nil"/>
              <w:bottom w:val="single" w:sz="4" w:space="0" w:color="auto"/>
              <w:right w:val="single" w:sz="4" w:space="0" w:color="auto"/>
            </w:tcBorders>
            <w:shd w:val="clear" w:color="auto" w:fill="auto"/>
            <w:noWrap/>
            <w:vAlign w:val="bottom"/>
            <w:hideMark/>
          </w:tcPr>
          <w:p w14:paraId="49A6A061" w14:textId="77777777" w:rsidR="001A3DAB" w:rsidRPr="001A3DAB" w:rsidRDefault="001A3DAB" w:rsidP="001A3DAB">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0.00%</w:t>
            </w:r>
          </w:p>
        </w:tc>
      </w:tr>
      <w:tr w:rsidR="001A3DAB" w:rsidRPr="001A3DAB" w14:paraId="3B6CB802"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E54B4AB" w14:textId="77777777" w:rsidR="001A3DAB" w:rsidRPr="001A3DAB" w:rsidRDefault="001A3DAB" w:rsidP="001A3DAB">
            <w:pPr>
              <w:spacing w:after="0" w:line="240" w:lineRule="auto"/>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 xml:space="preserve">Total direct costs </w:t>
            </w:r>
          </w:p>
        </w:tc>
        <w:tc>
          <w:tcPr>
            <w:tcW w:w="3000" w:type="dxa"/>
            <w:tcBorders>
              <w:top w:val="nil"/>
              <w:left w:val="nil"/>
              <w:bottom w:val="single" w:sz="4" w:space="0" w:color="auto"/>
              <w:right w:val="single" w:sz="4" w:space="0" w:color="auto"/>
            </w:tcBorders>
            <w:shd w:val="clear" w:color="auto" w:fill="auto"/>
            <w:noWrap/>
            <w:vAlign w:val="bottom"/>
            <w:hideMark/>
          </w:tcPr>
          <w:p w14:paraId="52A3DD49" w14:textId="77777777" w:rsidR="001A3DAB" w:rsidRPr="001A3DAB" w:rsidRDefault="001A3DAB" w:rsidP="001A3DAB">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$7,847,362</w:t>
            </w:r>
          </w:p>
        </w:tc>
        <w:tc>
          <w:tcPr>
            <w:tcW w:w="2200" w:type="dxa"/>
            <w:tcBorders>
              <w:top w:val="nil"/>
              <w:left w:val="nil"/>
              <w:bottom w:val="single" w:sz="4" w:space="0" w:color="auto"/>
              <w:right w:val="single" w:sz="4" w:space="0" w:color="auto"/>
            </w:tcBorders>
            <w:shd w:val="clear" w:color="auto" w:fill="auto"/>
            <w:noWrap/>
            <w:vAlign w:val="bottom"/>
            <w:hideMark/>
          </w:tcPr>
          <w:p w14:paraId="736D1933" w14:textId="77777777" w:rsidR="001A3DAB" w:rsidRPr="001A3DAB" w:rsidRDefault="001A3DAB" w:rsidP="001A3DAB">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100.00%</w:t>
            </w:r>
          </w:p>
        </w:tc>
      </w:tr>
      <w:tr w:rsidR="001A3DAB" w:rsidRPr="001A3DAB" w14:paraId="673ED3E0" w14:textId="77777777">
        <w:trPr>
          <w:trHeight w:val="301"/>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4DBEF94" w14:textId="77777777" w:rsidR="001A3DAB" w:rsidRPr="001A3DAB" w:rsidRDefault="001A3DAB" w:rsidP="001A3DAB">
            <w:pPr>
              <w:spacing w:after="0" w:line="240" w:lineRule="auto"/>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 xml:space="preserve">Grand total with 20% overheads </w:t>
            </w:r>
          </w:p>
        </w:tc>
        <w:tc>
          <w:tcPr>
            <w:tcW w:w="3000" w:type="dxa"/>
            <w:tcBorders>
              <w:top w:val="nil"/>
              <w:left w:val="nil"/>
              <w:bottom w:val="single" w:sz="4" w:space="0" w:color="auto"/>
              <w:right w:val="single" w:sz="4" w:space="0" w:color="auto"/>
            </w:tcBorders>
            <w:shd w:val="clear" w:color="auto" w:fill="auto"/>
            <w:noWrap/>
            <w:vAlign w:val="bottom"/>
            <w:hideMark/>
          </w:tcPr>
          <w:p w14:paraId="1482EC37" w14:textId="77777777" w:rsidR="001A3DAB" w:rsidRPr="001A3DAB" w:rsidRDefault="001A3DAB" w:rsidP="001A3DAB">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$9,416,835</w:t>
            </w:r>
          </w:p>
        </w:tc>
        <w:tc>
          <w:tcPr>
            <w:tcW w:w="2200" w:type="dxa"/>
            <w:tcBorders>
              <w:top w:val="nil"/>
              <w:left w:val="nil"/>
              <w:bottom w:val="single" w:sz="4" w:space="0" w:color="auto"/>
              <w:right w:val="single" w:sz="4" w:space="0" w:color="auto"/>
            </w:tcBorders>
            <w:shd w:val="clear" w:color="auto" w:fill="auto"/>
            <w:noWrap/>
            <w:vAlign w:val="bottom"/>
            <w:hideMark/>
          </w:tcPr>
          <w:p w14:paraId="7DACBF96" w14:textId="77777777" w:rsidR="001A3DAB" w:rsidRPr="001A3DAB" w:rsidRDefault="001A3DAB" w:rsidP="001A3DAB">
            <w:pPr>
              <w:spacing w:after="0" w:line="240" w:lineRule="auto"/>
              <w:jc w:val="right"/>
              <w:rPr>
                <w:rFonts w:ascii="Aptos Narrow" w:eastAsia="Times New Roman" w:hAnsi="Aptos Narrow" w:cs="Times New Roman"/>
                <w:color w:val="000000"/>
                <w:kern w:val="0"/>
                <w:sz w:val="22"/>
                <w:szCs w:val="22"/>
                <w:lang w:val="en-GB" w:eastAsia="en-GB"/>
                <w14:ligatures w14:val="none"/>
              </w:rPr>
            </w:pPr>
            <w:r w:rsidRPr="001A3DAB">
              <w:rPr>
                <w:rFonts w:ascii="Aptos Narrow" w:eastAsia="Times New Roman" w:hAnsi="Aptos Narrow" w:cs="Times New Roman"/>
                <w:color w:val="000000"/>
                <w:kern w:val="0"/>
                <w:sz w:val="22"/>
                <w:szCs w:val="22"/>
                <w:lang w:val="en-GB" w:eastAsia="en-GB"/>
                <w14:ligatures w14:val="none"/>
              </w:rPr>
              <w:t> </w:t>
            </w:r>
          </w:p>
        </w:tc>
      </w:tr>
    </w:tbl>
    <w:p w14:paraId="05A1176C" w14:textId="77777777" w:rsidR="006449E1" w:rsidRDefault="006449E1"/>
    <w:p w14:paraId="036A04D4" w14:textId="77777777" w:rsidR="008F71A0" w:rsidRDefault="008F71A0">
      <w:r>
        <w:br w:type="page"/>
      </w:r>
    </w:p>
    <w:p w14:paraId="73C71D93" w14:textId="6DE8C880" w:rsidR="003835CD" w:rsidRPr="003835CD" w:rsidRDefault="003835CD" w:rsidP="003835CD">
      <w:pPr>
        <w:pStyle w:val="Heading1"/>
        <w:rPr>
          <w:b/>
          <w:bCs/>
        </w:rPr>
      </w:pPr>
      <w:r w:rsidRPr="003835CD">
        <w:rPr>
          <w:b/>
          <w:bCs/>
        </w:rPr>
        <w:lastRenderedPageBreak/>
        <w:t xml:space="preserve">PART </w:t>
      </w:r>
      <w:r>
        <w:rPr>
          <w:b/>
          <w:bCs/>
        </w:rPr>
        <w:t>TWO</w:t>
      </w:r>
      <w:r w:rsidRPr="003835CD">
        <w:rPr>
          <w:b/>
          <w:bCs/>
        </w:rPr>
        <w:t xml:space="preserve"> – </w:t>
      </w:r>
      <w:r>
        <w:rPr>
          <w:b/>
          <w:bCs/>
        </w:rPr>
        <w:t>IMPLEMENTATION CONSIDERATIONS</w:t>
      </w:r>
    </w:p>
    <w:p w14:paraId="7C1CC9E8" w14:textId="7BBBEEDA" w:rsidR="00C769CD" w:rsidRDefault="00CD14FE" w:rsidP="00F52E77">
      <w:pPr>
        <w:pStyle w:val="Heading3"/>
        <w:spacing w:after="120"/>
      </w:pPr>
      <w:r>
        <w:t>How to prioritize implementation of demand-side options</w:t>
      </w:r>
    </w:p>
    <w:tbl>
      <w:tblPr>
        <w:tblStyle w:val="TableGrid"/>
        <w:tblpPr w:leftFromText="180" w:rightFromText="180" w:vertAnchor="text" w:horzAnchor="margin" w:tblpXSpec="right" w:tblpY="2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820"/>
      </w:tblGrid>
      <w:tr w:rsidR="003A5B17" w:rsidRPr="00EA78A7" w14:paraId="5250D960" w14:textId="77777777" w:rsidTr="00370E13">
        <w:tc>
          <w:tcPr>
            <w:tcW w:w="4820" w:type="dxa"/>
            <w:shd w:val="clear" w:color="auto" w:fill="156082" w:themeFill="accent1"/>
          </w:tcPr>
          <w:p w14:paraId="73A9C0A8" w14:textId="77777777" w:rsidR="003A5B17" w:rsidRPr="00EA78A7" w:rsidRDefault="003A5B17" w:rsidP="003A5B17">
            <w:pPr>
              <w:contextualSpacing/>
              <w:rPr>
                <w:b/>
                <w:bCs/>
                <w:color w:val="FFFFFF" w:themeColor="background1"/>
              </w:rPr>
            </w:pPr>
            <w:r w:rsidRPr="00EA78A7">
              <w:rPr>
                <w:b/>
                <w:bCs/>
                <w:color w:val="FFFFFF" w:themeColor="background1"/>
              </w:rPr>
              <w:t>Box 1. Factors to consider in determining how to allocate resources</w:t>
            </w:r>
            <w:r>
              <w:rPr>
                <w:b/>
                <w:bCs/>
                <w:color w:val="FFFFFF" w:themeColor="background1"/>
              </w:rPr>
              <w:t xml:space="preserve"> – from Stage 4a</w:t>
            </w:r>
          </w:p>
        </w:tc>
      </w:tr>
      <w:tr w:rsidR="003A5B17" w14:paraId="73861F06" w14:textId="77777777" w:rsidTr="00370E13">
        <w:tc>
          <w:tcPr>
            <w:tcW w:w="4820" w:type="dxa"/>
            <w:shd w:val="clear" w:color="auto" w:fill="DAE9F7" w:themeFill="text2" w:themeFillTint="1A"/>
          </w:tcPr>
          <w:p w14:paraId="02B02AE5" w14:textId="77777777" w:rsidR="003A5B17" w:rsidRPr="00EA78A7" w:rsidRDefault="003A5B17" w:rsidP="003A5B17">
            <w:pPr>
              <w:spacing w:after="120"/>
              <w:rPr>
                <w:sz w:val="22"/>
                <w:szCs w:val="22"/>
                <w:lang w:val="en-AU" w:bidi="th-TH"/>
              </w:rPr>
            </w:pPr>
            <w:r w:rsidRPr="00EA78A7">
              <w:rPr>
                <w:sz w:val="22"/>
                <w:szCs w:val="22"/>
              </w:rPr>
              <w:t>The Stage 4a report (p10), set out several key factors</w:t>
            </w:r>
            <w:r>
              <w:rPr>
                <w:sz w:val="22"/>
                <w:szCs w:val="22"/>
              </w:rPr>
              <w:t xml:space="preserve"> that</w:t>
            </w:r>
            <w:r w:rsidRPr="00EA78A7">
              <w:rPr>
                <w:sz w:val="22"/>
                <w:szCs w:val="22"/>
              </w:rPr>
              <w:t xml:space="preserve"> </w:t>
            </w:r>
            <w:r w:rsidRPr="00EA78A7">
              <w:rPr>
                <w:sz w:val="22"/>
                <w:szCs w:val="22"/>
                <w:lang w:val="en-AU" w:bidi="th-TH"/>
              </w:rPr>
              <w:t>investors must weigh when determining the most effective allocation of resources:</w:t>
            </w:r>
          </w:p>
          <w:p w14:paraId="3B6A3FB3" w14:textId="77777777" w:rsidR="003A5B17" w:rsidRPr="00EA78A7" w:rsidRDefault="003A5B17" w:rsidP="003A5B17">
            <w:pPr>
              <w:numPr>
                <w:ilvl w:val="0"/>
                <w:numId w:val="5"/>
              </w:numPr>
              <w:tabs>
                <w:tab w:val="num" w:pos="321"/>
              </w:tabs>
              <w:spacing w:after="120"/>
              <w:ind w:left="37" w:firstLine="0"/>
              <w:rPr>
                <w:sz w:val="22"/>
                <w:szCs w:val="22"/>
                <w:lang w:val="en-AU" w:bidi="th-TH"/>
              </w:rPr>
            </w:pPr>
            <w:r w:rsidRPr="00EA78A7">
              <w:rPr>
                <w:sz w:val="22"/>
                <w:szCs w:val="22"/>
                <w:lang w:val="en-AU" w:bidi="th-TH"/>
              </w:rPr>
              <w:t>Regional needs and sectoral gaps</w:t>
            </w:r>
          </w:p>
          <w:p w14:paraId="761A8BD2" w14:textId="77777777" w:rsidR="003A5B17" w:rsidRPr="00EA78A7" w:rsidRDefault="003A5B17" w:rsidP="003A5B17">
            <w:pPr>
              <w:numPr>
                <w:ilvl w:val="0"/>
                <w:numId w:val="5"/>
              </w:numPr>
              <w:tabs>
                <w:tab w:val="num" w:pos="321"/>
              </w:tabs>
              <w:spacing w:after="120"/>
              <w:ind w:left="37" w:firstLine="0"/>
              <w:rPr>
                <w:sz w:val="22"/>
                <w:szCs w:val="22"/>
                <w:lang w:val="en-AU" w:bidi="th-TH"/>
              </w:rPr>
            </w:pPr>
            <w:r w:rsidRPr="00EA78A7">
              <w:rPr>
                <w:sz w:val="22"/>
                <w:szCs w:val="22"/>
                <w:lang w:val="en-AU" w:bidi="th-TH"/>
              </w:rPr>
              <w:t>Equity as a core consideration</w:t>
            </w:r>
          </w:p>
          <w:p w14:paraId="7372E74E" w14:textId="77777777" w:rsidR="003A5B17" w:rsidRPr="00EA78A7" w:rsidRDefault="003A5B17" w:rsidP="003A5B17">
            <w:pPr>
              <w:numPr>
                <w:ilvl w:val="0"/>
                <w:numId w:val="5"/>
              </w:numPr>
              <w:tabs>
                <w:tab w:val="clear" w:pos="76"/>
                <w:tab w:val="num" w:pos="321"/>
              </w:tabs>
              <w:spacing w:after="120"/>
              <w:ind w:left="321" w:hanging="284"/>
              <w:rPr>
                <w:sz w:val="22"/>
                <w:szCs w:val="22"/>
                <w:lang w:val="en-AU" w:bidi="th-TH"/>
              </w:rPr>
            </w:pPr>
            <w:r w:rsidRPr="00EA78A7">
              <w:rPr>
                <w:sz w:val="22"/>
                <w:szCs w:val="22"/>
                <w:lang w:val="en-AU" w:bidi="th-TH"/>
              </w:rPr>
              <w:t>Leveraging existing actors vs. creating new institutions</w:t>
            </w:r>
          </w:p>
          <w:p w14:paraId="1A208A75" w14:textId="77777777" w:rsidR="003A5B17" w:rsidRPr="00EA78A7" w:rsidRDefault="003A5B17" w:rsidP="003A5B17">
            <w:pPr>
              <w:numPr>
                <w:ilvl w:val="0"/>
                <w:numId w:val="5"/>
              </w:numPr>
              <w:tabs>
                <w:tab w:val="num" w:pos="321"/>
              </w:tabs>
              <w:spacing w:after="120"/>
              <w:ind w:left="37" w:firstLine="0"/>
              <w:rPr>
                <w:sz w:val="22"/>
                <w:szCs w:val="22"/>
                <w:lang w:val="en-AU" w:bidi="th-TH"/>
              </w:rPr>
            </w:pPr>
            <w:r w:rsidRPr="00EA78A7">
              <w:rPr>
                <w:sz w:val="22"/>
                <w:szCs w:val="22"/>
                <w:lang w:val="en-AU" w:bidi="th-TH"/>
              </w:rPr>
              <w:t>Scaling implementation based on readiness</w:t>
            </w:r>
          </w:p>
          <w:p w14:paraId="6D6C6C5D" w14:textId="77777777" w:rsidR="003A5B17" w:rsidRPr="00EA78A7" w:rsidRDefault="003A5B17" w:rsidP="003A5B17">
            <w:pPr>
              <w:numPr>
                <w:ilvl w:val="0"/>
                <w:numId w:val="5"/>
              </w:numPr>
              <w:tabs>
                <w:tab w:val="clear" w:pos="76"/>
                <w:tab w:val="num" w:pos="321"/>
              </w:tabs>
              <w:spacing w:after="120"/>
              <w:ind w:left="321" w:hanging="284"/>
              <w:rPr>
                <w:sz w:val="22"/>
                <w:szCs w:val="22"/>
                <w:lang w:val="en-AU" w:bidi="th-TH"/>
              </w:rPr>
            </w:pPr>
            <w:r w:rsidRPr="00EA78A7">
              <w:rPr>
                <w:sz w:val="22"/>
                <w:szCs w:val="22"/>
                <w:lang w:val="en-AU" w:bidi="th-TH"/>
              </w:rPr>
              <w:t>The role of the UN Sustainable Development Goals (SDGs)</w:t>
            </w:r>
          </w:p>
        </w:tc>
      </w:tr>
    </w:tbl>
    <w:p w14:paraId="7911663D" w14:textId="3ACE1D6D" w:rsidR="00C37C95" w:rsidRDefault="003A5B17" w:rsidP="00FF40ED">
      <w:r>
        <w:t xml:space="preserve"> </w:t>
      </w:r>
      <w:r w:rsidR="00FF40ED">
        <w:t>As recommended in the Stage 4a report</w:t>
      </w:r>
      <w:r w:rsidR="00963B2E">
        <w:t xml:space="preserve"> (pp8-9)</w:t>
      </w:r>
      <w:r w:rsidR="00FF40ED">
        <w:t xml:space="preserve">, initial implementation should focus on Option 1 – </w:t>
      </w:r>
      <w:r w:rsidR="00FF40ED" w:rsidRPr="00BB14B1">
        <w:rPr>
          <w:i/>
          <w:iCs/>
        </w:rPr>
        <w:t>Regional Demand-Side Secretariats</w:t>
      </w:r>
      <w:r w:rsidR="00FF40ED">
        <w:t xml:space="preserve">, Option 2 </w:t>
      </w:r>
      <w:r w:rsidR="00C37C95">
        <w:t xml:space="preserve">– </w:t>
      </w:r>
      <w:r w:rsidR="00FF40ED" w:rsidRPr="00BB14B1">
        <w:rPr>
          <w:i/>
          <w:iCs/>
        </w:rPr>
        <w:t>Support to Evidence Intermediaries</w:t>
      </w:r>
      <w:r w:rsidR="00FF40ED">
        <w:t xml:space="preserve">, and Option 3 </w:t>
      </w:r>
      <w:r w:rsidR="00C37C95">
        <w:t xml:space="preserve">– </w:t>
      </w:r>
      <w:r w:rsidR="00FF40ED" w:rsidRPr="00BB14B1">
        <w:rPr>
          <w:i/>
          <w:iCs/>
        </w:rPr>
        <w:t>Co-Design Labs</w:t>
      </w:r>
      <w:r w:rsidR="00FF40ED">
        <w:t xml:space="preserve">, which were collectively assessed as offering the greatest potential impact. </w:t>
      </w:r>
      <w:r w:rsidR="00235E9C" w:rsidRPr="00BB14B1">
        <w:rPr>
          <w:i/>
          <w:iCs/>
        </w:rPr>
        <w:t>Support for Intermediaries</w:t>
      </w:r>
      <w:r w:rsidR="00FF40ED">
        <w:t xml:space="preserve"> and </w:t>
      </w:r>
      <w:r w:rsidR="00235E9C" w:rsidRPr="00BB14B1">
        <w:rPr>
          <w:i/>
          <w:iCs/>
        </w:rPr>
        <w:t>Co-design Labs</w:t>
      </w:r>
      <w:r w:rsidR="00FF40ED">
        <w:t xml:space="preserve"> also received </w:t>
      </w:r>
      <w:r w:rsidR="00235E9C">
        <w:t>favourab</w:t>
      </w:r>
      <w:r w:rsidR="00212F11">
        <w:t>le</w:t>
      </w:r>
      <w:r w:rsidR="00FF40ED">
        <w:t xml:space="preserve"> feedback during Stage 4a consultations, with stakeholders highlighting their practical value in building capacity and enabling inclusive, applied engagement. </w:t>
      </w:r>
    </w:p>
    <w:p w14:paraId="23994FD6" w14:textId="616619BD" w:rsidR="00444C1A" w:rsidRDefault="00FF40ED" w:rsidP="00444C1A">
      <w:r>
        <w:t xml:space="preserve">However, </w:t>
      </w:r>
      <w:r w:rsidR="00BB14B1" w:rsidRPr="00BB14B1">
        <w:rPr>
          <w:i/>
          <w:iCs/>
        </w:rPr>
        <w:t>Regional Secretariats</w:t>
      </w:r>
      <w:r w:rsidR="00BB14B1">
        <w:t xml:space="preserve"> are</w:t>
      </w:r>
      <w:r>
        <w:t xml:space="preserve"> essential to address persistent fragmentation and weak coordination across regions, sectors, and interest holders. While </w:t>
      </w:r>
      <w:r w:rsidR="00BB14B1" w:rsidRPr="00BB14B1">
        <w:rPr>
          <w:i/>
          <w:iCs/>
        </w:rPr>
        <w:t>Support for Intermediaries</w:t>
      </w:r>
      <w:r w:rsidR="00BB14B1">
        <w:t xml:space="preserve"> and </w:t>
      </w:r>
      <w:r w:rsidR="00BB14B1" w:rsidRPr="00BB14B1">
        <w:rPr>
          <w:i/>
          <w:iCs/>
        </w:rPr>
        <w:t>Co-design Labs</w:t>
      </w:r>
      <w:r w:rsidR="00BB14B1">
        <w:t xml:space="preserve"> </w:t>
      </w:r>
      <w:r>
        <w:t>could</w:t>
      </w:r>
      <w:r w:rsidR="00101251">
        <w:t xml:space="preserve">, in </w:t>
      </w:r>
      <w:r w:rsidR="00DB7BE9">
        <w:t>theory, proceed</w:t>
      </w:r>
      <w:r>
        <w:t xml:space="preserve"> in isolation, their long-term effectiveness</w:t>
      </w:r>
      <w:r w:rsidR="005237E6">
        <w:t xml:space="preserve"> – </w:t>
      </w:r>
      <w:r>
        <w:t>and their alignment with outputs from other working groups such as capability development and AI integration</w:t>
      </w:r>
      <w:r w:rsidR="005237E6">
        <w:t xml:space="preserve"> – </w:t>
      </w:r>
      <w:r>
        <w:t xml:space="preserve">would be diminished without a coordinating mechanism. This is also true of Option 5 </w:t>
      </w:r>
      <w:r w:rsidR="00600505">
        <w:t xml:space="preserve">– </w:t>
      </w:r>
      <w:r w:rsidRPr="00BB14B1">
        <w:rPr>
          <w:i/>
          <w:iCs/>
        </w:rPr>
        <w:t>Grants</w:t>
      </w:r>
      <w:r>
        <w:t xml:space="preserve">, which, though agile and accessible, would benefit from governance and planning support to ensure strategic targeting and learning. Option 4 </w:t>
      </w:r>
      <w:r w:rsidR="00600505">
        <w:t xml:space="preserve">– </w:t>
      </w:r>
      <w:r w:rsidR="001A3DAB" w:rsidRPr="001A3DAB">
        <w:rPr>
          <w:i/>
          <w:iCs/>
        </w:rPr>
        <w:t>Question</w:t>
      </w:r>
      <w:r w:rsidR="001A3DAB">
        <w:t>/</w:t>
      </w:r>
      <w:r w:rsidRPr="00BB14B1">
        <w:rPr>
          <w:i/>
          <w:iCs/>
        </w:rPr>
        <w:t>Thematic Repositories</w:t>
      </w:r>
      <w:r>
        <w:t xml:space="preserve"> and other components can be introduced in subsequent phases, once core infrastructure and relationships are in place, and timed to align with sector-specific improvements being advanced through parallel working group efforts.</w:t>
      </w:r>
    </w:p>
    <w:p w14:paraId="3479804F" w14:textId="73A62FCE" w:rsidR="00444C1A" w:rsidRDefault="00444C1A" w:rsidP="00444C1A">
      <w:pPr>
        <w:pStyle w:val="Heading3"/>
        <w:spacing w:after="120"/>
      </w:pPr>
      <w:r>
        <w:t>Embedding Equity in Design and Implementation</w:t>
      </w:r>
    </w:p>
    <w:p w14:paraId="4C3992D6" w14:textId="68AD3512" w:rsidR="00444C1A" w:rsidRDefault="00444C1A" w:rsidP="00444C1A">
      <w:r>
        <w:t xml:space="preserve">Equity will be a central principle embedded across all demand-side proposals, shaping both design and implementation. This includes ensuring that geographic and sectoral focus favours areas with limited existing infrastructure or capability, to address long-standing disparities in access to and use of evidence. Representation across staff teams and governance structures will be intentionally diverse, supporting inclusive decision-making and legitimacy across contexts. </w:t>
      </w:r>
      <w:r w:rsidR="00BD23A1">
        <w:t xml:space="preserve">The </w:t>
      </w:r>
      <w:r w:rsidR="00BD23A1" w:rsidRPr="00BD23A1">
        <w:t xml:space="preserve">equity component </w:t>
      </w:r>
      <w:r w:rsidR="00BD23A1">
        <w:t>should</w:t>
      </w:r>
      <w:r w:rsidR="00BD23A1" w:rsidRPr="00BD23A1">
        <w:t xml:space="preserve"> be monitored over the time</w:t>
      </w:r>
      <w:r w:rsidR="00BD23A1">
        <w:t xml:space="preserve">. </w:t>
      </w:r>
    </w:p>
    <w:p w14:paraId="5273CD81" w14:textId="3C1EEEFE" w:rsidR="005615DD" w:rsidRDefault="00444C1A">
      <w:pPr>
        <w:rPr>
          <w:rFonts w:eastAsiaTheme="majorEastAsia" w:cstheme="majorBidi"/>
          <w:color w:val="0F4761" w:themeColor="accent1" w:themeShade="BF"/>
          <w:sz w:val="28"/>
          <w:szCs w:val="28"/>
        </w:rPr>
      </w:pPr>
      <w:r>
        <w:t>Investment strategies will balance strengthening existing capabilities with building new ones – recognising the need to support emerging actors alongside established organisations. Additionally, overall investment allocation will favour regions and sectors with the greatest need, ensuring that support flows to under-represented groups and contexts. Together, these actions will ensure equity is a cross-cutting commitment embedded in how all proposals are prioritised, governed, and delivered.</w:t>
      </w:r>
      <w:r w:rsidR="005615DD">
        <w:br w:type="page"/>
      </w:r>
    </w:p>
    <w:p w14:paraId="207DD581" w14:textId="77777777" w:rsidR="00AF7E1C" w:rsidRDefault="00AF7E1C" w:rsidP="00AF7E1C">
      <w:pPr>
        <w:pStyle w:val="Heading3"/>
      </w:pPr>
      <w:r>
        <w:lastRenderedPageBreak/>
        <w:t>Alignment with the SHOW ME Principles</w:t>
      </w:r>
    </w:p>
    <w:p w14:paraId="1674872A" w14:textId="50608E7B" w:rsidR="00AF7E1C" w:rsidRDefault="00AF7E1C" w:rsidP="00AF7E1C">
      <w:r>
        <w:t xml:space="preserve">The five options proposed </w:t>
      </w:r>
      <w:r w:rsidR="00F94427">
        <w:t>in this report</w:t>
      </w:r>
      <w:r>
        <w:t xml:space="preserve"> align with the SHOW ME the evidence principles</w:t>
      </w:r>
      <w:r w:rsidR="00BD4B95">
        <w:t xml:space="preserve"> </w:t>
      </w:r>
      <w:r>
        <w:t xml:space="preserve">as </w:t>
      </w:r>
      <w:r w:rsidR="00B566D5">
        <w:t>set out below</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9628"/>
      </w:tblGrid>
      <w:tr w:rsidR="00FD5AD1" w:rsidRPr="00E530E3" w14:paraId="1A8B43B9" w14:textId="77777777" w:rsidTr="00327B12">
        <w:tc>
          <w:tcPr>
            <w:tcW w:w="9628" w:type="dxa"/>
            <w:shd w:val="clear" w:color="auto" w:fill="156082" w:themeFill="accent1"/>
          </w:tcPr>
          <w:p w14:paraId="53B3247A" w14:textId="0BE8BE87" w:rsidR="007E2C17" w:rsidRPr="00E530E3" w:rsidRDefault="00FD5AD1" w:rsidP="00327B12">
            <w:pPr>
              <w:pStyle w:val="ListParagraph"/>
              <w:numPr>
                <w:ilvl w:val="0"/>
                <w:numId w:val="6"/>
              </w:numPr>
              <w:rPr>
                <w:color w:val="FFFFFF" w:themeColor="background1"/>
              </w:rPr>
            </w:pPr>
            <w:r w:rsidRPr="00E530E3">
              <w:rPr>
                <w:color w:val="FFFFFF" w:themeColor="background1"/>
              </w:rPr>
              <w:t>Support systems locally that use many forms of research evidence to help address local priorities</w:t>
            </w:r>
          </w:p>
        </w:tc>
      </w:tr>
      <w:tr w:rsidR="007E2C17" w:rsidRPr="00E530E3" w14:paraId="217E3647" w14:textId="77777777" w:rsidTr="00327B12">
        <w:tc>
          <w:tcPr>
            <w:tcW w:w="9628" w:type="dxa"/>
            <w:shd w:val="clear" w:color="auto" w:fill="DAE9F7" w:themeFill="text2" w:themeFillTint="1A"/>
          </w:tcPr>
          <w:p w14:paraId="6BB1DD28" w14:textId="574F200D" w:rsidR="007E2C17" w:rsidRPr="00E530E3" w:rsidRDefault="00BC4627" w:rsidP="00AF7E1C">
            <w:r w:rsidRPr="00E530E3">
              <w:t>The</w:t>
            </w:r>
            <w:r w:rsidR="00FD5AD1" w:rsidRPr="00E530E3">
              <w:t xml:space="preserve"> establishment of </w:t>
            </w:r>
            <w:r w:rsidRPr="00E530E3">
              <w:rPr>
                <w:i/>
                <w:iCs/>
              </w:rPr>
              <w:t>Regional Demand-Side</w:t>
            </w:r>
            <w:r w:rsidRPr="00E530E3">
              <w:t xml:space="preserve"> </w:t>
            </w:r>
            <w:r w:rsidR="00FD5AD1" w:rsidRPr="00E530E3">
              <w:t xml:space="preserve">secretariats and </w:t>
            </w:r>
            <w:r w:rsidRPr="00E530E3">
              <w:rPr>
                <w:i/>
                <w:iCs/>
              </w:rPr>
              <w:t>Co</w:t>
            </w:r>
            <w:r w:rsidR="00FD5AD1" w:rsidRPr="00E530E3">
              <w:rPr>
                <w:i/>
                <w:iCs/>
              </w:rPr>
              <w:t>-</w:t>
            </w:r>
            <w:r w:rsidRPr="00E530E3">
              <w:rPr>
                <w:i/>
                <w:iCs/>
              </w:rPr>
              <w:t>design Labs</w:t>
            </w:r>
            <w:r w:rsidRPr="00E530E3">
              <w:t xml:space="preserve"> </w:t>
            </w:r>
            <w:r w:rsidR="00FD5AD1" w:rsidRPr="00E530E3">
              <w:t>directly supports place-based systems that bring together diverse forms of knowledge</w:t>
            </w:r>
            <w:r w:rsidR="00B566D5">
              <w:t xml:space="preserve"> – </w:t>
            </w:r>
            <w:r w:rsidR="00FD5AD1" w:rsidRPr="00E530E3">
              <w:t>including research evidence, lived experience, and contextual expertise</w:t>
            </w:r>
            <w:r w:rsidR="00B566D5">
              <w:t xml:space="preserve"> – </w:t>
            </w:r>
            <w:r w:rsidR="00FD5AD1" w:rsidRPr="00E530E3">
              <w:t>to co-produce solutions aligned with local priorities.</w:t>
            </w:r>
          </w:p>
        </w:tc>
      </w:tr>
      <w:tr w:rsidR="00FD5AD1" w:rsidRPr="00E530E3" w14:paraId="30240AB4" w14:textId="77777777" w:rsidTr="00327B12">
        <w:tc>
          <w:tcPr>
            <w:tcW w:w="9628" w:type="dxa"/>
            <w:shd w:val="clear" w:color="auto" w:fill="156082" w:themeFill="accent1"/>
          </w:tcPr>
          <w:p w14:paraId="01F50741" w14:textId="73BA058D" w:rsidR="007E2C17" w:rsidRPr="00E530E3" w:rsidRDefault="00FD5AD1" w:rsidP="00327B12">
            <w:pPr>
              <w:pStyle w:val="ListParagraph"/>
              <w:numPr>
                <w:ilvl w:val="0"/>
                <w:numId w:val="6"/>
              </w:numPr>
              <w:rPr>
                <w:color w:val="FFFFFF" w:themeColor="background1"/>
              </w:rPr>
            </w:pPr>
            <w:r w:rsidRPr="00E530E3">
              <w:rPr>
                <w:color w:val="FFFFFF" w:themeColor="background1"/>
              </w:rPr>
              <w:t>Harmonized efforts globally that make it easier to learn from others around the world</w:t>
            </w:r>
          </w:p>
        </w:tc>
      </w:tr>
      <w:tr w:rsidR="007E2C17" w:rsidRPr="00E530E3" w14:paraId="3AFE359E" w14:textId="77777777" w:rsidTr="00327B12">
        <w:tc>
          <w:tcPr>
            <w:tcW w:w="9628" w:type="dxa"/>
            <w:shd w:val="clear" w:color="auto" w:fill="DAE9F7" w:themeFill="text2" w:themeFillTint="1A"/>
          </w:tcPr>
          <w:p w14:paraId="71BB56CF" w14:textId="718C05C4" w:rsidR="007E2C17" w:rsidRPr="00E530E3" w:rsidRDefault="00FD5AD1" w:rsidP="00AF7E1C">
            <w:r w:rsidRPr="00E530E3">
              <w:t xml:space="preserve">Through </w:t>
            </w:r>
            <w:r w:rsidRPr="00F94427">
              <w:rPr>
                <w:i/>
                <w:iCs/>
              </w:rPr>
              <w:t>regional coordination</w:t>
            </w:r>
            <w:r w:rsidRPr="00E530E3">
              <w:t xml:space="preserve"> structures and </w:t>
            </w:r>
            <w:r w:rsidRPr="00E530E3">
              <w:rPr>
                <w:i/>
                <w:iCs/>
              </w:rPr>
              <w:t>intermediary networks</w:t>
            </w:r>
            <w:r w:rsidRPr="00E530E3">
              <w:t>, WG1’s approach enables knowledge sharing across sectors and geographies. These structures can serve as key nodes in a globally harmonised system, supporting peer exchange, capacity development, and alignment with broader standards developed through other working groups.</w:t>
            </w:r>
          </w:p>
        </w:tc>
      </w:tr>
      <w:tr w:rsidR="00FD5AD1" w:rsidRPr="00E530E3" w14:paraId="697A47BB" w14:textId="77777777" w:rsidTr="00327B12">
        <w:tc>
          <w:tcPr>
            <w:tcW w:w="9628" w:type="dxa"/>
            <w:shd w:val="clear" w:color="auto" w:fill="156082" w:themeFill="accent1"/>
          </w:tcPr>
          <w:p w14:paraId="455BAFF6" w14:textId="5149352E" w:rsidR="007E2C17" w:rsidRPr="00E530E3" w:rsidRDefault="00FD5AD1" w:rsidP="00327B12">
            <w:pPr>
              <w:pStyle w:val="ListParagraph"/>
              <w:numPr>
                <w:ilvl w:val="0"/>
                <w:numId w:val="6"/>
              </w:numPr>
              <w:rPr>
                <w:color w:val="FFFFFF" w:themeColor="background1"/>
              </w:rPr>
            </w:pPr>
            <w:r w:rsidRPr="00E530E3">
              <w:rPr>
                <w:color w:val="FFFFFF" w:themeColor="background1"/>
              </w:rPr>
              <w:t>Open-science approaches that make it the norm to build on what others have done</w:t>
            </w:r>
          </w:p>
        </w:tc>
      </w:tr>
      <w:tr w:rsidR="007E2C17" w:rsidRPr="00E530E3" w14:paraId="1F194B19" w14:textId="77777777" w:rsidTr="00327B12">
        <w:tc>
          <w:tcPr>
            <w:tcW w:w="9628" w:type="dxa"/>
            <w:shd w:val="clear" w:color="auto" w:fill="DAE9F7" w:themeFill="text2" w:themeFillTint="1A"/>
          </w:tcPr>
          <w:p w14:paraId="131EC932" w14:textId="4AC79161" w:rsidR="007E2C17" w:rsidRPr="00E530E3" w:rsidRDefault="00675E6A" w:rsidP="00AF7E1C">
            <w:r>
              <w:t>These options</w:t>
            </w:r>
            <w:r w:rsidR="00FD5AD1" w:rsidRPr="00E530E3">
              <w:t xml:space="preserve"> encourage transparency and shared learning, particularly through </w:t>
            </w:r>
            <w:r w:rsidR="00BC4627" w:rsidRPr="00E530E3">
              <w:rPr>
                <w:i/>
                <w:iCs/>
              </w:rPr>
              <w:t>Co</w:t>
            </w:r>
            <w:r w:rsidR="00FD5AD1" w:rsidRPr="00E530E3">
              <w:rPr>
                <w:i/>
                <w:iCs/>
              </w:rPr>
              <w:t>-design processes</w:t>
            </w:r>
            <w:r w:rsidR="00FD5AD1" w:rsidRPr="00E530E3">
              <w:t xml:space="preserve"> and </w:t>
            </w:r>
            <w:r w:rsidR="00BC4627" w:rsidRPr="00E530E3">
              <w:rPr>
                <w:i/>
                <w:iCs/>
              </w:rPr>
              <w:t>Intermediary Support</w:t>
            </w:r>
            <w:r w:rsidR="00FD5AD1" w:rsidRPr="00E530E3">
              <w:t>. These mechanisms facilitate collaborative problem-solving and open access to evidence use strategies, enhancing the cumulative value of synthesis efforts.</w:t>
            </w:r>
          </w:p>
        </w:tc>
      </w:tr>
      <w:tr w:rsidR="00FD5AD1" w:rsidRPr="00E530E3" w14:paraId="1FB8C766" w14:textId="77777777" w:rsidTr="00327B12">
        <w:tc>
          <w:tcPr>
            <w:tcW w:w="9628" w:type="dxa"/>
            <w:shd w:val="clear" w:color="auto" w:fill="156082" w:themeFill="accent1"/>
          </w:tcPr>
          <w:p w14:paraId="1A67EB40" w14:textId="4DBD05B1" w:rsidR="00FD5AD1" w:rsidRPr="00E530E3" w:rsidRDefault="00FD5AD1" w:rsidP="00327B12">
            <w:pPr>
              <w:pStyle w:val="ListParagraph"/>
              <w:numPr>
                <w:ilvl w:val="0"/>
                <w:numId w:val="6"/>
              </w:numPr>
              <w:rPr>
                <w:color w:val="FFFFFF" w:themeColor="background1"/>
              </w:rPr>
            </w:pPr>
            <w:r w:rsidRPr="00E530E3">
              <w:rPr>
                <w:color w:val="FFFFFF" w:themeColor="background1"/>
              </w:rPr>
              <w:t>Waste-reduction efforts that make the most of investments in evidence support and in research</w:t>
            </w:r>
          </w:p>
        </w:tc>
      </w:tr>
      <w:tr w:rsidR="00FD5AD1" w:rsidRPr="00E530E3" w14:paraId="6FBBEC87" w14:textId="77777777" w:rsidTr="00327B12">
        <w:tc>
          <w:tcPr>
            <w:tcW w:w="9628" w:type="dxa"/>
            <w:shd w:val="clear" w:color="auto" w:fill="DAE9F7" w:themeFill="text2" w:themeFillTint="1A"/>
          </w:tcPr>
          <w:p w14:paraId="6BD1EE9D" w14:textId="7F7C8CC1" w:rsidR="00FD5AD1" w:rsidRPr="00E530E3" w:rsidRDefault="00FD5AD1" w:rsidP="00AF7E1C">
            <w:r w:rsidRPr="00E530E3">
              <w:t>By investing in coordination (Option 1), strengthening intermediary capacity (Option 2), and improving engagement pathways (Option 3),</w:t>
            </w:r>
            <w:r w:rsidR="00115E22" w:rsidRPr="00E530E3">
              <w:t xml:space="preserve"> these solutions</w:t>
            </w:r>
            <w:r w:rsidRPr="00E530E3">
              <w:t xml:space="preserve"> support more targeted and timely use of existing evidence, reducing duplication and increasing the relevance of synthesis outputs.</w:t>
            </w:r>
          </w:p>
        </w:tc>
      </w:tr>
      <w:tr w:rsidR="00FD5AD1" w:rsidRPr="00E530E3" w14:paraId="1880D873" w14:textId="77777777" w:rsidTr="00327B12">
        <w:tc>
          <w:tcPr>
            <w:tcW w:w="9628" w:type="dxa"/>
            <w:shd w:val="clear" w:color="auto" w:fill="156082" w:themeFill="accent1"/>
          </w:tcPr>
          <w:p w14:paraId="6C912D39" w14:textId="6FCBE0D9" w:rsidR="00FD5AD1" w:rsidRPr="00E530E3" w:rsidRDefault="00FD5AD1" w:rsidP="00327B12">
            <w:pPr>
              <w:pStyle w:val="ListParagraph"/>
              <w:numPr>
                <w:ilvl w:val="0"/>
                <w:numId w:val="6"/>
              </w:numPr>
              <w:rPr>
                <w:color w:val="FFFFFF" w:themeColor="background1"/>
              </w:rPr>
            </w:pPr>
            <w:r w:rsidRPr="00E530E3">
              <w:rPr>
                <w:color w:val="FFFFFF" w:themeColor="background1"/>
              </w:rPr>
              <w:t>Measured communications that clarify what we know from existing evidence and with what caveats</w:t>
            </w:r>
          </w:p>
        </w:tc>
      </w:tr>
      <w:tr w:rsidR="00FD5AD1" w:rsidRPr="00E530E3" w14:paraId="2BBB9BE9" w14:textId="77777777" w:rsidTr="00327B12">
        <w:tc>
          <w:tcPr>
            <w:tcW w:w="9628" w:type="dxa"/>
            <w:shd w:val="clear" w:color="auto" w:fill="DAE9F7" w:themeFill="text2" w:themeFillTint="1A"/>
          </w:tcPr>
          <w:p w14:paraId="6B11FA48" w14:textId="610AD29A" w:rsidR="00FD5AD1" w:rsidRPr="00E530E3" w:rsidRDefault="00FD5AD1" w:rsidP="00AF7E1C">
            <w:r w:rsidRPr="00E530E3">
              <w:t xml:space="preserve">Evidence intermediaries supported under </w:t>
            </w:r>
            <w:r w:rsidR="00115E22" w:rsidRPr="00E530E3">
              <w:t xml:space="preserve">these options </w:t>
            </w:r>
            <w:r w:rsidRPr="00E530E3">
              <w:t>will play a key role in translating complex syntheses into accessible, context-specific guidance, helping decision-makers and stakeholders understand both the strength of evidence and its limitations.</w:t>
            </w:r>
          </w:p>
        </w:tc>
      </w:tr>
      <w:tr w:rsidR="00FD5AD1" w:rsidRPr="00E530E3" w14:paraId="66720CA2" w14:textId="77777777" w:rsidTr="00327B12">
        <w:tc>
          <w:tcPr>
            <w:tcW w:w="9628" w:type="dxa"/>
            <w:shd w:val="clear" w:color="auto" w:fill="156082" w:themeFill="accent1"/>
          </w:tcPr>
          <w:p w14:paraId="3498D6B7" w14:textId="0CFEDC0E" w:rsidR="00FD5AD1" w:rsidRPr="00E530E3" w:rsidRDefault="00FD5AD1" w:rsidP="00327B12">
            <w:pPr>
              <w:pStyle w:val="ListParagraph"/>
              <w:numPr>
                <w:ilvl w:val="0"/>
                <w:numId w:val="6"/>
              </w:numPr>
              <w:rPr>
                <w:color w:val="FFFFFF" w:themeColor="background1"/>
              </w:rPr>
            </w:pPr>
            <w:r w:rsidRPr="00E530E3">
              <w:rPr>
                <w:color w:val="FFFFFF" w:themeColor="background1"/>
              </w:rPr>
              <w:t>Equity and efficiency in all aspects of this work</w:t>
            </w:r>
          </w:p>
        </w:tc>
      </w:tr>
      <w:tr w:rsidR="00FD5AD1" w:rsidRPr="00E530E3" w14:paraId="3F7427B6" w14:textId="77777777" w:rsidTr="00327B12">
        <w:tc>
          <w:tcPr>
            <w:tcW w:w="9628" w:type="dxa"/>
            <w:shd w:val="clear" w:color="auto" w:fill="DAE9F7" w:themeFill="text2" w:themeFillTint="1A"/>
          </w:tcPr>
          <w:p w14:paraId="3BABE714" w14:textId="0C58AE5E" w:rsidR="00FD5AD1" w:rsidRPr="00E530E3" w:rsidRDefault="00FD5AD1" w:rsidP="00FD5AD1">
            <w:r w:rsidRPr="00E530E3">
              <w:t>Equity is embedded as a cross-cutting principle in WG1’s proposals, with mechanisms such as participation grants, diverse governance, and targeted investment in under-served regions and sectors. These efforts aim to ensure that evidence systems are both inclusive and efficient in responding to a wide range of needs and contexts</w:t>
            </w:r>
            <w:r w:rsidR="00CC22A9">
              <w:t xml:space="preserve"> – see p13. </w:t>
            </w:r>
          </w:p>
          <w:p w14:paraId="16406520" w14:textId="77777777" w:rsidR="00FD5AD1" w:rsidRPr="00E530E3" w:rsidRDefault="00FD5AD1" w:rsidP="00AF7E1C"/>
        </w:tc>
      </w:tr>
    </w:tbl>
    <w:p w14:paraId="6D97D78A" w14:textId="50F3D6BB" w:rsidR="005615DD" w:rsidRDefault="00AF7E1C" w:rsidP="00FD5AD1">
      <w:pPr>
        <w:spacing w:before="240"/>
        <w:rPr>
          <w:rFonts w:eastAsiaTheme="majorEastAsia" w:cstheme="majorBidi"/>
          <w:color w:val="0F4761" w:themeColor="accent1" w:themeShade="BF"/>
          <w:sz w:val="28"/>
          <w:szCs w:val="28"/>
        </w:rPr>
      </w:pPr>
      <w:r>
        <w:t xml:space="preserve"> </w:t>
      </w:r>
      <w:r w:rsidR="005615DD">
        <w:br w:type="page"/>
      </w:r>
    </w:p>
    <w:p w14:paraId="45EC0918" w14:textId="3F9FB963" w:rsidR="000A6775" w:rsidRPr="000A6775" w:rsidRDefault="000A6775" w:rsidP="00B60D88">
      <w:pPr>
        <w:pStyle w:val="Heading3"/>
      </w:pPr>
      <w:r w:rsidRPr="000A6775">
        <w:lastRenderedPageBreak/>
        <w:t>Alignment of Initiatives Across Working Groups</w:t>
      </w:r>
    </w:p>
    <w:p w14:paraId="0B25BC0F" w14:textId="40258065" w:rsidR="000A6775" w:rsidRPr="000A6775" w:rsidRDefault="000A6775" w:rsidP="000A6775">
      <w:r w:rsidRPr="000A6775">
        <w:t xml:space="preserve">The five options proposed </w:t>
      </w:r>
      <w:r w:rsidR="00D11A60">
        <w:t>in this report</w:t>
      </w:r>
      <w:r>
        <w:t xml:space="preserve"> – </w:t>
      </w:r>
      <w:r w:rsidRPr="000A6775">
        <w:t xml:space="preserve">including the establishment of </w:t>
      </w:r>
      <w:r w:rsidR="00D410D5" w:rsidRPr="00D410D5">
        <w:rPr>
          <w:i/>
          <w:iCs/>
        </w:rPr>
        <w:t>Regional Demand</w:t>
      </w:r>
      <w:r w:rsidRPr="000A6775">
        <w:rPr>
          <w:i/>
          <w:iCs/>
        </w:rPr>
        <w:t xml:space="preserve">-side </w:t>
      </w:r>
      <w:r w:rsidR="00D410D5" w:rsidRPr="00D410D5">
        <w:rPr>
          <w:i/>
          <w:iCs/>
        </w:rPr>
        <w:t>Secretariats</w:t>
      </w:r>
      <w:r w:rsidRPr="000A6775">
        <w:t xml:space="preserve">, </w:t>
      </w:r>
      <w:r w:rsidR="00D410D5" w:rsidRPr="00D410D5">
        <w:rPr>
          <w:i/>
          <w:iCs/>
        </w:rPr>
        <w:t xml:space="preserve">Support </w:t>
      </w:r>
      <w:r w:rsidRPr="000A6775">
        <w:rPr>
          <w:i/>
          <w:iCs/>
        </w:rPr>
        <w:t xml:space="preserve">for </w:t>
      </w:r>
      <w:r w:rsidR="00D410D5" w:rsidRPr="00D410D5">
        <w:rPr>
          <w:i/>
          <w:iCs/>
        </w:rPr>
        <w:t>Evidence Intermediaries</w:t>
      </w:r>
      <w:r w:rsidRPr="000A6775">
        <w:t xml:space="preserve">, and the creation of </w:t>
      </w:r>
      <w:r w:rsidR="00D410D5" w:rsidRPr="00D410D5">
        <w:rPr>
          <w:i/>
          <w:iCs/>
        </w:rPr>
        <w:t>Co</w:t>
      </w:r>
      <w:r w:rsidRPr="000A6775">
        <w:rPr>
          <w:i/>
          <w:iCs/>
        </w:rPr>
        <w:t xml:space="preserve">-design </w:t>
      </w:r>
      <w:r w:rsidR="00D410D5" w:rsidRPr="00D410D5">
        <w:rPr>
          <w:i/>
          <w:iCs/>
        </w:rPr>
        <w:t>Labs</w:t>
      </w:r>
      <w:r w:rsidR="00D410D5">
        <w:t xml:space="preserve"> </w:t>
      </w:r>
      <w:r>
        <w:t xml:space="preserve">– </w:t>
      </w:r>
      <w:r w:rsidRPr="000A6775">
        <w:t>demonstrate clear points of alignment with the priorities identified by Working Groups 2 to 5. Coordinated planning and implementation across these initiatives will be critical to ensuring an efficient, coherent, and sustainable evidence synthesis ecosystem.</w:t>
      </w:r>
    </w:p>
    <w:p w14:paraId="41AC32DD" w14:textId="490278CA" w:rsidR="000A6775" w:rsidRPr="000A6775" w:rsidRDefault="000A6775" w:rsidP="000A6775">
      <w:r w:rsidRPr="000A6775">
        <w:t xml:space="preserve">WG2’s emphasis on standardised data infrastructure and interoperable platforms, and WG3’s development of AI-enabled tools and synthesis automation, both require end-user engagement and context-specific application. </w:t>
      </w:r>
      <w:r w:rsidR="005D3CE2">
        <w:t>The</w:t>
      </w:r>
      <w:r w:rsidRPr="000A6775">
        <w:t xml:space="preserve"> </w:t>
      </w:r>
      <w:r w:rsidR="001750A4" w:rsidRPr="000A6775">
        <w:t xml:space="preserve">intermediary networks </w:t>
      </w:r>
      <w:r w:rsidR="005D3CE2">
        <w:t>fostered through the</w:t>
      </w:r>
      <w:r w:rsidR="00C85DAD">
        <w:t xml:space="preserve"> demand-side</w:t>
      </w:r>
      <w:r w:rsidR="005D3CE2">
        <w:t xml:space="preserve"> options </w:t>
      </w:r>
      <w:r w:rsidRPr="000A6775">
        <w:t>and</w:t>
      </w:r>
      <w:r w:rsidR="00DA5CAC">
        <w:t xml:space="preserve"> engagement spaces like</w:t>
      </w:r>
      <w:r w:rsidRPr="000A6775">
        <w:t xml:space="preserve"> </w:t>
      </w:r>
      <w:r w:rsidR="001750A4" w:rsidRPr="00ED64B3">
        <w:rPr>
          <w:i/>
          <w:iCs/>
        </w:rPr>
        <w:t>Co</w:t>
      </w:r>
      <w:r w:rsidRPr="000A6775">
        <w:rPr>
          <w:i/>
          <w:iCs/>
        </w:rPr>
        <w:t xml:space="preserve">-design </w:t>
      </w:r>
      <w:r w:rsidR="001750A4" w:rsidRPr="00ED64B3">
        <w:rPr>
          <w:i/>
          <w:iCs/>
        </w:rPr>
        <w:t>Labs</w:t>
      </w:r>
      <w:r w:rsidR="002D37A6">
        <w:rPr>
          <w:i/>
          <w:iCs/>
        </w:rPr>
        <w:t>,</w:t>
      </w:r>
      <w:r w:rsidR="001750A4" w:rsidRPr="00ED64B3">
        <w:rPr>
          <w:i/>
          <w:iCs/>
        </w:rPr>
        <w:t xml:space="preserve"> </w:t>
      </w:r>
      <w:r w:rsidRPr="000A6775">
        <w:t>offer mechanisms to support the practical testing, localisation, and uptake of these technical solutions.</w:t>
      </w:r>
    </w:p>
    <w:p w14:paraId="06281098" w14:textId="46C7E643" w:rsidR="000A6775" w:rsidRPr="000A6775" w:rsidRDefault="000A6775" w:rsidP="000A6775">
      <w:r w:rsidRPr="000A6775">
        <w:t xml:space="preserve">Similarly, WG4’s work on harmonising quality standards and supporting methodological innovation, and WG5’s focus on capacity-building, knowledge mobilisation, and regional collaboration, align with the governance and facilitation functions envisioned within </w:t>
      </w:r>
      <w:r w:rsidR="001750A4" w:rsidRPr="007A622F">
        <w:rPr>
          <w:i/>
          <w:iCs/>
        </w:rPr>
        <w:t>Regional Secretariats</w:t>
      </w:r>
      <w:r w:rsidRPr="000A6775">
        <w:t>. These structures could serve as regional convenors or implementation partners for WG4 and WG5 initiatives, supporting coordinated delivery and reinforcing local capability.</w:t>
      </w:r>
    </w:p>
    <w:p w14:paraId="4A11558F" w14:textId="77777777" w:rsidR="000A6775" w:rsidRPr="000A6775" w:rsidRDefault="000A6775" w:rsidP="000A6775">
      <w:r w:rsidRPr="000A6775">
        <w:t>To support effective alignment, a cross-working group implementation framework may be required. This could include a central coordinating mechanism (as suggested in the Global Planning Group’s proposed “connector” model) to oversee integration and manage dependencies. Sequencing of initiatives should also be considered to ensure that foundational infrastructure and relationships are in place prior to scaling more complex or resource-intensive activities.</w:t>
      </w:r>
    </w:p>
    <w:p w14:paraId="3A09A8F8" w14:textId="5EBF529C" w:rsidR="00C769CD" w:rsidRDefault="000A6775" w:rsidP="000A6775">
      <w:r w:rsidRPr="000A6775">
        <w:t>Overall</w:t>
      </w:r>
      <w:r w:rsidR="00A70A7C">
        <w:t>,</w:t>
      </w:r>
      <w:r w:rsidR="0023702C">
        <w:t xml:space="preserve"> </w:t>
      </w:r>
      <w:r w:rsidRPr="000A6775">
        <w:t>coordination across working groups will enhance complementarity, reduce duplication, and support the delivery of a more integrated and responsive global evidence synthesis system.</w:t>
      </w:r>
    </w:p>
    <w:p w14:paraId="53C08793" w14:textId="777AB89F" w:rsidR="006C3D02" w:rsidRDefault="000F45F0" w:rsidP="00F52E77">
      <w:pPr>
        <w:pStyle w:val="Heading3"/>
        <w:spacing w:after="120"/>
      </w:pPr>
      <w:r>
        <w:t xml:space="preserve">The </w:t>
      </w:r>
      <w:r w:rsidR="00DB65FA">
        <w:t>next steps</w:t>
      </w:r>
      <w:r>
        <w:t xml:space="preserve"> </w:t>
      </w:r>
      <w:bookmarkEnd w:id="0"/>
      <w:r w:rsidR="00953BA9">
        <w:t>from here</w:t>
      </w:r>
    </w:p>
    <w:p w14:paraId="1470ED89" w14:textId="4EED61F9" w:rsidR="0059066C" w:rsidRPr="001170E8" w:rsidRDefault="00984415" w:rsidP="00984415">
      <w:pPr>
        <w:rPr>
          <w:lang w:bidi="th-TH"/>
        </w:rPr>
      </w:pPr>
      <w:r w:rsidRPr="00984415">
        <w:t>The final report</w:t>
      </w:r>
      <w:r w:rsidR="007F5FD0">
        <w:t xml:space="preserve"> (Roadmap)</w:t>
      </w:r>
      <w:r w:rsidRPr="00984415">
        <w:t xml:space="preserve"> will compile findings for discussion at the Cape Town meeting in June 2025, where stakeholders will finali</w:t>
      </w:r>
      <w:r w:rsidR="007F1BD5">
        <w:t>s</w:t>
      </w:r>
      <w:r w:rsidRPr="00984415">
        <w:t>e investment strategies for improving the evidence synthesis ecosystem.</w:t>
      </w:r>
    </w:p>
    <w:p w14:paraId="045A26DB" w14:textId="7D6142A0" w:rsidR="002E597A" w:rsidRDefault="00896F60" w:rsidP="00DA5CAC">
      <w:pPr>
        <w:jc w:val="both"/>
        <w:rPr>
          <w:lang w:val="en-US"/>
        </w:rPr>
      </w:pPr>
      <w:r w:rsidRPr="00896F60">
        <w:rPr>
          <w:lang w:val="en-US"/>
        </w:rPr>
        <w:t xml:space="preserve">This is a pivotal moment for shaping a more inclusive, balanced global evidence ecosystem. The decisions made in Cape Town will determine whether all sectors and regions can benefit </w:t>
      </w:r>
      <w:r w:rsidR="00314386" w:rsidRPr="00896F60">
        <w:rPr>
          <w:lang w:val="en-US"/>
        </w:rPr>
        <w:t>– or</w:t>
      </w:r>
      <w:r w:rsidRPr="00896F60">
        <w:rPr>
          <w:lang w:val="en-US"/>
        </w:rPr>
        <w:t xml:space="preserve"> whether existing disparities will persist.”</w:t>
      </w:r>
    </w:p>
    <w:p w14:paraId="1078C2F1" w14:textId="77777777" w:rsidR="002E597A" w:rsidRDefault="002E597A" w:rsidP="00B94F30">
      <w:pPr>
        <w:rPr>
          <w:lang w:val="en-US"/>
        </w:rPr>
      </w:pPr>
    </w:p>
    <w:p w14:paraId="161CD24F" w14:textId="11915BBB" w:rsidR="00F16A9E" w:rsidRDefault="00B94F30" w:rsidP="00B94F30">
      <w:pPr>
        <w:rPr>
          <w:lang w:val="en-US"/>
        </w:rPr>
      </w:pPr>
      <w:r>
        <w:rPr>
          <w:lang w:val="en-US"/>
        </w:rPr>
        <w:br w:type="page"/>
      </w:r>
    </w:p>
    <w:p w14:paraId="7FF3745C" w14:textId="566D2F91" w:rsidR="00B94F30" w:rsidRPr="00B94F30" w:rsidRDefault="00B94F30" w:rsidP="00B94F30">
      <w:pPr>
        <w:rPr>
          <w:rFonts w:asciiTheme="majorHAnsi" w:eastAsiaTheme="majorEastAsia" w:hAnsiTheme="majorHAnsi" w:cstheme="majorBidi"/>
          <w:color w:val="0F4761" w:themeColor="accent1" w:themeShade="BF"/>
          <w:sz w:val="32"/>
          <w:szCs w:val="32"/>
          <w:lang w:val="en-US"/>
        </w:rPr>
      </w:pPr>
      <w:r w:rsidRPr="00B94F30">
        <w:rPr>
          <w:rFonts w:asciiTheme="majorHAnsi" w:eastAsiaTheme="majorEastAsia" w:hAnsiTheme="majorHAnsi" w:cstheme="majorBidi"/>
          <w:color w:val="0F4761" w:themeColor="accent1" w:themeShade="BF"/>
          <w:sz w:val="32"/>
          <w:szCs w:val="32"/>
          <w:lang w:val="en-US"/>
        </w:rPr>
        <w:lastRenderedPageBreak/>
        <w:t>Appendix 1 – Glossary of terms</w:t>
      </w:r>
    </w:p>
    <w:p w14:paraId="48B781D9" w14:textId="36E9C3A9" w:rsidR="002F6EF3" w:rsidRPr="002F6EF3" w:rsidRDefault="002F6EF3" w:rsidP="002F6EF3">
      <w:r w:rsidRPr="002F6EF3">
        <w:t>This brief list includes key terms used in the report, defined in simple and plain language to clarify their intended meaning. More comprehensive definitions can be found in earlier reports. Additionally, some links are included for broader discussions of these terms.</w:t>
      </w:r>
      <w:r w:rsidR="0098795C">
        <w:t xml:space="preserve"> See, in particular, </w:t>
      </w:r>
      <w:r w:rsidR="008351D7">
        <w:rPr>
          <w:lang w:val="en-AU" w:bidi="th-TH"/>
        </w:rPr>
        <w:t xml:space="preserve">the Demand-side engagement </w:t>
      </w:r>
      <w:hyperlink r:id="rId13" w:tooltip="Research Users: Who are you passing the baton to?" w:history="1">
        <w:r w:rsidR="0098795C" w:rsidRPr="00C737C1">
          <w:rPr>
            <w:rStyle w:val="Hyperlink"/>
            <w:lang w:val="en-AU" w:bidi="th-TH"/>
          </w:rPr>
          <w:t>Stage</w:t>
        </w:r>
        <w:r w:rsidR="0098795C" w:rsidRPr="00C737C1">
          <w:rPr>
            <w:rStyle w:val="Hyperlink"/>
            <w:lang w:val="en-US" w:bidi="th-TH"/>
          </w:rPr>
          <w:t xml:space="preserve"> 2 Report</w:t>
        </w:r>
      </w:hyperlink>
      <w:r w:rsidR="008351D7">
        <w:rPr>
          <w:lang w:val="en-AU" w:bidi="th-TH"/>
        </w:rPr>
        <w:t xml:space="preserve">. </w:t>
      </w:r>
    </w:p>
    <w:p w14:paraId="7970D5F9" w14:textId="077D10E8" w:rsidR="003C3ED0" w:rsidRPr="00A177AE" w:rsidRDefault="003C3ED0" w:rsidP="003C3ED0">
      <w:pPr>
        <w:rPr>
          <w:lang w:val="en-AU" w:bidi="th-TH"/>
        </w:rPr>
      </w:pPr>
      <w:r w:rsidRPr="00A177AE">
        <w:rPr>
          <w:b/>
          <w:bCs/>
          <w:lang w:val="en-AU" w:bidi="th-TH"/>
        </w:rPr>
        <w:t>Evidence Intermediaries</w:t>
      </w:r>
      <w:r w:rsidRPr="00A177AE">
        <w:rPr>
          <w:lang w:val="en-AU" w:bidi="th-TH"/>
        </w:rPr>
        <w:br/>
        <w:t>Entities or individuals that operate between decision-makers and evidence producers, facilitating the use of evidence in decision-making processes. (</w:t>
      </w:r>
      <w:hyperlink r:id="rId14" w:tooltip="Global Commission on Evidence - McMaster Health Forum" w:history="1">
        <w:r w:rsidRPr="00A177AE">
          <w:rPr>
            <w:rStyle w:val="Hyperlink"/>
            <w:lang w:val="en-AU" w:bidi="th-TH"/>
          </w:rPr>
          <w:t>McMaster Health Forum</w:t>
        </w:r>
      </w:hyperlink>
      <w:r w:rsidRPr="00A177AE">
        <w:rPr>
          <w:lang w:val="en-AU" w:bidi="th-TH"/>
        </w:rPr>
        <w:t>)</w:t>
      </w:r>
    </w:p>
    <w:p w14:paraId="78CD9FC0" w14:textId="7A9BDAA2" w:rsidR="003C3ED0" w:rsidRPr="00A177AE" w:rsidRDefault="003C3ED0" w:rsidP="003C3ED0">
      <w:pPr>
        <w:rPr>
          <w:lang w:val="en-AU" w:bidi="th-TH"/>
        </w:rPr>
      </w:pPr>
      <w:r w:rsidRPr="00A177AE">
        <w:rPr>
          <w:b/>
          <w:bCs/>
          <w:lang w:val="en-AU" w:bidi="th-TH"/>
        </w:rPr>
        <w:t>End-Users</w:t>
      </w:r>
      <w:r w:rsidRPr="00A177AE">
        <w:rPr>
          <w:lang w:val="en-AU" w:bidi="th-TH"/>
        </w:rPr>
        <w:br/>
        <w:t xml:space="preserve">Individuals or groups who apply research findings in real-world contexts, such as policymakers, practitioners, </w:t>
      </w:r>
      <w:r w:rsidR="004E4C66">
        <w:rPr>
          <w:lang w:val="en-AU" w:bidi="th-TH"/>
        </w:rPr>
        <w:t xml:space="preserve">organisational leaders, </w:t>
      </w:r>
      <w:r w:rsidRPr="00A177AE">
        <w:rPr>
          <w:lang w:val="en-AU" w:bidi="th-TH"/>
        </w:rPr>
        <w:t xml:space="preserve">or the public. </w:t>
      </w:r>
    </w:p>
    <w:p w14:paraId="037670FB" w14:textId="66C40FA8" w:rsidR="003C3ED0" w:rsidRPr="00A177AE" w:rsidRDefault="003C3ED0" w:rsidP="003C3ED0">
      <w:pPr>
        <w:rPr>
          <w:lang w:val="en-AU" w:bidi="th-TH"/>
        </w:rPr>
      </w:pPr>
      <w:r w:rsidRPr="00A177AE">
        <w:rPr>
          <w:b/>
          <w:bCs/>
          <w:lang w:val="en-AU" w:bidi="th-TH"/>
        </w:rPr>
        <w:t>Evidence Synthesis</w:t>
      </w:r>
      <w:r w:rsidRPr="00A177AE">
        <w:rPr>
          <w:lang w:val="en-AU" w:bidi="th-TH"/>
        </w:rPr>
        <w:br/>
        <w:t>The process of systematically combining information from multiple studies to provide a comprehensive understanding of a particular topic. (</w:t>
      </w:r>
      <w:hyperlink r:id="rId15" w:tooltip="Evidence Synthesis - What is it and why do we need it?" w:history="1">
        <w:r w:rsidRPr="00A177AE">
          <w:rPr>
            <w:rStyle w:val="Hyperlink"/>
            <w:lang w:val="en-AU" w:bidi="th-TH"/>
          </w:rPr>
          <w:t>Cochrane</w:t>
        </w:r>
      </w:hyperlink>
      <w:r w:rsidRPr="00A177AE">
        <w:rPr>
          <w:lang w:val="en-AU" w:bidi="th-TH"/>
        </w:rPr>
        <w:t>)</w:t>
      </w:r>
    </w:p>
    <w:p w14:paraId="57F923C4" w14:textId="77777777" w:rsidR="003C3ED0" w:rsidRPr="00A177AE" w:rsidRDefault="003C3ED0" w:rsidP="003C3ED0">
      <w:pPr>
        <w:rPr>
          <w:lang w:val="en-AU" w:bidi="th-TH"/>
        </w:rPr>
      </w:pPr>
      <w:r w:rsidRPr="00A177AE">
        <w:rPr>
          <w:b/>
          <w:bCs/>
          <w:lang w:val="en-AU" w:bidi="th-TH"/>
        </w:rPr>
        <w:t>Co-Design Labs</w:t>
      </w:r>
      <w:r w:rsidRPr="00A177AE">
        <w:rPr>
          <w:lang w:val="en-AU" w:bidi="th-TH"/>
        </w:rPr>
        <w:br/>
        <w:t xml:space="preserve">Collaborative spaces where researchers, policymakers, and stakeholders jointly develop and apply evidence to address specific policy or practice challenges. </w:t>
      </w:r>
    </w:p>
    <w:p w14:paraId="0BDDF7FD" w14:textId="77777777" w:rsidR="003C3ED0" w:rsidRPr="00A177AE" w:rsidRDefault="003C3ED0" w:rsidP="003C3ED0">
      <w:pPr>
        <w:rPr>
          <w:lang w:val="en-AU" w:bidi="th-TH"/>
        </w:rPr>
      </w:pPr>
      <w:r w:rsidRPr="00A177AE">
        <w:rPr>
          <w:b/>
          <w:bCs/>
          <w:lang w:val="en-AU" w:bidi="th-TH"/>
        </w:rPr>
        <w:t>Question Repositories</w:t>
      </w:r>
      <w:r w:rsidRPr="00A177AE">
        <w:rPr>
          <w:lang w:val="en-AU" w:bidi="th-TH"/>
        </w:rPr>
        <w:br/>
        <w:t xml:space="preserve">Structured platforms that collect and organize policy-relevant questions to guide evidence synthesis efforts. </w:t>
      </w:r>
    </w:p>
    <w:p w14:paraId="5D7F59F5" w14:textId="2CE82972" w:rsidR="003C3ED0" w:rsidRPr="00A177AE" w:rsidRDefault="003C3ED0" w:rsidP="003C3ED0">
      <w:pPr>
        <w:rPr>
          <w:lang w:val="en-AU" w:bidi="th-TH"/>
        </w:rPr>
      </w:pPr>
      <w:r w:rsidRPr="00A177AE">
        <w:rPr>
          <w:b/>
          <w:bCs/>
          <w:lang w:val="en-AU" w:bidi="th-TH"/>
        </w:rPr>
        <w:t>Demand-Side Actors</w:t>
      </w:r>
      <w:r w:rsidRPr="00A177AE">
        <w:rPr>
          <w:lang w:val="en-AU" w:bidi="th-TH"/>
        </w:rPr>
        <w:br/>
      </w:r>
      <w:r w:rsidR="0043160D">
        <w:rPr>
          <w:lang w:val="en-AU" w:bidi="th-TH"/>
        </w:rPr>
        <w:t>Synonym to end-users</w:t>
      </w:r>
      <w:r w:rsidR="007F623E">
        <w:rPr>
          <w:lang w:val="en-AU" w:bidi="th-TH"/>
        </w:rPr>
        <w:t xml:space="preserve"> (above)</w:t>
      </w:r>
      <w:r w:rsidR="001A1F71">
        <w:rPr>
          <w:lang w:val="en-AU" w:bidi="th-TH"/>
        </w:rPr>
        <w:t xml:space="preserve"> often used to contrast with supply-side actors (below)</w:t>
      </w:r>
      <w:r w:rsidR="0043160D">
        <w:rPr>
          <w:lang w:val="en-AU" w:bidi="th-TH"/>
        </w:rPr>
        <w:t xml:space="preserve">: </w:t>
      </w:r>
      <w:r w:rsidR="00EA1859">
        <w:rPr>
          <w:lang w:val="en-AU" w:bidi="th-TH"/>
        </w:rPr>
        <w:t>Inter</w:t>
      </w:r>
      <w:r w:rsidR="0043160D">
        <w:rPr>
          <w:lang w:val="en-AU" w:bidi="th-TH"/>
        </w:rPr>
        <w:t>est</w:t>
      </w:r>
      <w:r w:rsidR="00EA1859">
        <w:rPr>
          <w:lang w:val="en-AU" w:bidi="th-TH"/>
        </w:rPr>
        <w:t xml:space="preserve"> holders </w:t>
      </w:r>
      <w:r w:rsidRPr="00A177AE">
        <w:rPr>
          <w:lang w:val="en-AU" w:bidi="th-TH"/>
        </w:rPr>
        <w:t xml:space="preserve">who seek and use evidence to inform their decisions, including policymakers, practitioners, and the public. </w:t>
      </w:r>
    </w:p>
    <w:p w14:paraId="79AAFCEB" w14:textId="49F5ED42" w:rsidR="003C3ED0" w:rsidRPr="00A177AE" w:rsidRDefault="003C3ED0" w:rsidP="003C3ED0">
      <w:pPr>
        <w:rPr>
          <w:lang w:val="en-AU" w:bidi="th-TH"/>
        </w:rPr>
      </w:pPr>
      <w:r w:rsidRPr="00A177AE">
        <w:rPr>
          <w:b/>
          <w:bCs/>
          <w:lang w:val="en-AU" w:bidi="th-TH"/>
        </w:rPr>
        <w:t>Supply-Side Actors</w:t>
      </w:r>
      <w:r w:rsidRPr="00A177AE">
        <w:rPr>
          <w:lang w:val="en-AU" w:bidi="th-TH"/>
        </w:rPr>
        <w:br/>
        <w:t>Researchers and institutions that produce evidence intended for use by decision-makers and practitioners</w:t>
      </w:r>
      <w:r w:rsidR="00B936D7">
        <w:rPr>
          <w:lang w:val="en-AU" w:bidi="th-TH"/>
        </w:rPr>
        <w:t xml:space="preserve"> including primary research</w:t>
      </w:r>
      <w:r w:rsidR="00625075">
        <w:rPr>
          <w:lang w:val="en-AU" w:bidi="th-TH"/>
        </w:rPr>
        <w:t>, systemic reviews</w:t>
      </w:r>
      <w:r w:rsidR="00B936D7">
        <w:rPr>
          <w:lang w:val="en-AU" w:bidi="th-TH"/>
        </w:rPr>
        <w:t xml:space="preserve"> and evidence synthesizers</w:t>
      </w:r>
      <w:r w:rsidRPr="00A177AE">
        <w:rPr>
          <w:lang w:val="en-AU" w:bidi="th-TH"/>
        </w:rPr>
        <w:t xml:space="preserve">. </w:t>
      </w:r>
    </w:p>
    <w:p w14:paraId="2FB5B94F" w14:textId="7890BE91" w:rsidR="003C3ED0" w:rsidRPr="00A177AE" w:rsidRDefault="003C3ED0" w:rsidP="003C3ED0">
      <w:pPr>
        <w:rPr>
          <w:lang w:val="en-AU" w:bidi="th-TH"/>
        </w:rPr>
      </w:pPr>
      <w:r w:rsidRPr="00A177AE">
        <w:rPr>
          <w:b/>
          <w:bCs/>
          <w:lang w:val="en-AU" w:bidi="th-TH"/>
        </w:rPr>
        <w:t>Evidence Ecosystem</w:t>
      </w:r>
      <w:r w:rsidRPr="00A177AE">
        <w:rPr>
          <w:lang w:val="en-AU" w:bidi="th-TH"/>
        </w:rPr>
        <w:br/>
        <w:t xml:space="preserve">The interconnected network of individuals, organizations, and processes involved in the production, translation, and use of evidence in decision-making. </w:t>
      </w:r>
    </w:p>
    <w:p w14:paraId="6992E1F1" w14:textId="77777777" w:rsidR="003C3ED0" w:rsidRPr="00A177AE" w:rsidRDefault="003C3ED0" w:rsidP="003C3ED0">
      <w:pPr>
        <w:rPr>
          <w:lang w:val="en-AU" w:bidi="th-TH"/>
        </w:rPr>
      </w:pPr>
      <w:r w:rsidRPr="00A177AE">
        <w:rPr>
          <w:b/>
          <w:bCs/>
          <w:lang w:val="en-AU" w:bidi="th-TH"/>
        </w:rPr>
        <w:t>Evidence Support Units</w:t>
      </w:r>
      <w:r w:rsidRPr="00A177AE">
        <w:rPr>
          <w:lang w:val="en-AU" w:bidi="th-TH"/>
        </w:rPr>
        <w:br/>
        <w:t xml:space="preserve">Organizations or teams that provide assistance in accessing, interpreting, and applying evidence to inform decisions. </w:t>
      </w:r>
    </w:p>
    <w:p w14:paraId="792B574B" w14:textId="77777777" w:rsidR="00B94F30" w:rsidRDefault="00B94F30" w:rsidP="00B94F30">
      <w:pPr>
        <w:rPr>
          <w:lang w:val="en-US"/>
        </w:rPr>
      </w:pPr>
    </w:p>
    <w:p w14:paraId="15BB56DB" w14:textId="77777777" w:rsidR="00B94F30" w:rsidRDefault="00B94F30" w:rsidP="00B94F30">
      <w:pPr>
        <w:rPr>
          <w:lang w:val="en-US"/>
        </w:rPr>
      </w:pPr>
    </w:p>
    <w:p w14:paraId="7D684896" w14:textId="0ACB3ACD" w:rsidR="00B94F30" w:rsidRPr="00896F60" w:rsidRDefault="00B94F30" w:rsidP="00B94F30">
      <w:pPr>
        <w:rPr>
          <w:lang w:val="en-US"/>
        </w:rPr>
        <w:sectPr w:rsidR="00B94F30" w:rsidRPr="00896F60" w:rsidSect="00A4629D">
          <w:headerReference w:type="default" r:id="rId16"/>
          <w:footerReference w:type="even" r:id="rId17"/>
          <w:footerReference w:type="default" r:id="rId18"/>
          <w:footerReference w:type="first" r:id="rId19"/>
          <w:pgSz w:w="11906" w:h="16838" w:code="9"/>
          <w:pgMar w:top="284" w:right="1134" w:bottom="1134" w:left="1134" w:header="709" w:footer="0" w:gutter="0"/>
          <w:cols w:space="708"/>
          <w:titlePg/>
          <w:docGrid w:linePitch="360"/>
        </w:sectPr>
      </w:pPr>
    </w:p>
    <w:p w14:paraId="0892E2B9" w14:textId="34E60D09" w:rsidR="00791469" w:rsidRDefault="00791469" w:rsidP="00791469">
      <w:pPr>
        <w:pStyle w:val="Heading2"/>
        <w:rPr>
          <w:lang w:val="en-US"/>
        </w:rPr>
      </w:pPr>
      <w:r>
        <w:rPr>
          <w:lang w:val="en-US"/>
        </w:rPr>
        <w:lastRenderedPageBreak/>
        <w:t xml:space="preserve">Appendix </w:t>
      </w:r>
      <w:r w:rsidR="005D57A0">
        <w:rPr>
          <w:lang w:val="en-US"/>
        </w:rPr>
        <w:t>2</w:t>
      </w:r>
      <w:r>
        <w:rPr>
          <w:lang w:val="en-US"/>
        </w:rPr>
        <w:t xml:space="preserve"> – </w:t>
      </w:r>
      <w:r w:rsidR="00117C64">
        <w:rPr>
          <w:lang w:val="en-US"/>
        </w:rPr>
        <w:t xml:space="preserve">(from Stage 4a) </w:t>
      </w:r>
      <w:r>
        <w:rPr>
          <w:lang w:val="en-US"/>
        </w:rPr>
        <w:t xml:space="preserve">Roadmap Integration </w:t>
      </w:r>
      <w:r w:rsidR="368A13F4" w:rsidRPr="5BB676D7">
        <w:rPr>
          <w:lang w:val="en-US"/>
        </w:rPr>
        <w:t>Table</w:t>
      </w:r>
      <w:r>
        <w:rPr>
          <w:lang w:val="en-US"/>
        </w:rPr>
        <w:t>: Comparative overview of options</w:t>
      </w:r>
    </w:p>
    <w:tbl>
      <w:tblPr>
        <w:tblStyle w:val="TableGrid"/>
        <w:tblpPr w:leftFromText="180" w:rightFromText="180" w:vertAnchor="text" w:tblpY="1"/>
        <w:tblOverlap w:val="never"/>
        <w:tblW w:w="0" w:type="auto"/>
        <w:tblLook w:val="04A0" w:firstRow="1" w:lastRow="0" w:firstColumn="1" w:lastColumn="0" w:noHBand="0" w:noVBand="1"/>
      </w:tblPr>
      <w:tblGrid>
        <w:gridCol w:w="2547"/>
        <w:gridCol w:w="1681"/>
        <w:gridCol w:w="1392"/>
        <w:gridCol w:w="2880"/>
        <w:gridCol w:w="3119"/>
        <w:gridCol w:w="3118"/>
        <w:gridCol w:w="3260"/>
      </w:tblGrid>
      <w:tr w:rsidR="00791469" w:rsidRPr="00302331" w14:paraId="026E6864" w14:textId="77777777" w:rsidTr="00910205">
        <w:trPr>
          <w:trHeight w:val="16"/>
        </w:trPr>
        <w:tc>
          <w:tcPr>
            <w:tcW w:w="2547" w:type="dxa"/>
            <w:shd w:val="clear" w:color="auto" w:fill="156082" w:themeFill="accent1"/>
            <w:hideMark/>
          </w:tcPr>
          <w:p w14:paraId="2D9D5EA9" w14:textId="77777777" w:rsidR="00791469" w:rsidRPr="00302331" w:rsidRDefault="00791469" w:rsidP="00910205">
            <w:pPr>
              <w:rPr>
                <w:b/>
                <w:bCs/>
                <w:color w:val="FFFFFF" w:themeColor="background1"/>
              </w:rPr>
            </w:pPr>
            <w:r w:rsidRPr="00302331">
              <w:rPr>
                <w:b/>
                <w:bCs/>
                <w:color w:val="FFFFFF" w:themeColor="background1"/>
              </w:rPr>
              <w:t>Problem</w:t>
            </w:r>
          </w:p>
        </w:tc>
        <w:tc>
          <w:tcPr>
            <w:tcW w:w="1681" w:type="dxa"/>
            <w:shd w:val="clear" w:color="auto" w:fill="156082" w:themeFill="accent1"/>
            <w:hideMark/>
          </w:tcPr>
          <w:p w14:paraId="094533D8" w14:textId="77777777" w:rsidR="00791469" w:rsidRPr="00302331" w:rsidRDefault="00791469" w:rsidP="00910205">
            <w:pPr>
              <w:rPr>
                <w:b/>
                <w:bCs/>
                <w:color w:val="FFFFFF" w:themeColor="background1"/>
              </w:rPr>
            </w:pPr>
            <w:r w:rsidRPr="00302331">
              <w:rPr>
                <w:b/>
                <w:bCs/>
                <w:color w:val="FFFFFF" w:themeColor="background1"/>
              </w:rPr>
              <w:t>Solution Name</w:t>
            </w:r>
          </w:p>
        </w:tc>
        <w:tc>
          <w:tcPr>
            <w:tcW w:w="1392" w:type="dxa"/>
            <w:shd w:val="clear" w:color="auto" w:fill="156082" w:themeFill="accent1"/>
            <w:hideMark/>
          </w:tcPr>
          <w:p w14:paraId="3EE28CA8" w14:textId="77777777" w:rsidR="00791469" w:rsidRPr="00302331" w:rsidRDefault="00791469" w:rsidP="00910205">
            <w:pPr>
              <w:rPr>
                <w:b/>
                <w:bCs/>
                <w:color w:val="FFFFFF" w:themeColor="background1"/>
              </w:rPr>
            </w:pPr>
            <w:r w:rsidRPr="00302331">
              <w:rPr>
                <w:b/>
                <w:bCs/>
                <w:color w:val="FFFFFF" w:themeColor="background1"/>
              </w:rPr>
              <w:t>Type of Solution</w:t>
            </w:r>
          </w:p>
        </w:tc>
        <w:tc>
          <w:tcPr>
            <w:tcW w:w="2880" w:type="dxa"/>
            <w:shd w:val="clear" w:color="auto" w:fill="156082" w:themeFill="accent1"/>
            <w:hideMark/>
          </w:tcPr>
          <w:p w14:paraId="143AE2CC" w14:textId="77777777" w:rsidR="00791469" w:rsidRPr="00302331" w:rsidRDefault="00791469" w:rsidP="00910205">
            <w:pPr>
              <w:rPr>
                <w:b/>
                <w:bCs/>
                <w:color w:val="FFFFFF" w:themeColor="background1"/>
              </w:rPr>
            </w:pPr>
            <w:r w:rsidRPr="00302331">
              <w:rPr>
                <w:b/>
                <w:bCs/>
                <w:color w:val="FFFFFF" w:themeColor="background1"/>
              </w:rPr>
              <w:t>Why Is It Innovative?</w:t>
            </w:r>
          </w:p>
        </w:tc>
        <w:tc>
          <w:tcPr>
            <w:tcW w:w="3119" w:type="dxa"/>
            <w:shd w:val="clear" w:color="auto" w:fill="156082" w:themeFill="accent1"/>
            <w:hideMark/>
          </w:tcPr>
          <w:p w14:paraId="321B76D0" w14:textId="77777777" w:rsidR="00791469" w:rsidRPr="00302331" w:rsidRDefault="00791469" w:rsidP="00910205">
            <w:pPr>
              <w:rPr>
                <w:b/>
                <w:bCs/>
                <w:color w:val="FFFFFF" w:themeColor="background1"/>
              </w:rPr>
            </w:pPr>
            <w:r w:rsidRPr="00302331">
              <w:rPr>
                <w:b/>
                <w:bCs/>
                <w:color w:val="FFFFFF" w:themeColor="background1"/>
              </w:rPr>
              <w:t>Expected Outcome</w:t>
            </w:r>
          </w:p>
        </w:tc>
        <w:tc>
          <w:tcPr>
            <w:tcW w:w="3118" w:type="dxa"/>
            <w:shd w:val="clear" w:color="auto" w:fill="156082" w:themeFill="accent1"/>
            <w:hideMark/>
          </w:tcPr>
          <w:p w14:paraId="62A9E712" w14:textId="44ED4D3C" w:rsidR="00791469" w:rsidRPr="00302331" w:rsidRDefault="00791469" w:rsidP="00910205">
            <w:pPr>
              <w:rPr>
                <w:b/>
                <w:bCs/>
                <w:color w:val="FFFFFF" w:themeColor="background1"/>
              </w:rPr>
            </w:pPr>
            <w:r w:rsidRPr="00302331">
              <w:rPr>
                <w:b/>
                <w:bCs/>
                <w:color w:val="FFFFFF" w:themeColor="background1"/>
              </w:rPr>
              <w:t>Success/Destination</w:t>
            </w:r>
            <w:r w:rsidR="00960A9B">
              <w:rPr>
                <w:b/>
                <w:bCs/>
                <w:color w:val="FFFFFF" w:themeColor="background1"/>
              </w:rPr>
              <w:t xml:space="preserve"> </w:t>
            </w:r>
            <w:r w:rsidR="007F2482">
              <w:rPr>
                <w:b/>
                <w:bCs/>
                <w:color w:val="FFFFFF" w:themeColor="background1"/>
              </w:rPr>
              <w:t>(example)</w:t>
            </w:r>
          </w:p>
        </w:tc>
        <w:tc>
          <w:tcPr>
            <w:tcW w:w="3260" w:type="dxa"/>
            <w:shd w:val="clear" w:color="auto" w:fill="156082" w:themeFill="accent1"/>
            <w:hideMark/>
          </w:tcPr>
          <w:p w14:paraId="2B1291C1" w14:textId="77777777" w:rsidR="00791469" w:rsidRPr="00302331" w:rsidRDefault="00791469" w:rsidP="00910205">
            <w:pPr>
              <w:rPr>
                <w:b/>
                <w:bCs/>
                <w:color w:val="FFFFFF" w:themeColor="background1"/>
              </w:rPr>
            </w:pPr>
            <w:r w:rsidRPr="00302331">
              <w:rPr>
                <w:b/>
                <w:bCs/>
                <w:color w:val="FFFFFF" w:themeColor="background1"/>
              </w:rPr>
              <w:t>Synergies</w:t>
            </w:r>
          </w:p>
        </w:tc>
      </w:tr>
      <w:tr w:rsidR="00791469" w:rsidRPr="00B764FA" w14:paraId="47A1E5F1" w14:textId="77777777" w:rsidTr="00DC162C">
        <w:trPr>
          <w:trHeight w:val="98"/>
        </w:trPr>
        <w:tc>
          <w:tcPr>
            <w:tcW w:w="2547" w:type="dxa"/>
            <w:hideMark/>
          </w:tcPr>
          <w:p w14:paraId="60A77E8C" w14:textId="52337131" w:rsidR="00791469" w:rsidRPr="001A3413" w:rsidRDefault="00791469" w:rsidP="00910205">
            <w:pPr>
              <w:rPr>
                <w:color w:val="000000" w:themeColor="text1"/>
                <w:sz w:val="20"/>
                <w:szCs w:val="20"/>
              </w:rPr>
            </w:pPr>
            <w:r w:rsidRPr="001A3413">
              <w:rPr>
                <w:color w:val="000000" w:themeColor="text1"/>
                <w:sz w:val="20"/>
                <w:szCs w:val="20"/>
              </w:rPr>
              <w:t>Fragmented and inconsistent coordination of evidence use across geographies; lack of locali</w:t>
            </w:r>
            <w:r w:rsidR="007F1BD5">
              <w:rPr>
                <w:color w:val="000000" w:themeColor="text1"/>
                <w:sz w:val="20"/>
                <w:szCs w:val="20"/>
              </w:rPr>
              <w:t>s</w:t>
            </w:r>
            <w:r w:rsidRPr="001A3413">
              <w:rPr>
                <w:color w:val="000000" w:themeColor="text1"/>
                <w:sz w:val="20"/>
                <w:szCs w:val="20"/>
              </w:rPr>
              <w:t>ed governance for demand-side engagement.</w:t>
            </w:r>
          </w:p>
        </w:tc>
        <w:tc>
          <w:tcPr>
            <w:tcW w:w="1681" w:type="dxa"/>
            <w:shd w:val="clear" w:color="auto" w:fill="DAE9F7" w:themeFill="text2" w:themeFillTint="1A"/>
            <w:hideMark/>
          </w:tcPr>
          <w:p w14:paraId="14AE9FE0" w14:textId="77777777" w:rsidR="00791469" w:rsidRPr="001A3413" w:rsidRDefault="00791469" w:rsidP="00910205">
            <w:pPr>
              <w:rPr>
                <w:b/>
                <w:bCs/>
                <w:color w:val="000000" w:themeColor="text1"/>
                <w:sz w:val="20"/>
                <w:szCs w:val="20"/>
              </w:rPr>
            </w:pPr>
            <w:r w:rsidRPr="001A3413">
              <w:rPr>
                <w:b/>
                <w:bCs/>
                <w:color w:val="000000" w:themeColor="text1"/>
                <w:sz w:val="20"/>
                <w:szCs w:val="20"/>
              </w:rPr>
              <w:t>Regional Demand-Side Secretariats</w:t>
            </w:r>
          </w:p>
        </w:tc>
        <w:tc>
          <w:tcPr>
            <w:tcW w:w="1392" w:type="dxa"/>
            <w:hideMark/>
          </w:tcPr>
          <w:p w14:paraId="0A3804C8" w14:textId="77777777" w:rsidR="00791469" w:rsidRPr="001A3413" w:rsidRDefault="00791469" w:rsidP="00910205">
            <w:pPr>
              <w:rPr>
                <w:color w:val="000000" w:themeColor="text1"/>
                <w:sz w:val="20"/>
                <w:szCs w:val="20"/>
              </w:rPr>
            </w:pPr>
            <w:r w:rsidRPr="001A3413">
              <w:rPr>
                <w:color w:val="000000" w:themeColor="text1"/>
                <w:sz w:val="20"/>
                <w:szCs w:val="20"/>
              </w:rPr>
              <w:t>(a) Evidence synthesis infrastructure</w:t>
            </w:r>
          </w:p>
        </w:tc>
        <w:tc>
          <w:tcPr>
            <w:tcW w:w="2880" w:type="dxa"/>
            <w:hideMark/>
          </w:tcPr>
          <w:p w14:paraId="221C2D2C" w14:textId="0428628F" w:rsidR="00791469" w:rsidRPr="001A3413" w:rsidRDefault="00791469" w:rsidP="00910205">
            <w:pPr>
              <w:rPr>
                <w:color w:val="000000" w:themeColor="text1"/>
                <w:sz w:val="20"/>
                <w:szCs w:val="20"/>
              </w:rPr>
            </w:pPr>
            <w:r w:rsidRPr="001A3413">
              <w:rPr>
                <w:color w:val="000000" w:themeColor="text1"/>
                <w:sz w:val="20"/>
                <w:szCs w:val="20"/>
              </w:rPr>
              <w:t>Avoids overly centrali</w:t>
            </w:r>
            <w:r w:rsidR="007F1BD5">
              <w:rPr>
                <w:color w:val="000000" w:themeColor="text1"/>
                <w:sz w:val="20"/>
                <w:szCs w:val="20"/>
              </w:rPr>
              <w:t>s</w:t>
            </w:r>
            <w:r w:rsidRPr="001A3413">
              <w:rPr>
                <w:color w:val="000000" w:themeColor="text1"/>
                <w:sz w:val="20"/>
                <w:szCs w:val="20"/>
              </w:rPr>
              <w:t>ed and bureaucratic models in favour of a decentrali</w:t>
            </w:r>
            <w:r w:rsidR="007F1BD5">
              <w:rPr>
                <w:color w:val="000000" w:themeColor="text1"/>
                <w:sz w:val="20"/>
                <w:szCs w:val="20"/>
              </w:rPr>
              <w:t>s</w:t>
            </w:r>
            <w:r w:rsidRPr="001A3413">
              <w:rPr>
                <w:color w:val="000000" w:themeColor="text1"/>
                <w:sz w:val="20"/>
                <w:szCs w:val="20"/>
              </w:rPr>
              <w:t>ed, context-sensitive coordination structure; enables regional tailoring and cross-learning.</w:t>
            </w:r>
          </w:p>
        </w:tc>
        <w:tc>
          <w:tcPr>
            <w:tcW w:w="3119" w:type="dxa"/>
            <w:hideMark/>
          </w:tcPr>
          <w:p w14:paraId="2DFDB386" w14:textId="77777777" w:rsidR="00791469" w:rsidRPr="001A3413" w:rsidRDefault="00791469" w:rsidP="00910205">
            <w:pPr>
              <w:rPr>
                <w:color w:val="000000" w:themeColor="text1"/>
                <w:sz w:val="20"/>
                <w:szCs w:val="20"/>
              </w:rPr>
            </w:pPr>
            <w:r w:rsidRPr="001A3413">
              <w:rPr>
                <w:color w:val="000000" w:themeColor="text1"/>
                <w:sz w:val="20"/>
                <w:szCs w:val="20"/>
              </w:rPr>
              <w:t>Improved coordination, equity, and local responsiveness in how evidence is used for policy. Better alignment between global priorities and regional decision-making. Supports policy actors and intermediaries in underserved regions.</w:t>
            </w:r>
          </w:p>
        </w:tc>
        <w:tc>
          <w:tcPr>
            <w:tcW w:w="3118" w:type="dxa"/>
            <w:hideMark/>
          </w:tcPr>
          <w:p w14:paraId="78DCDA8B" w14:textId="7BEC3598" w:rsidR="00791469" w:rsidRPr="00FB0B53" w:rsidRDefault="00791469" w:rsidP="00910205">
            <w:pPr>
              <w:rPr>
                <w:i/>
                <w:iCs/>
                <w:color w:val="000000" w:themeColor="text1"/>
                <w:sz w:val="20"/>
                <w:szCs w:val="20"/>
              </w:rPr>
            </w:pPr>
            <w:r w:rsidRPr="00FB0B53">
              <w:rPr>
                <w:i/>
                <w:iCs/>
                <w:color w:val="000000" w:themeColor="text1"/>
                <w:sz w:val="20"/>
                <w:szCs w:val="20"/>
              </w:rPr>
              <w:t xml:space="preserve">By </w:t>
            </w:r>
            <w:r w:rsidR="00B62668">
              <w:rPr>
                <w:i/>
                <w:iCs/>
                <w:color w:val="000000" w:themeColor="text1"/>
                <w:sz w:val="20"/>
                <w:szCs w:val="20"/>
              </w:rPr>
              <w:t xml:space="preserve">end </w:t>
            </w:r>
            <w:r w:rsidRPr="00FB0B53">
              <w:rPr>
                <w:i/>
                <w:iCs/>
                <w:color w:val="000000" w:themeColor="text1"/>
                <w:sz w:val="20"/>
                <w:szCs w:val="20"/>
              </w:rPr>
              <w:t>2028, at least 4 regional secretariats operational, each with a multi-stakeholder board, shared learning platforms, and demonstrated uptake of synthesis in national policies.</w:t>
            </w:r>
          </w:p>
        </w:tc>
        <w:tc>
          <w:tcPr>
            <w:tcW w:w="3260" w:type="dxa"/>
          </w:tcPr>
          <w:p w14:paraId="10CA9AD0" w14:textId="01574BCE" w:rsidR="00791469" w:rsidRPr="001A3413" w:rsidRDefault="007C2150" w:rsidP="00910205">
            <w:pPr>
              <w:rPr>
                <w:color w:val="000000" w:themeColor="text1"/>
                <w:sz w:val="20"/>
                <w:szCs w:val="20"/>
              </w:rPr>
            </w:pPr>
            <w:r>
              <w:rPr>
                <w:color w:val="000000" w:themeColor="text1"/>
                <w:sz w:val="20"/>
                <w:szCs w:val="20"/>
              </w:rPr>
              <w:t xml:space="preserve">Potential alignment with governance models supportive of various functions proposed by other working groups. Demand-side work could exist within or alongside other secretariat </w:t>
            </w:r>
            <w:r w:rsidR="00FB0B53">
              <w:rPr>
                <w:color w:val="000000" w:themeColor="text1"/>
                <w:sz w:val="20"/>
                <w:szCs w:val="20"/>
              </w:rPr>
              <w:t>functions</w:t>
            </w:r>
          </w:p>
        </w:tc>
      </w:tr>
      <w:tr w:rsidR="00791469" w:rsidRPr="00B764FA" w14:paraId="71D42F67" w14:textId="77777777" w:rsidTr="00DC162C">
        <w:trPr>
          <w:trHeight w:val="82"/>
        </w:trPr>
        <w:tc>
          <w:tcPr>
            <w:tcW w:w="2547" w:type="dxa"/>
            <w:hideMark/>
          </w:tcPr>
          <w:p w14:paraId="28FF3A39" w14:textId="38DCDD41" w:rsidR="00791469" w:rsidRPr="001A3413" w:rsidRDefault="00791469" w:rsidP="00910205">
            <w:pPr>
              <w:rPr>
                <w:color w:val="000000" w:themeColor="text1"/>
                <w:sz w:val="20"/>
                <w:szCs w:val="20"/>
              </w:rPr>
            </w:pPr>
            <w:r w:rsidRPr="001A3413">
              <w:rPr>
                <w:color w:val="000000" w:themeColor="text1"/>
                <w:sz w:val="20"/>
                <w:szCs w:val="20"/>
              </w:rPr>
              <w:t>Weak capacity of intermediaries to translate, contextuali</w:t>
            </w:r>
            <w:r w:rsidR="007F1BD5">
              <w:rPr>
                <w:color w:val="000000" w:themeColor="text1"/>
                <w:sz w:val="20"/>
                <w:szCs w:val="20"/>
              </w:rPr>
              <w:t>s</w:t>
            </w:r>
            <w:r w:rsidRPr="001A3413">
              <w:rPr>
                <w:color w:val="000000" w:themeColor="text1"/>
                <w:sz w:val="20"/>
                <w:szCs w:val="20"/>
              </w:rPr>
              <w:t>e, and communicate synthesis to end-users. Inconsistent quality and access across regions/sectors.</w:t>
            </w:r>
          </w:p>
        </w:tc>
        <w:tc>
          <w:tcPr>
            <w:tcW w:w="1681" w:type="dxa"/>
            <w:shd w:val="clear" w:color="auto" w:fill="DAE9F7" w:themeFill="text2" w:themeFillTint="1A"/>
            <w:hideMark/>
          </w:tcPr>
          <w:p w14:paraId="62697738" w14:textId="77777777" w:rsidR="00791469" w:rsidRPr="001A3413" w:rsidRDefault="00791469" w:rsidP="00910205">
            <w:pPr>
              <w:rPr>
                <w:b/>
                <w:bCs/>
                <w:color w:val="000000" w:themeColor="text1"/>
                <w:sz w:val="20"/>
                <w:szCs w:val="20"/>
              </w:rPr>
            </w:pPr>
            <w:r w:rsidRPr="001A3413">
              <w:rPr>
                <w:b/>
                <w:bCs/>
                <w:color w:val="000000" w:themeColor="text1"/>
                <w:sz w:val="20"/>
                <w:szCs w:val="20"/>
              </w:rPr>
              <w:t>Provide Implementation Support to Intermediaries</w:t>
            </w:r>
          </w:p>
        </w:tc>
        <w:tc>
          <w:tcPr>
            <w:tcW w:w="1392" w:type="dxa"/>
            <w:hideMark/>
          </w:tcPr>
          <w:p w14:paraId="030F895F" w14:textId="77777777" w:rsidR="00791469" w:rsidRPr="001A3413" w:rsidRDefault="00791469" w:rsidP="00910205">
            <w:pPr>
              <w:rPr>
                <w:color w:val="000000" w:themeColor="text1"/>
                <w:sz w:val="20"/>
                <w:szCs w:val="20"/>
              </w:rPr>
            </w:pPr>
            <w:r w:rsidRPr="001A3413">
              <w:rPr>
                <w:color w:val="000000" w:themeColor="text1"/>
                <w:sz w:val="20"/>
                <w:szCs w:val="20"/>
              </w:rPr>
              <w:t>(b) Evidence synthesis process</w:t>
            </w:r>
          </w:p>
        </w:tc>
        <w:tc>
          <w:tcPr>
            <w:tcW w:w="2880" w:type="dxa"/>
            <w:hideMark/>
          </w:tcPr>
          <w:p w14:paraId="0615B5D1" w14:textId="631921C7" w:rsidR="00791469" w:rsidRPr="001A3413" w:rsidRDefault="00791469" w:rsidP="00910205">
            <w:pPr>
              <w:rPr>
                <w:color w:val="000000" w:themeColor="text1"/>
                <w:sz w:val="20"/>
                <w:szCs w:val="20"/>
              </w:rPr>
            </w:pPr>
            <w:r w:rsidRPr="001A3413">
              <w:rPr>
                <w:color w:val="000000" w:themeColor="text1"/>
                <w:sz w:val="20"/>
                <w:szCs w:val="20"/>
              </w:rPr>
              <w:t xml:space="preserve">Shifts focus from producers or end-users to "in-between" actors, offering structured support and </w:t>
            </w:r>
            <w:r w:rsidR="00981568" w:rsidRPr="001A3413">
              <w:rPr>
                <w:color w:val="000000" w:themeColor="text1"/>
                <w:sz w:val="20"/>
                <w:szCs w:val="20"/>
              </w:rPr>
              <w:t>professionali</w:t>
            </w:r>
            <w:r w:rsidR="007F1BD5">
              <w:rPr>
                <w:color w:val="000000" w:themeColor="text1"/>
                <w:sz w:val="20"/>
                <w:szCs w:val="20"/>
              </w:rPr>
              <w:t>s</w:t>
            </w:r>
            <w:r w:rsidR="00981568" w:rsidRPr="001A3413">
              <w:rPr>
                <w:color w:val="000000" w:themeColor="text1"/>
                <w:sz w:val="20"/>
                <w:szCs w:val="20"/>
              </w:rPr>
              <w:t>ation</w:t>
            </w:r>
            <w:r w:rsidRPr="001A3413">
              <w:rPr>
                <w:color w:val="000000" w:themeColor="text1"/>
                <w:sz w:val="20"/>
                <w:szCs w:val="20"/>
              </w:rPr>
              <w:t>. Highly scalable and cost-effective.</w:t>
            </w:r>
          </w:p>
        </w:tc>
        <w:tc>
          <w:tcPr>
            <w:tcW w:w="3119" w:type="dxa"/>
            <w:hideMark/>
          </w:tcPr>
          <w:p w14:paraId="09ECBE2A" w14:textId="77777777" w:rsidR="00791469" w:rsidRPr="001A3413" w:rsidRDefault="00791469" w:rsidP="00910205">
            <w:pPr>
              <w:rPr>
                <w:color w:val="000000" w:themeColor="text1"/>
                <w:sz w:val="20"/>
                <w:szCs w:val="20"/>
              </w:rPr>
            </w:pPr>
            <w:r w:rsidRPr="001A3413">
              <w:rPr>
                <w:color w:val="000000" w:themeColor="text1"/>
                <w:sz w:val="20"/>
                <w:szCs w:val="20"/>
              </w:rPr>
              <w:t>Stronger intermediary ecosystem across sectors, improved translation of synthesis into actionable insights, faster uptake by decision-makers. Benefits policymakers, civil servants, NGOs, and researchers.</w:t>
            </w:r>
          </w:p>
        </w:tc>
        <w:tc>
          <w:tcPr>
            <w:tcW w:w="3118" w:type="dxa"/>
            <w:hideMark/>
          </w:tcPr>
          <w:p w14:paraId="5A48144F" w14:textId="7025EF20" w:rsidR="00791469" w:rsidRPr="00FB0B53" w:rsidRDefault="00791469" w:rsidP="00910205">
            <w:pPr>
              <w:rPr>
                <w:i/>
                <w:iCs/>
                <w:color w:val="000000" w:themeColor="text1"/>
                <w:sz w:val="20"/>
                <w:szCs w:val="20"/>
              </w:rPr>
            </w:pPr>
            <w:r w:rsidRPr="00FB0B53">
              <w:rPr>
                <w:i/>
                <w:iCs/>
                <w:color w:val="000000" w:themeColor="text1"/>
                <w:sz w:val="20"/>
                <w:szCs w:val="20"/>
              </w:rPr>
              <w:t xml:space="preserve">By </w:t>
            </w:r>
            <w:r w:rsidR="00761730">
              <w:rPr>
                <w:i/>
                <w:iCs/>
                <w:color w:val="000000" w:themeColor="text1"/>
                <w:sz w:val="20"/>
                <w:szCs w:val="20"/>
              </w:rPr>
              <w:t xml:space="preserve">end </w:t>
            </w:r>
            <w:r w:rsidRPr="00FB0B53">
              <w:rPr>
                <w:i/>
                <w:iCs/>
                <w:color w:val="000000" w:themeColor="text1"/>
                <w:sz w:val="20"/>
                <w:szCs w:val="20"/>
              </w:rPr>
              <w:t>202</w:t>
            </w:r>
            <w:r w:rsidR="00543409">
              <w:rPr>
                <w:i/>
                <w:iCs/>
                <w:color w:val="000000" w:themeColor="text1"/>
                <w:sz w:val="20"/>
                <w:szCs w:val="20"/>
              </w:rPr>
              <w:t>6</w:t>
            </w:r>
            <w:r w:rsidRPr="00FB0B53">
              <w:rPr>
                <w:i/>
                <w:iCs/>
                <w:color w:val="000000" w:themeColor="text1"/>
                <w:sz w:val="20"/>
                <w:szCs w:val="20"/>
              </w:rPr>
              <w:t>, 30+ intermediaries trained or supported; quality standards adopted across 3 major sectors; increased demand-side engagement metrics reported in funded regions.</w:t>
            </w:r>
          </w:p>
        </w:tc>
        <w:tc>
          <w:tcPr>
            <w:tcW w:w="3260" w:type="dxa"/>
          </w:tcPr>
          <w:p w14:paraId="23904C84" w14:textId="044FCDCA" w:rsidR="00791469" w:rsidRPr="001A3413" w:rsidRDefault="00441445" w:rsidP="00910205">
            <w:pPr>
              <w:rPr>
                <w:color w:val="000000" w:themeColor="text1"/>
                <w:sz w:val="20"/>
                <w:szCs w:val="20"/>
              </w:rPr>
            </w:pPr>
            <w:r>
              <w:rPr>
                <w:color w:val="000000" w:themeColor="text1"/>
                <w:sz w:val="20"/>
                <w:szCs w:val="20"/>
              </w:rPr>
              <w:t xml:space="preserve">WG2 </w:t>
            </w:r>
            <w:r w:rsidR="00802D61">
              <w:rPr>
                <w:color w:val="000000" w:themeColor="text1"/>
                <w:sz w:val="20"/>
                <w:szCs w:val="20"/>
              </w:rPr>
              <w:t>Regional training modules and networks – some complementary functions</w:t>
            </w:r>
            <w:r w:rsidR="00CD091E">
              <w:rPr>
                <w:color w:val="000000" w:themeColor="text1"/>
                <w:sz w:val="20"/>
                <w:szCs w:val="20"/>
              </w:rPr>
              <w:t xml:space="preserve">; </w:t>
            </w:r>
            <w:r w:rsidR="00957FCA">
              <w:rPr>
                <w:color w:val="000000" w:themeColor="text1"/>
                <w:sz w:val="20"/>
                <w:szCs w:val="20"/>
              </w:rPr>
              <w:t xml:space="preserve">WG2 Sout-South mentorship – could exist as tool for support; </w:t>
            </w:r>
            <w:r w:rsidR="00CD091E">
              <w:rPr>
                <w:color w:val="000000" w:themeColor="text1"/>
                <w:sz w:val="20"/>
                <w:szCs w:val="20"/>
              </w:rPr>
              <w:t xml:space="preserve">WG4 tools </w:t>
            </w:r>
            <w:r w:rsidR="009758AB">
              <w:rPr>
                <w:color w:val="000000" w:themeColor="text1"/>
                <w:sz w:val="20"/>
                <w:szCs w:val="20"/>
              </w:rPr>
              <w:t>for translating to local context</w:t>
            </w:r>
            <w:r w:rsidR="00264A08">
              <w:rPr>
                <w:color w:val="000000" w:themeColor="text1"/>
                <w:sz w:val="20"/>
                <w:szCs w:val="20"/>
              </w:rPr>
              <w:t xml:space="preserve">; </w:t>
            </w:r>
          </w:p>
        </w:tc>
      </w:tr>
      <w:tr w:rsidR="00791469" w:rsidRPr="00B764FA" w14:paraId="2A1117B9" w14:textId="77777777" w:rsidTr="00DC162C">
        <w:trPr>
          <w:trHeight w:val="83"/>
        </w:trPr>
        <w:tc>
          <w:tcPr>
            <w:tcW w:w="2547" w:type="dxa"/>
            <w:hideMark/>
          </w:tcPr>
          <w:p w14:paraId="742B7F3F" w14:textId="77777777" w:rsidR="00791469" w:rsidRPr="001A3413" w:rsidRDefault="00791469" w:rsidP="00910205">
            <w:pPr>
              <w:rPr>
                <w:color w:val="000000" w:themeColor="text1"/>
                <w:sz w:val="20"/>
                <w:szCs w:val="20"/>
              </w:rPr>
            </w:pPr>
            <w:r w:rsidRPr="001A3413">
              <w:rPr>
                <w:color w:val="000000" w:themeColor="text1"/>
                <w:sz w:val="20"/>
                <w:szCs w:val="20"/>
              </w:rPr>
              <w:t>End-users often excluded from question-framing and evidence development; outputs not tailored to policy realities or public needs.</w:t>
            </w:r>
          </w:p>
        </w:tc>
        <w:tc>
          <w:tcPr>
            <w:tcW w:w="1681" w:type="dxa"/>
            <w:shd w:val="clear" w:color="auto" w:fill="DAE9F7" w:themeFill="text2" w:themeFillTint="1A"/>
            <w:hideMark/>
          </w:tcPr>
          <w:p w14:paraId="43BD8567" w14:textId="77777777" w:rsidR="00791469" w:rsidRPr="001A3413" w:rsidRDefault="00791469" w:rsidP="00910205">
            <w:pPr>
              <w:rPr>
                <w:b/>
                <w:bCs/>
                <w:color w:val="000000" w:themeColor="text1"/>
                <w:sz w:val="20"/>
                <w:szCs w:val="20"/>
              </w:rPr>
            </w:pPr>
            <w:r w:rsidRPr="001A3413">
              <w:rPr>
                <w:b/>
                <w:bCs/>
                <w:color w:val="000000" w:themeColor="text1"/>
                <w:sz w:val="20"/>
                <w:szCs w:val="20"/>
              </w:rPr>
              <w:t>Create Co-Design Labs</w:t>
            </w:r>
          </w:p>
        </w:tc>
        <w:tc>
          <w:tcPr>
            <w:tcW w:w="1392" w:type="dxa"/>
            <w:hideMark/>
          </w:tcPr>
          <w:p w14:paraId="58B3A173" w14:textId="77777777" w:rsidR="00791469" w:rsidRPr="001A3413" w:rsidRDefault="00791469" w:rsidP="00910205">
            <w:pPr>
              <w:rPr>
                <w:color w:val="000000" w:themeColor="text1"/>
                <w:sz w:val="20"/>
                <w:szCs w:val="20"/>
              </w:rPr>
            </w:pPr>
            <w:r w:rsidRPr="001A3413">
              <w:rPr>
                <w:color w:val="000000" w:themeColor="text1"/>
                <w:sz w:val="20"/>
                <w:szCs w:val="20"/>
              </w:rPr>
              <w:t>(b) Evidence synthesis process / (c) Projects</w:t>
            </w:r>
          </w:p>
        </w:tc>
        <w:tc>
          <w:tcPr>
            <w:tcW w:w="2880" w:type="dxa"/>
            <w:hideMark/>
          </w:tcPr>
          <w:p w14:paraId="7E459B3B" w14:textId="1248525E" w:rsidR="00791469" w:rsidRPr="001A3413" w:rsidRDefault="00791469" w:rsidP="00910205">
            <w:pPr>
              <w:rPr>
                <w:color w:val="000000" w:themeColor="text1"/>
                <w:sz w:val="20"/>
                <w:szCs w:val="20"/>
              </w:rPr>
            </w:pPr>
            <w:r w:rsidRPr="001A3413">
              <w:rPr>
                <w:color w:val="000000" w:themeColor="text1"/>
                <w:sz w:val="20"/>
                <w:szCs w:val="20"/>
              </w:rPr>
              <w:t>Embeds co-production at the centre of synthesis. Cross-sectoral collaboration tool</w:t>
            </w:r>
            <w:r w:rsidR="00E8726A">
              <w:rPr>
                <w:color w:val="000000" w:themeColor="text1"/>
                <w:sz w:val="20"/>
                <w:szCs w:val="20"/>
              </w:rPr>
              <w:t>s</w:t>
            </w:r>
            <w:r w:rsidRPr="001A3413">
              <w:rPr>
                <w:color w:val="000000" w:themeColor="text1"/>
                <w:sz w:val="20"/>
                <w:szCs w:val="20"/>
              </w:rPr>
              <w:t xml:space="preserve"> that enhances relevance and legitimacy. Can be adapted across issues and geographies.</w:t>
            </w:r>
          </w:p>
        </w:tc>
        <w:tc>
          <w:tcPr>
            <w:tcW w:w="3119" w:type="dxa"/>
            <w:hideMark/>
          </w:tcPr>
          <w:p w14:paraId="4F611A32" w14:textId="77777777" w:rsidR="00791469" w:rsidRPr="001A3413" w:rsidRDefault="00791469" w:rsidP="00910205">
            <w:pPr>
              <w:rPr>
                <w:color w:val="000000" w:themeColor="text1"/>
                <w:sz w:val="20"/>
                <w:szCs w:val="20"/>
              </w:rPr>
            </w:pPr>
            <w:r w:rsidRPr="001A3413">
              <w:rPr>
                <w:color w:val="000000" w:themeColor="text1"/>
                <w:sz w:val="20"/>
                <w:szCs w:val="20"/>
              </w:rPr>
              <w:t>Increased ownership and uptake of synthesis outputs, especially in complex or emergent policy areas. Benefits researchers, policymakers, and community stakeholders.</w:t>
            </w:r>
          </w:p>
        </w:tc>
        <w:tc>
          <w:tcPr>
            <w:tcW w:w="3118" w:type="dxa"/>
            <w:hideMark/>
          </w:tcPr>
          <w:p w14:paraId="5B36E26E" w14:textId="6086B2ED" w:rsidR="00791469" w:rsidRPr="00FB0B53" w:rsidRDefault="00791469" w:rsidP="00910205">
            <w:pPr>
              <w:rPr>
                <w:i/>
                <w:iCs/>
                <w:color w:val="000000" w:themeColor="text1"/>
                <w:sz w:val="20"/>
                <w:szCs w:val="20"/>
              </w:rPr>
            </w:pPr>
            <w:r w:rsidRPr="00FB0B53">
              <w:rPr>
                <w:i/>
                <w:iCs/>
                <w:color w:val="000000" w:themeColor="text1"/>
                <w:sz w:val="20"/>
                <w:szCs w:val="20"/>
              </w:rPr>
              <w:t xml:space="preserve">By </w:t>
            </w:r>
            <w:r w:rsidR="00B62668">
              <w:rPr>
                <w:i/>
                <w:iCs/>
                <w:color w:val="000000" w:themeColor="text1"/>
                <w:sz w:val="20"/>
                <w:szCs w:val="20"/>
              </w:rPr>
              <w:t xml:space="preserve">end </w:t>
            </w:r>
            <w:r w:rsidRPr="00FB0B53">
              <w:rPr>
                <w:i/>
                <w:iCs/>
                <w:color w:val="000000" w:themeColor="text1"/>
                <w:sz w:val="20"/>
                <w:szCs w:val="20"/>
              </w:rPr>
              <w:t>202</w:t>
            </w:r>
            <w:r w:rsidR="00A00354">
              <w:rPr>
                <w:i/>
                <w:iCs/>
                <w:color w:val="000000" w:themeColor="text1"/>
                <w:sz w:val="20"/>
                <w:szCs w:val="20"/>
              </w:rPr>
              <w:t>6</w:t>
            </w:r>
            <w:r w:rsidRPr="00FB0B53">
              <w:rPr>
                <w:i/>
                <w:iCs/>
                <w:color w:val="000000" w:themeColor="text1"/>
                <w:sz w:val="20"/>
                <w:szCs w:val="20"/>
              </w:rPr>
              <w:t>, 1</w:t>
            </w:r>
            <w:r w:rsidR="00FD497C">
              <w:rPr>
                <w:i/>
                <w:iCs/>
                <w:color w:val="000000" w:themeColor="text1"/>
                <w:sz w:val="20"/>
                <w:szCs w:val="20"/>
              </w:rPr>
              <w:t>5</w:t>
            </w:r>
            <w:r w:rsidRPr="00FB0B53">
              <w:rPr>
                <w:i/>
                <w:iCs/>
                <w:color w:val="000000" w:themeColor="text1"/>
                <w:sz w:val="20"/>
                <w:szCs w:val="20"/>
              </w:rPr>
              <w:t xml:space="preserve"> active labs </w:t>
            </w:r>
            <w:r w:rsidR="00CC7D7F">
              <w:rPr>
                <w:i/>
                <w:iCs/>
                <w:color w:val="000000" w:themeColor="text1"/>
                <w:sz w:val="20"/>
                <w:szCs w:val="20"/>
              </w:rPr>
              <w:t>events</w:t>
            </w:r>
            <w:r w:rsidR="00035232">
              <w:rPr>
                <w:i/>
                <w:iCs/>
                <w:color w:val="000000" w:themeColor="text1"/>
                <w:sz w:val="20"/>
                <w:szCs w:val="20"/>
              </w:rPr>
              <w:t xml:space="preserve"> </w:t>
            </w:r>
            <w:r w:rsidRPr="00FB0B53">
              <w:rPr>
                <w:i/>
                <w:iCs/>
                <w:color w:val="000000" w:themeColor="text1"/>
                <w:sz w:val="20"/>
                <w:szCs w:val="20"/>
              </w:rPr>
              <w:t>with measurable outputs (e.g., syntheses commissioned, policy tools developed); 80% of participants report improved relevance and collaboration.</w:t>
            </w:r>
          </w:p>
        </w:tc>
        <w:tc>
          <w:tcPr>
            <w:tcW w:w="3260" w:type="dxa"/>
          </w:tcPr>
          <w:p w14:paraId="1065BD05" w14:textId="677B10E6" w:rsidR="00791469" w:rsidRPr="001A3413" w:rsidRDefault="0058637F" w:rsidP="00910205">
            <w:pPr>
              <w:rPr>
                <w:color w:val="000000" w:themeColor="text1"/>
                <w:sz w:val="20"/>
                <w:szCs w:val="20"/>
              </w:rPr>
            </w:pPr>
            <w:r w:rsidRPr="0058637F">
              <w:rPr>
                <w:color w:val="000000" w:themeColor="text1"/>
                <w:sz w:val="20"/>
                <w:szCs w:val="20"/>
              </w:rPr>
              <w:t>WG3 grants to ensure tools are shared</w:t>
            </w:r>
            <w:r>
              <w:rPr>
                <w:color w:val="000000" w:themeColor="text1"/>
                <w:sz w:val="20"/>
                <w:szCs w:val="20"/>
              </w:rPr>
              <w:t xml:space="preserve"> also </w:t>
            </w:r>
            <w:r w:rsidRPr="0058637F">
              <w:rPr>
                <w:color w:val="000000" w:themeColor="text1"/>
                <w:sz w:val="20"/>
                <w:szCs w:val="20"/>
              </w:rPr>
              <w:t>focus</w:t>
            </w:r>
            <w:r>
              <w:rPr>
                <w:color w:val="000000" w:themeColor="text1"/>
                <w:sz w:val="20"/>
                <w:szCs w:val="20"/>
              </w:rPr>
              <w:t>es</w:t>
            </w:r>
            <w:r w:rsidRPr="0058637F">
              <w:rPr>
                <w:color w:val="000000" w:themeColor="text1"/>
                <w:sz w:val="20"/>
                <w:szCs w:val="20"/>
              </w:rPr>
              <w:t xml:space="preserve"> on user-centred, and equitable implementation.</w:t>
            </w:r>
          </w:p>
        </w:tc>
      </w:tr>
      <w:tr w:rsidR="00791469" w:rsidRPr="00B764FA" w14:paraId="7BAB447F" w14:textId="77777777" w:rsidTr="00DC162C">
        <w:trPr>
          <w:trHeight w:val="83"/>
        </w:trPr>
        <w:tc>
          <w:tcPr>
            <w:tcW w:w="2547" w:type="dxa"/>
            <w:hideMark/>
          </w:tcPr>
          <w:p w14:paraId="6CC7E2CE" w14:textId="77777777" w:rsidR="00791469" w:rsidRPr="001A3413" w:rsidRDefault="00791469" w:rsidP="00910205">
            <w:pPr>
              <w:rPr>
                <w:color w:val="000000" w:themeColor="text1"/>
                <w:sz w:val="20"/>
                <w:szCs w:val="20"/>
              </w:rPr>
            </w:pPr>
            <w:r w:rsidRPr="001A3413">
              <w:rPr>
                <w:color w:val="000000" w:themeColor="text1"/>
                <w:sz w:val="20"/>
                <w:szCs w:val="20"/>
              </w:rPr>
              <w:t>Disconnect between policy questions and synthesis outputs; duplication of efforts; lack of visibility on shared priorities across systems.</w:t>
            </w:r>
          </w:p>
        </w:tc>
        <w:tc>
          <w:tcPr>
            <w:tcW w:w="1681" w:type="dxa"/>
            <w:shd w:val="clear" w:color="auto" w:fill="DAE9F7" w:themeFill="text2" w:themeFillTint="1A"/>
            <w:hideMark/>
          </w:tcPr>
          <w:p w14:paraId="4B54E76E" w14:textId="0800513C" w:rsidR="00791469" w:rsidRPr="001A3413" w:rsidRDefault="00791469" w:rsidP="00910205">
            <w:pPr>
              <w:rPr>
                <w:b/>
                <w:bCs/>
                <w:color w:val="000000" w:themeColor="text1"/>
                <w:sz w:val="20"/>
                <w:szCs w:val="20"/>
              </w:rPr>
            </w:pPr>
            <w:r w:rsidRPr="001A3413">
              <w:rPr>
                <w:b/>
                <w:bCs/>
                <w:color w:val="000000" w:themeColor="text1"/>
                <w:sz w:val="20"/>
                <w:szCs w:val="20"/>
              </w:rPr>
              <w:t xml:space="preserve">Develop </w:t>
            </w:r>
            <w:r w:rsidR="00036070">
              <w:rPr>
                <w:b/>
                <w:bCs/>
                <w:color w:val="000000" w:themeColor="text1"/>
                <w:sz w:val="20"/>
                <w:szCs w:val="20"/>
              </w:rPr>
              <w:t xml:space="preserve">Thematic </w:t>
            </w:r>
            <w:r w:rsidRPr="001A3413">
              <w:rPr>
                <w:b/>
                <w:bCs/>
                <w:color w:val="000000" w:themeColor="text1"/>
                <w:sz w:val="20"/>
                <w:szCs w:val="20"/>
              </w:rPr>
              <w:t xml:space="preserve">Repositories </w:t>
            </w:r>
            <w:r w:rsidR="00036070">
              <w:rPr>
                <w:b/>
                <w:bCs/>
                <w:color w:val="000000" w:themeColor="text1"/>
                <w:sz w:val="20"/>
                <w:szCs w:val="20"/>
              </w:rPr>
              <w:t xml:space="preserve">(incl. </w:t>
            </w:r>
            <w:r w:rsidR="00910205">
              <w:rPr>
                <w:b/>
                <w:bCs/>
                <w:color w:val="000000" w:themeColor="text1"/>
                <w:sz w:val="20"/>
                <w:szCs w:val="20"/>
              </w:rPr>
              <w:t xml:space="preserve">question </w:t>
            </w:r>
            <w:r w:rsidR="00910205" w:rsidRPr="001A3413">
              <w:rPr>
                <w:b/>
                <w:bCs/>
                <w:color w:val="000000" w:themeColor="text1"/>
                <w:sz w:val="20"/>
                <w:szCs w:val="20"/>
              </w:rPr>
              <w:t>banks</w:t>
            </w:r>
            <w:r w:rsidR="00036070">
              <w:rPr>
                <w:b/>
                <w:bCs/>
                <w:color w:val="000000" w:themeColor="text1"/>
                <w:sz w:val="20"/>
                <w:szCs w:val="20"/>
              </w:rPr>
              <w:t>)</w:t>
            </w:r>
          </w:p>
        </w:tc>
        <w:tc>
          <w:tcPr>
            <w:tcW w:w="1392" w:type="dxa"/>
            <w:hideMark/>
          </w:tcPr>
          <w:p w14:paraId="133F44B3" w14:textId="77777777" w:rsidR="00791469" w:rsidRPr="001A3413" w:rsidRDefault="00791469" w:rsidP="00910205">
            <w:pPr>
              <w:rPr>
                <w:color w:val="000000" w:themeColor="text1"/>
                <w:sz w:val="20"/>
                <w:szCs w:val="20"/>
              </w:rPr>
            </w:pPr>
            <w:r w:rsidRPr="001A3413">
              <w:rPr>
                <w:color w:val="000000" w:themeColor="text1"/>
                <w:sz w:val="20"/>
                <w:szCs w:val="20"/>
              </w:rPr>
              <w:t>(a) Evidence synthesis infrastructure</w:t>
            </w:r>
          </w:p>
        </w:tc>
        <w:tc>
          <w:tcPr>
            <w:tcW w:w="2880" w:type="dxa"/>
            <w:hideMark/>
          </w:tcPr>
          <w:p w14:paraId="7D3B436B" w14:textId="77777777" w:rsidR="00791469" w:rsidRPr="001A3413" w:rsidRDefault="00791469" w:rsidP="00910205">
            <w:pPr>
              <w:rPr>
                <w:color w:val="000000" w:themeColor="text1"/>
                <w:sz w:val="20"/>
                <w:szCs w:val="20"/>
              </w:rPr>
            </w:pPr>
            <w:r w:rsidRPr="001A3413">
              <w:rPr>
                <w:color w:val="000000" w:themeColor="text1"/>
                <w:sz w:val="20"/>
                <w:szCs w:val="20"/>
              </w:rPr>
              <w:t>Provides a transparent, shared interface between demand and supply sides. Could be linked with AI and real-time evidence platforms. Enhances coordination and reuse of synthesis.</w:t>
            </w:r>
          </w:p>
        </w:tc>
        <w:tc>
          <w:tcPr>
            <w:tcW w:w="3119" w:type="dxa"/>
            <w:hideMark/>
          </w:tcPr>
          <w:p w14:paraId="65964925" w14:textId="77777777" w:rsidR="00791469" w:rsidRPr="001A3413" w:rsidRDefault="00791469" w:rsidP="00910205">
            <w:pPr>
              <w:rPr>
                <w:color w:val="000000" w:themeColor="text1"/>
                <w:sz w:val="20"/>
                <w:szCs w:val="20"/>
              </w:rPr>
            </w:pPr>
            <w:r w:rsidRPr="001A3413">
              <w:rPr>
                <w:color w:val="000000" w:themeColor="text1"/>
                <w:sz w:val="20"/>
                <w:szCs w:val="20"/>
              </w:rPr>
              <w:t>More timely and targeted synthesis outputs; decreased duplication; increased engagement in priority-setting by policymakers and communities.</w:t>
            </w:r>
          </w:p>
        </w:tc>
        <w:tc>
          <w:tcPr>
            <w:tcW w:w="3118" w:type="dxa"/>
            <w:hideMark/>
          </w:tcPr>
          <w:p w14:paraId="5180F239" w14:textId="57FE3A64" w:rsidR="00791469" w:rsidRPr="00FB0B53" w:rsidRDefault="00791469" w:rsidP="00910205">
            <w:pPr>
              <w:rPr>
                <w:i/>
                <w:iCs/>
                <w:color w:val="000000" w:themeColor="text1"/>
                <w:sz w:val="20"/>
                <w:szCs w:val="20"/>
              </w:rPr>
            </w:pPr>
            <w:r w:rsidRPr="00FB0B53">
              <w:rPr>
                <w:i/>
                <w:iCs/>
                <w:color w:val="000000" w:themeColor="text1"/>
                <w:sz w:val="20"/>
                <w:szCs w:val="20"/>
              </w:rPr>
              <w:t xml:space="preserve">By </w:t>
            </w:r>
            <w:r w:rsidR="00BF7A45">
              <w:rPr>
                <w:i/>
                <w:iCs/>
                <w:color w:val="000000" w:themeColor="text1"/>
                <w:sz w:val="20"/>
                <w:szCs w:val="20"/>
              </w:rPr>
              <w:t xml:space="preserve">end </w:t>
            </w:r>
            <w:r w:rsidRPr="00FB0B53">
              <w:rPr>
                <w:i/>
                <w:iCs/>
                <w:color w:val="000000" w:themeColor="text1"/>
                <w:sz w:val="20"/>
                <w:szCs w:val="20"/>
              </w:rPr>
              <w:t xml:space="preserve">2026, </w:t>
            </w:r>
            <w:r w:rsidR="009E4CE6">
              <w:rPr>
                <w:i/>
                <w:iCs/>
                <w:color w:val="000000" w:themeColor="text1"/>
                <w:sz w:val="20"/>
                <w:szCs w:val="20"/>
              </w:rPr>
              <w:t xml:space="preserve">1 </w:t>
            </w:r>
            <w:r w:rsidRPr="00FB0B53">
              <w:rPr>
                <w:i/>
                <w:iCs/>
                <w:color w:val="000000" w:themeColor="text1"/>
                <w:sz w:val="20"/>
                <w:szCs w:val="20"/>
              </w:rPr>
              <w:t>operational repositor</w:t>
            </w:r>
            <w:r w:rsidR="009E4CE6">
              <w:rPr>
                <w:i/>
                <w:iCs/>
                <w:color w:val="000000" w:themeColor="text1"/>
                <w:sz w:val="20"/>
                <w:szCs w:val="20"/>
              </w:rPr>
              <w:t>y globally with</w:t>
            </w:r>
            <w:r w:rsidRPr="00FB0B53">
              <w:rPr>
                <w:i/>
                <w:iCs/>
                <w:color w:val="000000" w:themeColor="text1"/>
                <w:sz w:val="20"/>
                <w:szCs w:val="20"/>
              </w:rPr>
              <w:t xml:space="preserve"> in </w:t>
            </w:r>
            <w:r w:rsidR="009724C3">
              <w:rPr>
                <w:i/>
                <w:iCs/>
                <w:color w:val="000000" w:themeColor="text1"/>
                <w:sz w:val="20"/>
                <w:szCs w:val="20"/>
              </w:rPr>
              <w:t>1-</w:t>
            </w:r>
            <w:r w:rsidR="00BF7A45">
              <w:rPr>
                <w:i/>
                <w:iCs/>
                <w:color w:val="000000" w:themeColor="text1"/>
                <w:sz w:val="20"/>
                <w:szCs w:val="20"/>
              </w:rPr>
              <w:t>2</w:t>
            </w:r>
            <w:r w:rsidRPr="00FB0B53">
              <w:rPr>
                <w:i/>
                <w:iCs/>
                <w:color w:val="000000" w:themeColor="text1"/>
                <w:sz w:val="20"/>
                <w:szCs w:val="20"/>
              </w:rPr>
              <w:t xml:space="preserve"> region</w:t>
            </w:r>
            <w:r w:rsidR="009724C3">
              <w:rPr>
                <w:i/>
                <w:iCs/>
                <w:color w:val="000000" w:themeColor="text1"/>
                <w:sz w:val="20"/>
                <w:szCs w:val="20"/>
              </w:rPr>
              <w:t>al</w:t>
            </w:r>
            <w:r w:rsidRPr="00FB0B53">
              <w:rPr>
                <w:i/>
                <w:iCs/>
                <w:color w:val="000000" w:themeColor="text1"/>
                <w:sz w:val="20"/>
                <w:szCs w:val="20"/>
              </w:rPr>
              <w:t xml:space="preserve"> or sectors</w:t>
            </w:r>
            <w:r w:rsidR="009724C3">
              <w:rPr>
                <w:i/>
                <w:iCs/>
                <w:color w:val="000000" w:themeColor="text1"/>
                <w:sz w:val="20"/>
                <w:szCs w:val="20"/>
              </w:rPr>
              <w:t xml:space="preserve"> being established</w:t>
            </w:r>
            <w:r w:rsidRPr="00FB0B53">
              <w:rPr>
                <w:i/>
                <w:iCs/>
                <w:color w:val="000000" w:themeColor="text1"/>
                <w:sz w:val="20"/>
                <w:szCs w:val="20"/>
              </w:rPr>
              <w:t xml:space="preserve">; minimum 100 curated questions, </w:t>
            </w:r>
            <w:r w:rsidR="00CC23C8">
              <w:rPr>
                <w:i/>
                <w:iCs/>
                <w:color w:val="000000" w:themeColor="text1"/>
                <w:sz w:val="20"/>
                <w:szCs w:val="20"/>
              </w:rPr>
              <w:t>1</w:t>
            </w:r>
            <w:r w:rsidRPr="00FB0B53">
              <w:rPr>
                <w:i/>
                <w:iCs/>
                <w:color w:val="000000" w:themeColor="text1"/>
                <w:sz w:val="20"/>
                <w:szCs w:val="20"/>
              </w:rPr>
              <w:t>5 co-produced syntheses launched; regular user feedback integrated.</w:t>
            </w:r>
          </w:p>
        </w:tc>
        <w:tc>
          <w:tcPr>
            <w:tcW w:w="3260" w:type="dxa"/>
          </w:tcPr>
          <w:p w14:paraId="5DE37FD0" w14:textId="67050679" w:rsidR="00791469" w:rsidRPr="001A3413" w:rsidRDefault="00BC6F8C" w:rsidP="00910205">
            <w:pPr>
              <w:rPr>
                <w:color w:val="000000" w:themeColor="text1"/>
                <w:sz w:val="20"/>
                <w:szCs w:val="20"/>
              </w:rPr>
            </w:pPr>
            <w:r w:rsidRPr="00BC6F8C">
              <w:rPr>
                <w:color w:val="000000" w:themeColor="text1"/>
                <w:sz w:val="20"/>
                <w:szCs w:val="20"/>
              </w:rPr>
              <w:t>WG5 Living Horizon and Environmental Scanning may overlap</w:t>
            </w:r>
            <w:r w:rsidR="00A53B84">
              <w:rPr>
                <w:color w:val="000000" w:themeColor="text1"/>
                <w:sz w:val="20"/>
                <w:szCs w:val="20"/>
              </w:rPr>
              <w:t xml:space="preserve"> with some operational aspects of the repositories;</w:t>
            </w:r>
            <w:r w:rsidR="00874401">
              <w:rPr>
                <w:color w:val="000000" w:themeColor="text1"/>
                <w:sz w:val="20"/>
                <w:szCs w:val="20"/>
              </w:rPr>
              <w:t xml:space="preserve"> </w:t>
            </w:r>
            <w:r w:rsidR="00960812">
              <w:rPr>
                <w:color w:val="000000" w:themeColor="text1"/>
                <w:sz w:val="20"/>
                <w:szCs w:val="20"/>
              </w:rPr>
              <w:t>Other repositories</w:t>
            </w:r>
            <w:r w:rsidR="004C5EE2">
              <w:rPr>
                <w:color w:val="000000" w:themeColor="text1"/>
                <w:sz w:val="20"/>
                <w:szCs w:val="20"/>
              </w:rPr>
              <w:t xml:space="preserve"> different purpose</w:t>
            </w:r>
            <w:r w:rsidR="00960812">
              <w:rPr>
                <w:color w:val="000000" w:themeColor="text1"/>
                <w:sz w:val="20"/>
                <w:szCs w:val="20"/>
              </w:rPr>
              <w:t xml:space="preserve"> (</w:t>
            </w:r>
            <w:r w:rsidR="00874401">
              <w:rPr>
                <w:color w:val="000000" w:themeColor="text1"/>
                <w:sz w:val="20"/>
                <w:szCs w:val="20"/>
              </w:rPr>
              <w:t xml:space="preserve">WG2 living evidence </w:t>
            </w:r>
            <w:r w:rsidR="00D6586D">
              <w:rPr>
                <w:color w:val="000000" w:themeColor="text1"/>
                <w:sz w:val="20"/>
                <w:szCs w:val="20"/>
              </w:rPr>
              <w:t>repository; WG</w:t>
            </w:r>
            <w:r w:rsidR="00960812">
              <w:rPr>
                <w:color w:val="000000" w:themeColor="text1"/>
                <w:sz w:val="20"/>
                <w:szCs w:val="20"/>
              </w:rPr>
              <w:t>4 evidence repository</w:t>
            </w:r>
            <w:r w:rsidR="004C5EE2">
              <w:rPr>
                <w:color w:val="000000" w:themeColor="text1"/>
                <w:sz w:val="20"/>
                <w:szCs w:val="20"/>
              </w:rPr>
              <w:t>)</w:t>
            </w:r>
          </w:p>
        </w:tc>
      </w:tr>
      <w:tr w:rsidR="00791469" w:rsidRPr="00B764FA" w14:paraId="64B7C2C7" w14:textId="77777777" w:rsidTr="00DC162C">
        <w:trPr>
          <w:trHeight w:val="98"/>
        </w:trPr>
        <w:tc>
          <w:tcPr>
            <w:tcW w:w="2547" w:type="dxa"/>
            <w:hideMark/>
          </w:tcPr>
          <w:p w14:paraId="746FB897" w14:textId="77777777" w:rsidR="00791469" w:rsidRPr="001A3413" w:rsidRDefault="00791469" w:rsidP="00910205">
            <w:pPr>
              <w:rPr>
                <w:color w:val="000000" w:themeColor="text1"/>
                <w:sz w:val="20"/>
                <w:szCs w:val="20"/>
              </w:rPr>
            </w:pPr>
            <w:r w:rsidRPr="001A3413">
              <w:rPr>
                <w:color w:val="000000" w:themeColor="text1"/>
                <w:sz w:val="20"/>
                <w:szCs w:val="20"/>
              </w:rPr>
              <w:t>Limited resources for end-users to apply evidence synthesis in real-time decision-making; lack of experimentation or innovation at point of use.</w:t>
            </w:r>
          </w:p>
        </w:tc>
        <w:tc>
          <w:tcPr>
            <w:tcW w:w="1681" w:type="dxa"/>
            <w:shd w:val="clear" w:color="auto" w:fill="DAE9F7" w:themeFill="text2" w:themeFillTint="1A"/>
            <w:hideMark/>
          </w:tcPr>
          <w:p w14:paraId="7D096DD1" w14:textId="77777777" w:rsidR="00791469" w:rsidRPr="001A3413" w:rsidRDefault="00791469" w:rsidP="00910205">
            <w:pPr>
              <w:rPr>
                <w:b/>
                <w:bCs/>
                <w:color w:val="000000" w:themeColor="text1"/>
                <w:sz w:val="20"/>
                <w:szCs w:val="20"/>
              </w:rPr>
            </w:pPr>
            <w:r w:rsidRPr="001A3413">
              <w:rPr>
                <w:b/>
                <w:bCs/>
                <w:color w:val="000000" w:themeColor="text1"/>
                <w:sz w:val="20"/>
                <w:szCs w:val="20"/>
              </w:rPr>
              <w:t>Provide Grants to End-Users</w:t>
            </w:r>
          </w:p>
        </w:tc>
        <w:tc>
          <w:tcPr>
            <w:tcW w:w="1392" w:type="dxa"/>
            <w:hideMark/>
          </w:tcPr>
          <w:p w14:paraId="6DC6D998" w14:textId="77777777" w:rsidR="00791469" w:rsidRPr="001A3413" w:rsidRDefault="00791469" w:rsidP="00910205">
            <w:pPr>
              <w:rPr>
                <w:color w:val="000000" w:themeColor="text1"/>
                <w:sz w:val="20"/>
                <w:szCs w:val="20"/>
              </w:rPr>
            </w:pPr>
            <w:r w:rsidRPr="001A3413">
              <w:rPr>
                <w:color w:val="000000" w:themeColor="text1"/>
                <w:sz w:val="20"/>
                <w:szCs w:val="20"/>
              </w:rPr>
              <w:t>(c) Projects</w:t>
            </w:r>
          </w:p>
        </w:tc>
        <w:tc>
          <w:tcPr>
            <w:tcW w:w="2880" w:type="dxa"/>
            <w:hideMark/>
          </w:tcPr>
          <w:p w14:paraId="00968100" w14:textId="77777777" w:rsidR="00791469" w:rsidRPr="001A3413" w:rsidRDefault="00791469" w:rsidP="00910205">
            <w:pPr>
              <w:rPr>
                <w:color w:val="000000" w:themeColor="text1"/>
                <w:sz w:val="20"/>
                <w:szCs w:val="20"/>
              </w:rPr>
            </w:pPr>
            <w:r w:rsidRPr="001A3413">
              <w:rPr>
                <w:color w:val="000000" w:themeColor="text1"/>
                <w:sz w:val="20"/>
                <w:szCs w:val="20"/>
              </w:rPr>
              <w:t>Shifts control and experimentation to demand-side actors. Allows bottom-up innovation and embedded practice of synthesis use.</w:t>
            </w:r>
          </w:p>
        </w:tc>
        <w:tc>
          <w:tcPr>
            <w:tcW w:w="3119" w:type="dxa"/>
            <w:hideMark/>
          </w:tcPr>
          <w:p w14:paraId="28DF9C51" w14:textId="77777777" w:rsidR="00791469" w:rsidRPr="001A3413" w:rsidRDefault="00791469" w:rsidP="00910205">
            <w:pPr>
              <w:rPr>
                <w:color w:val="000000" w:themeColor="text1"/>
                <w:sz w:val="20"/>
                <w:szCs w:val="20"/>
              </w:rPr>
            </w:pPr>
            <w:r w:rsidRPr="001A3413">
              <w:rPr>
                <w:color w:val="000000" w:themeColor="text1"/>
                <w:sz w:val="20"/>
                <w:szCs w:val="20"/>
              </w:rPr>
              <w:t>Greater evidence use in real-world contexts. Encourages diversity of approaches and empowers actors in low-capacity or underserved areas. Especially useful for local governments, CSOs, or front-line implementers.</w:t>
            </w:r>
          </w:p>
        </w:tc>
        <w:tc>
          <w:tcPr>
            <w:tcW w:w="3118" w:type="dxa"/>
            <w:hideMark/>
          </w:tcPr>
          <w:p w14:paraId="257C9590" w14:textId="68C06044" w:rsidR="00791469" w:rsidRPr="00FB0B53" w:rsidRDefault="00791469" w:rsidP="00910205">
            <w:pPr>
              <w:rPr>
                <w:i/>
                <w:iCs/>
                <w:color w:val="000000" w:themeColor="text1"/>
                <w:sz w:val="20"/>
                <w:szCs w:val="20"/>
              </w:rPr>
            </w:pPr>
            <w:r w:rsidRPr="00FB0B53">
              <w:rPr>
                <w:i/>
                <w:iCs/>
                <w:color w:val="000000" w:themeColor="text1"/>
                <w:sz w:val="20"/>
                <w:szCs w:val="20"/>
              </w:rPr>
              <w:t xml:space="preserve">By </w:t>
            </w:r>
            <w:r w:rsidR="00B62668">
              <w:rPr>
                <w:i/>
                <w:iCs/>
                <w:color w:val="000000" w:themeColor="text1"/>
                <w:sz w:val="20"/>
                <w:szCs w:val="20"/>
              </w:rPr>
              <w:t xml:space="preserve">end </w:t>
            </w:r>
            <w:r w:rsidRPr="00FB0B53">
              <w:rPr>
                <w:i/>
                <w:iCs/>
                <w:color w:val="000000" w:themeColor="text1"/>
                <w:sz w:val="20"/>
                <w:szCs w:val="20"/>
              </w:rPr>
              <w:t>202</w:t>
            </w:r>
            <w:r w:rsidR="00C674B7">
              <w:rPr>
                <w:i/>
                <w:iCs/>
                <w:color w:val="000000" w:themeColor="text1"/>
                <w:sz w:val="20"/>
                <w:szCs w:val="20"/>
              </w:rPr>
              <w:t>7</w:t>
            </w:r>
            <w:r w:rsidRPr="00FB0B53">
              <w:rPr>
                <w:i/>
                <w:iCs/>
                <w:color w:val="000000" w:themeColor="text1"/>
                <w:sz w:val="20"/>
                <w:szCs w:val="20"/>
              </w:rPr>
              <w:t>, 50+ micro-grants awarded; evidence-informed policies adopted in 15+ institutions; learning from grant-funded pilots synthesi</w:t>
            </w:r>
            <w:r w:rsidR="007F1BD5">
              <w:rPr>
                <w:i/>
                <w:iCs/>
                <w:color w:val="000000" w:themeColor="text1"/>
                <w:sz w:val="20"/>
                <w:szCs w:val="20"/>
              </w:rPr>
              <w:t>s</w:t>
            </w:r>
            <w:r w:rsidRPr="00FB0B53">
              <w:rPr>
                <w:i/>
                <w:iCs/>
                <w:color w:val="000000" w:themeColor="text1"/>
                <w:sz w:val="20"/>
                <w:szCs w:val="20"/>
              </w:rPr>
              <w:t>ed and shared.</w:t>
            </w:r>
          </w:p>
        </w:tc>
        <w:tc>
          <w:tcPr>
            <w:tcW w:w="3260" w:type="dxa"/>
          </w:tcPr>
          <w:p w14:paraId="22CB1A2C" w14:textId="79D8FC70" w:rsidR="00791469" w:rsidRPr="001A3413" w:rsidRDefault="00986B17" w:rsidP="00910205">
            <w:pPr>
              <w:rPr>
                <w:color w:val="000000" w:themeColor="text1"/>
                <w:sz w:val="20"/>
                <w:szCs w:val="20"/>
              </w:rPr>
            </w:pPr>
            <w:r w:rsidRPr="00986B17">
              <w:rPr>
                <w:color w:val="000000" w:themeColor="text1"/>
                <w:sz w:val="20"/>
                <w:szCs w:val="20"/>
              </w:rPr>
              <w:t xml:space="preserve">WG5 Global Synthesis Innovation Fund – may </w:t>
            </w:r>
            <w:r>
              <w:rPr>
                <w:color w:val="000000" w:themeColor="text1"/>
                <w:sz w:val="20"/>
                <w:szCs w:val="20"/>
              </w:rPr>
              <w:t>link</w:t>
            </w:r>
            <w:r w:rsidRPr="00986B17">
              <w:rPr>
                <w:color w:val="000000" w:themeColor="text1"/>
                <w:sz w:val="20"/>
                <w:szCs w:val="20"/>
              </w:rPr>
              <w:t xml:space="preserve"> with WG1 activity grants to end users</w:t>
            </w:r>
          </w:p>
        </w:tc>
      </w:tr>
    </w:tbl>
    <w:p w14:paraId="44C0A597" w14:textId="5CAB4EB3" w:rsidR="00D0260E" w:rsidRDefault="00D0260E" w:rsidP="000164E4">
      <w:pPr>
        <w:jc w:val="both"/>
        <w:rPr>
          <w:color w:val="0B769F" w:themeColor="accent4" w:themeShade="BF"/>
          <w:lang w:val="en-US"/>
        </w:rPr>
      </w:pPr>
    </w:p>
    <w:p w14:paraId="32F714DA" w14:textId="77777777" w:rsidR="00D0260E" w:rsidRDefault="00D0260E">
      <w:pPr>
        <w:rPr>
          <w:color w:val="0B769F" w:themeColor="accent4" w:themeShade="BF"/>
          <w:lang w:val="en-US"/>
        </w:rPr>
      </w:pPr>
      <w:r>
        <w:rPr>
          <w:color w:val="0B769F" w:themeColor="accent4" w:themeShade="BF"/>
          <w:lang w:val="en-US"/>
        </w:rPr>
        <w:br w:type="page"/>
      </w:r>
    </w:p>
    <w:p w14:paraId="30A35C74" w14:textId="53F85B90" w:rsidR="00D82AEB" w:rsidRDefault="00D82AEB" w:rsidP="00D82AEB">
      <w:pPr>
        <w:pStyle w:val="Heading2"/>
        <w:rPr>
          <w:lang w:val="en-US"/>
        </w:rPr>
      </w:pPr>
      <w:r>
        <w:rPr>
          <w:lang w:val="en-US"/>
        </w:rPr>
        <w:lastRenderedPageBreak/>
        <w:t xml:space="preserve">Appendix 3 – </w:t>
      </w:r>
      <w:r w:rsidR="00B12E3F" w:rsidRPr="00B12E3F">
        <w:rPr>
          <w:lang w:val="en-US"/>
        </w:rPr>
        <w:t>WG1 Options</w:t>
      </w:r>
      <w:r w:rsidR="00B12E3F">
        <w:rPr>
          <w:lang w:val="en-US"/>
        </w:rPr>
        <w:t xml:space="preserve"> compared to</w:t>
      </w:r>
      <w:r w:rsidR="00B12E3F" w:rsidRPr="00B12E3F">
        <w:rPr>
          <w:lang w:val="en-US"/>
        </w:rPr>
        <w:t xml:space="preserve"> Stage 1 Gaps, and Stage 2 Capabilities</w:t>
      </w:r>
    </w:p>
    <w:tbl>
      <w:tblPr>
        <w:tblStyle w:val="TableGrid2"/>
        <w:tblW w:w="0" w:type="auto"/>
        <w:tblLook w:val="04A0" w:firstRow="1" w:lastRow="0" w:firstColumn="1" w:lastColumn="0" w:noHBand="0" w:noVBand="1"/>
      </w:tblPr>
      <w:tblGrid>
        <w:gridCol w:w="2789"/>
        <w:gridCol w:w="3731"/>
        <w:gridCol w:w="3731"/>
        <w:gridCol w:w="3731"/>
        <w:gridCol w:w="3732"/>
      </w:tblGrid>
      <w:tr w:rsidR="00D869A7" w:rsidRPr="00D869A7" w14:paraId="0CDC9819" w14:textId="77777777" w:rsidTr="00745955">
        <w:tc>
          <w:tcPr>
            <w:tcW w:w="2789" w:type="dxa"/>
            <w:shd w:val="clear" w:color="auto" w:fill="156082" w:themeFill="accent1"/>
            <w:vAlign w:val="center"/>
          </w:tcPr>
          <w:p w14:paraId="15A7092E" w14:textId="77777777" w:rsidR="00D869A7" w:rsidRPr="00D869A7" w:rsidRDefault="00D869A7" w:rsidP="00D869A7">
            <w:pPr>
              <w:rPr>
                <w:color w:val="FFFFFF" w:themeColor="background1"/>
                <w:sz w:val="22"/>
                <w:szCs w:val="22"/>
              </w:rPr>
            </w:pPr>
            <w:r w:rsidRPr="00D869A7">
              <w:rPr>
                <w:rFonts w:eastAsia="Times New Roman" w:cs="Times New Roman"/>
                <w:b/>
                <w:bCs/>
                <w:color w:val="FFFFFF" w:themeColor="background1"/>
                <w:kern w:val="0"/>
                <w:sz w:val="22"/>
                <w:szCs w:val="22"/>
                <w:lang w:eastAsia="en-AU" w:bidi="ar-SA"/>
                <w14:ligatures w14:val="none"/>
              </w:rPr>
              <w:t>WG1 Option</w:t>
            </w:r>
          </w:p>
        </w:tc>
        <w:tc>
          <w:tcPr>
            <w:tcW w:w="3731" w:type="dxa"/>
            <w:shd w:val="clear" w:color="auto" w:fill="156082" w:themeFill="accent1"/>
            <w:vAlign w:val="center"/>
          </w:tcPr>
          <w:p w14:paraId="4417D5EB" w14:textId="77777777" w:rsidR="00D869A7" w:rsidRPr="00D869A7" w:rsidRDefault="00D869A7" w:rsidP="00D869A7">
            <w:pPr>
              <w:rPr>
                <w:color w:val="FFFFFF" w:themeColor="background1"/>
                <w:sz w:val="22"/>
                <w:szCs w:val="22"/>
              </w:rPr>
            </w:pPr>
            <w:r w:rsidRPr="00D869A7">
              <w:rPr>
                <w:rFonts w:eastAsia="Times New Roman" w:cs="Times New Roman"/>
                <w:b/>
                <w:bCs/>
                <w:color w:val="FFFFFF" w:themeColor="background1"/>
                <w:kern w:val="0"/>
                <w:sz w:val="22"/>
                <w:szCs w:val="22"/>
                <w:lang w:eastAsia="en-AU" w:bidi="ar-SA"/>
                <w14:ligatures w14:val="none"/>
              </w:rPr>
              <w:t>Stage 1 Gaps Addressed</w:t>
            </w:r>
          </w:p>
        </w:tc>
        <w:tc>
          <w:tcPr>
            <w:tcW w:w="3731" w:type="dxa"/>
            <w:shd w:val="clear" w:color="auto" w:fill="156082" w:themeFill="accent1"/>
            <w:vAlign w:val="center"/>
          </w:tcPr>
          <w:p w14:paraId="617678A7" w14:textId="1241B367" w:rsidR="00D869A7" w:rsidRPr="00D869A7" w:rsidRDefault="00D869A7" w:rsidP="00D869A7">
            <w:pPr>
              <w:rPr>
                <w:color w:val="FFFFFF" w:themeColor="background1"/>
                <w:sz w:val="22"/>
                <w:szCs w:val="22"/>
              </w:rPr>
            </w:pPr>
            <w:r w:rsidRPr="00D869A7">
              <w:rPr>
                <w:rFonts w:eastAsia="Times New Roman" w:cs="Times New Roman"/>
                <w:b/>
                <w:bCs/>
                <w:color w:val="FFFFFF" w:themeColor="background1"/>
                <w:kern w:val="0"/>
                <w:sz w:val="22"/>
                <w:szCs w:val="22"/>
                <w:lang w:eastAsia="en-AU" w:bidi="ar-SA"/>
                <w14:ligatures w14:val="none"/>
              </w:rPr>
              <w:t xml:space="preserve">How the </w:t>
            </w:r>
            <w:r w:rsidR="00285E95" w:rsidRPr="00D869A7">
              <w:rPr>
                <w:rFonts w:eastAsia="Times New Roman" w:cs="Times New Roman"/>
                <w:b/>
                <w:bCs/>
                <w:color w:val="FFFFFF" w:themeColor="background1"/>
                <w:kern w:val="0"/>
                <w:sz w:val="22"/>
                <w:szCs w:val="22"/>
                <w:lang w:eastAsia="en-AU" w:bidi="ar-SA"/>
                <w14:ligatures w14:val="none"/>
              </w:rPr>
              <w:t>option responds to the gaps</w:t>
            </w:r>
          </w:p>
        </w:tc>
        <w:tc>
          <w:tcPr>
            <w:tcW w:w="3731" w:type="dxa"/>
            <w:shd w:val="clear" w:color="auto" w:fill="156082" w:themeFill="accent1"/>
            <w:vAlign w:val="center"/>
          </w:tcPr>
          <w:p w14:paraId="18FF882B" w14:textId="697C4AEF" w:rsidR="00D869A7" w:rsidRPr="00D869A7" w:rsidRDefault="00D869A7" w:rsidP="00D869A7">
            <w:pPr>
              <w:rPr>
                <w:color w:val="FFFFFF" w:themeColor="background1"/>
                <w:sz w:val="22"/>
                <w:szCs w:val="22"/>
              </w:rPr>
            </w:pPr>
            <w:r w:rsidRPr="00D869A7">
              <w:rPr>
                <w:rFonts w:eastAsia="Times New Roman" w:cs="Times New Roman"/>
                <w:b/>
                <w:bCs/>
                <w:color w:val="FFFFFF" w:themeColor="background1"/>
                <w:kern w:val="0"/>
                <w:sz w:val="22"/>
                <w:szCs w:val="22"/>
                <w:lang w:eastAsia="en-AU" w:bidi="ar-SA"/>
                <w14:ligatures w14:val="none"/>
              </w:rPr>
              <w:t xml:space="preserve">Stage 2 Capabilities </w:t>
            </w:r>
            <w:r w:rsidR="00285E95" w:rsidRPr="00D869A7">
              <w:rPr>
                <w:rFonts w:eastAsia="Times New Roman" w:cs="Times New Roman"/>
                <w:b/>
                <w:bCs/>
                <w:color w:val="FFFFFF" w:themeColor="background1"/>
                <w:kern w:val="0"/>
                <w:sz w:val="22"/>
                <w:szCs w:val="22"/>
                <w:lang w:eastAsia="en-AU" w:bidi="ar-SA"/>
                <w14:ligatures w14:val="none"/>
              </w:rPr>
              <w:t>strengthened</w:t>
            </w:r>
          </w:p>
        </w:tc>
        <w:tc>
          <w:tcPr>
            <w:tcW w:w="3732" w:type="dxa"/>
            <w:shd w:val="clear" w:color="auto" w:fill="156082" w:themeFill="accent1"/>
            <w:vAlign w:val="center"/>
          </w:tcPr>
          <w:p w14:paraId="1E17A9DF" w14:textId="5DCD8209" w:rsidR="00D869A7" w:rsidRPr="00D869A7" w:rsidRDefault="00D869A7" w:rsidP="00D869A7">
            <w:pPr>
              <w:rPr>
                <w:color w:val="FFFFFF" w:themeColor="background1"/>
                <w:sz w:val="22"/>
                <w:szCs w:val="22"/>
              </w:rPr>
            </w:pPr>
            <w:r w:rsidRPr="00D869A7">
              <w:rPr>
                <w:rFonts w:eastAsia="Times New Roman" w:cs="Times New Roman"/>
                <w:b/>
                <w:bCs/>
                <w:color w:val="FFFFFF" w:themeColor="background1"/>
                <w:kern w:val="0"/>
                <w:sz w:val="22"/>
                <w:szCs w:val="22"/>
                <w:lang w:eastAsia="en-AU" w:bidi="ar-SA"/>
                <w14:ligatures w14:val="none"/>
              </w:rPr>
              <w:t xml:space="preserve">How the </w:t>
            </w:r>
            <w:r w:rsidR="00285E95" w:rsidRPr="00D869A7">
              <w:rPr>
                <w:rFonts w:eastAsia="Times New Roman" w:cs="Times New Roman"/>
                <w:b/>
                <w:bCs/>
                <w:color w:val="FFFFFF" w:themeColor="background1"/>
                <w:kern w:val="0"/>
                <w:sz w:val="22"/>
                <w:szCs w:val="22"/>
                <w:lang w:eastAsia="en-AU" w:bidi="ar-SA"/>
                <w14:ligatures w14:val="none"/>
              </w:rPr>
              <w:t>option builds these capabilities</w:t>
            </w:r>
          </w:p>
        </w:tc>
      </w:tr>
      <w:tr w:rsidR="00D869A7" w:rsidRPr="00D869A7" w14:paraId="5A7CACB7" w14:textId="77777777" w:rsidTr="00745955">
        <w:tc>
          <w:tcPr>
            <w:tcW w:w="2789" w:type="dxa"/>
            <w:shd w:val="clear" w:color="auto" w:fill="DAE9F7" w:themeFill="text2" w:themeFillTint="1A"/>
          </w:tcPr>
          <w:p w14:paraId="05C3A085" w14:textId="77777777" w:rsidR="00D869A7" w:rsidRPr="00D869A7" w:rsidRDefault="00D869A7" w:rsidP="00D869A7">
            <w:pPr>
              <w:rPr>
                <w:sz w:val="22"/>
                <w:szCs w:val="22"/>
              </w:rPr>
            </w:pPr>
            <w:r w:rsidRPr="00D869A7">
              <w:rPr>
                <w:rFonts w:eastAsia="Times New Roman" w:cs="Times New Roman"/>
                <w:b/>
                <w:bCs/>
                <w:kern w:val="0"/>
                <w:sz w:val="22"/>
                <w:szCs w:val="22"/>
                <w:lang w:eastAsia="en-AU" w:bidi="ar-SA"/>
                <w14:ligatures w14:val="none"/>
              </w:rPr>
              <w:t>1. Regional Demand-Side Secretariats</w:t>
            </w:r>
          </w:p>
        </w:tc>
        <w:tc>
          <w:tcPr>
            <w:tcW w:w="3731" w:type="dxa"/>
          </w:tcPr>
          <w:p w14:paraId="3CF1D2F4" w14:textId="41D091C7" w:rsidR="00D869A7" w:rsidRPr="00D869A7" w:rsidRDefault="00D869A7" w:rsidP="00745955">
            <w:pPr>
              <w:spacing w:after="120"/>
              <w:rPr>
                <w:rFonts w:eastAsia="Times New Roman" w:cs="Times New Roman"/>
                <w:kern w:val="0"/>
                <w:sz w:val="22"/>
                <w:szCs w:val="22"/>
                <w:lang w:eastAsia="en-AU"/>
                <w14:ligatures w14:val="none"/>
              </w:rPr>
            </w:pPr>
            <w:r w:rsidRPr="00D869A7">
              <w:rPr>
                <w:rFonts w:eastAsia="Times New Roman" w:cs="Times New Roman"/>
                <w:b/>
                <w:bCs/>
                <w:kern w:val="0"/>
                <w:sz w:val="22"/>
                <w:szCs w:val="22"/>
                <w:lang w:eastAsia="en-AU" w:bidi="ar-SA"/>
                <w14:ligatures w14:val="none"/>
              </w:rPr>
              <w:t>Systems:</w:t>
            </w:r>
            <w:r w:rsidRPr="00D869A7">
              <w:rPr>
                <w:rFonts w:eastAsia="Times New Roman" w:cs="Times New Roman"/>
                <w:kern w:val="0"/>
                <w:sz w:val="22"/>
                <w:szCs w:val="22"/>
                <w:lang w:eastAsia="en-AU" w:bidi="ar-SA"/>
                <w14:ligatures w14:val="none"/>
              </w:rPr>
              <w:t xml:space="preserve"> Fragmentation, lack of sustainability</w:t>
            </w:r>
          </w:p>
          <w:p w14:paraId="24369CCE" w14:textId="77777777" w:rsidR="00D869A7" w:rsidRPr="00D869A7" w:rsidRDefault="00D869A7" w:rsidP="00745955">
            <w:pPr>
              <w:spacing w:after="120"/>
              <w:rPr>
                <w:rFonts w:eastAsia="Times New Roman" w:cs="Times New Roman"/>
                <w:kern w:val="0"/>
                <w:sz w:val="22"/>
                <w:szCs w:val="22"/>
                <w:lang w:eastAsia="en-AU"/>
                <w14:ligatures w14:val="none"/>
              </w:rPr>
            </w:pPr>
            <w:r w:rsidRPr="00D869A7">
              <w:rPr>
                <w:rFonts w:eastAsia="Times New Roman" w:cs="Times New Roman"/>
                <w:b/>
                <w:bCs/>
                <w:kern w:val="0"/>
                <w:sz w:val="22"/>
                <w:szCs w:val="22"/>
                <w:lang w:eastAsia="en-AU" w:bidi="ar-SA"/>
                <w14:ligatures w14:val="none"/>
              </w:rPr>
              <w:t>Resources:</w:t>
            </w:r>
            <w:r w:rsidRPr="00D869A7">
              <w:rPr>
                <w:rFonts w:eastAsia="Times New Roman" w:cs="Times New Roman"/>
                <w:kern w:val="0"/>
                <w:sz w:val="22"/>
                <w:szCs w:val="22"/>
                <w:lang w:eastAsia="en-AU" w:bidi="ar-SA"/>
                <w14:ligatures w14:val="none"/>
              </w:rPr>
              <w:t xml:space="preserve"> Underinvestment in capacity, neglect of grassroots actors</w:t>
            </w:r>
          </w:p>
          <w:p w14:paraId="5E2A4D39" w14:textId="77777777" w:rsidR="00D869A7" w:rsidRPr="00D869A7" w:rsidRDefault="00D869A7" w:rsidP="00745955">
            <w:pPr>
              <w:spacing w:after="120"/>
              <w:rPr>
                <w:sz w:val="22"/>
                <w:szCs w:val="22"/>
              </w:rPr>
            </w:pPr>
            <w:r w:rsidRPr="00D869A7">
              <w:rPr>
                <w:rFonts w:eastAsia="Times New Roman" w:cs="Times New Roman"/>
                <w:b/>
                <w:bCs/>
                <w:kern w:val="0"/>
                <w:sz w:val="22"/>
                <w:szCs w:val="22"/>
                <w:lang w:eastAsia="en-AU" w:bidi="ar-SA"/>
                <w14:ligatures w14:val="none"/>
              </w:rPr>
              <w:t>Processes:</w:t>
            </w:r>
            <w:r w:rsidRPr="00D869A7">
              <w:rPr>
                <w:rFonts w:eastAsia="Times New Roman" w:cs="Times New Roman"/>
                <w:kern w:val="0"/>
                <w:sz w:val="22"/>
                <w:szCs w:val="22"/>
                <w:lang w:eastAsia="en-AU" w:bidi="ar-SA"/>
                <w14:ligatures w14:val="none"/>
              </w:rPr>
              <w:t xml:space="preserve"> Lack of structured advisory systems</w:t>
            </w:r>
          </w:p>
        </w:tc>
        <w:tc>
          <w:tcPr>
            <w:tcW w:w="3731" w:type="dxa"/>
          </w:tcPr>
          <w:p w14:paraId="17E15B00" w14:textId="77777777" w:rsidR="00D869A7" w:rsidRPr="00D869A7" w:rsidRDefault="00D869A7" w:rsidP="00745955">
            <w:pPr>
              <w:spacing w:after="120"/>
              <w:rPr>
                <w:rFonts w:eastAsia="Times New Roman" w:cs="Times New Roman"/>
                <w:kern w:val="0"/>
                <w:sz w:val="22"/>
                <w:szCs w:val="22"/>
                <w:lang w:eastAsia="en-AU"/>
                <w14:ligatures w14:val="none"/>
              </w:rPr>
            </w:pPr>
            <w:r w:rsidRPr="00D869A7">
              <w:rPr>
                <w:rFonts w:eastAsia="Times New Roman" w:cs="Times New Roman"/>
                <w:kern w:val="0"/>
                <w:sz w:val="22"/>
                <w:szCs w:val="22"/>
                <w:lang w:eastAsia="en-AU" w:bidi="ar-SA"/>
                <w14:ligatures w14:val="none"/>
              </w:rPr>
              <w:t xml:space="preserve">Creates decentralised but formal coordination mechanisms that provide stable, scalable infrastructure and link local priorities to global learning. </w:t>
            </w:r>
          </w:p>
          <w:p w14:paraId="3B6CD9EE" w14:textId="77777777" w:rsidR="00D869A7" w:rsidRPr="00D869A7" w:rsidRDefault="00D869A7" w:rsidP="00745955">
            <w:pPr>
              <w:spacing w:after="120"/>
              <w:rPr>
                <w:sz w:val="22"/>
                <w:szCs w:val="22"/>
              </w:rPr>
            </w:pPr>
            <w:r w:rsidRPr="00D869A7">
              <w:rPr>
                <w:rFonts w:eastAsia="Times New Roman" w:cs="Times New Roman"/>
                <w:kern w:val="0"/>
                <w:sz w:val="22"/>
                <w:szCs w:val="22"/>
                <w:lang w:eastAsia="en-AU" w:bidi="ar-SA"/>
                <w14:ligatures w14:val="none"/>
              </w:rPr>
              <w:t>Helps consolidate and align fragmented actors and efforts.</w:t>
            </w:r>
          </w:p>
        </w:tc>
        <w:tc>
          <w:tcPr>
            <w:tcW w:w="3731" w:type="dxa"/>
          </w:tcPr>
          <w:p w14:paraId="542B1579" w14:textId="77777777" w:rsidR="00653FD1" w:rsidRDefault="00D869A7" w:rsidP="00FF6156">
            <w:pPr>
              <w:numPr>
                <w:ilvl w:val="0"/>
                <w:numId w:val="7"/>
              </w:numPr>
              <w:spacing w:after="120"/>
              <w:ind w:left="169" w:hanging="191"/>
              <w:rPr>
                <w:rFonts w:eastAsia="Times New Roman" w:cs="Times New Roman"/>
                <w:kern w:val="0"/>
                <w:sz w:val="22"/>
                <w:szCs w:val="22"/>
                <w:lang w:eastAsia="en-AU"/>
                <w14:ligatures w14:val="none"/>
              </w:rPr>
            </w:pPr>
            <w:r w:rsidRPr="00D869A7">
              <w:rPr>
                <w:rFonts w:eastAsia="Times New Roman" w:cs="Times New Roman"/>
                <w:kern w:val="0"/>
                <w:sz w:val="22"/>
                <w:szCs w:val="22"/>
                <w:lang w:eastAsia="en-AU" w:bidi="ar-SA"/>
                <w14:ligatures w14:val="none"/>
              </w:rPr>
              <w:t>Mapping stakeholders</w:t>
            </w:r>
          </w:p>
          <w:p w14:paraId="59F14B83" w14:textId="67F24417" w:rsidR="00D869A7" w:rsidRPr="00D869A7" w:rsidRDefault="00D869A7" w:rsidP="00FF6156">
            <w:pPr>
              <w:numPr>
                <w:ilvl w:val="0"/>
                <w:numId w:val="7"/>
              </w:numPr>
              <w:spacing w:after="120"/>
              <w:ind w:left="169" w:hanging="191"/>
              <w:rPr>
                <w:rFonts w:eastAsia="Times New Roman" w:cs="Times New Roman"/>
                <w:kern w:val="0"/>
                <w:sz w:val="22"/>
                <w:szCs w:val="22"/>
                <w:lang w:eastAsia="en-AU"/>
                <w14:ligatures w14:val="none"/>
              </w:rPr>
            </w:pPr>
            <w:r w:rsidRPr="00D869A7">
              <w:rPr>
                <w:rFonts w:eastAsia="Times New Roman" w:cs="Times New Roman"/>
                <w:kern w:val="0"/>
                <w:sz w:val="22"/>
                <w:szCs w:val="22"/>
                <w:lang w:eastAsia="en-AU" w:bidi="ar-SA"/>
                <w14:ligatures w14:val="none"/>
              </w:rPr>
              <w:t>Mapping systems</w:t>
            </w:r>
          </w:p>
          <w:p w14:paraId="18EAC871" w14:textId="77777777" w:rsidR="00D869A7" w:rsidRPr="00D869A7" w:rsidRDefault="00D869A7" w:rsidP="00FF6156">
            <w:pPr>
              <w:numPr>
                <w:ilvl w:val="0"/>
                <w:numId w:val="7"/>
              </w:numPr>
              <w:spacing w:after="120"/>
              <w:ind w:left="169" w:hanging="191"/>
              <w:rPr>
                <w:rFonts w:eastAsia="Times New Roman" w:cs="Times New Roman"/>
                <w:kern w:val="0"/>
                <w:sz w:val="22"/>
                <w:szCs w:val="22"/>
                <w:lang w:eastAsia="en-AU"/>
                <w14:ligatures w14:val="none"/>
              </w:rPr>
            </w:pPr>
            <w:r w:rsidRPr="00D869A7">
              <w:rPr>
                <w:rFonts w:eastAsia="Times New Roman" w:cs="Times New Roman"/>
                <w:kern w:val="0"/>
                <w:sz w:val="22"/>
                <w:szCs w:val="22"/>
                <w:lang w:eastAsia="en-AU" w:bidi="ar-SA"/>
                <w14:ligatures w14:val="none"/>
              </w:rPr>
              <w:t>Cross-sector collaboration</w:t>
            </w:r>
          </w:p>
          <w:p w14:paraId="02186774" w14:textId="77777777" w:rsidR="00D869A7" w:rsidRPr="00D869A7" w:rsidRDefault="00D869A7" w:rsidP="00FF6156">
            <w:pPr>
              <w:numPr>
                <w:ilvl w:val="0"/>
                <w:numId w:val="7"/>
              </w:numPr>
              <w:spacing w:after="120"/>
              <w:ind w:left="169" w:hanging="191"/>
              <w:rPr>
                <w:rFonts w:eastAsia="Times New Roman" w:cs="Times New Roman"/>
                <w:kern w:val="0"/>
                <w:sz w:val="22"/>
                <w:szCs w:val="22"/>
                <w:lang w:eastAsia="en-AU"/>
                <w14:ligatures w14:val="none"/>
              </w:rPr>
            </w:pPr>
            <w:r w:rsidRPr="00D869A7">
              <w:rPr>
                <w:rFonts w:eastAsia="Times New Roman" w:cs="Times New Roman"/>
                <w:kern w:val="0"/>
                <w:sz w:val="22"/>
                <w:szCs w:val="22"/>
                <w:lang w:eastAsia="en-AU" w:bidi="ar-SA"/>
                <w14:ligatures w14:val="none"/>
              </w:rPr>
              <w:t>Facilitating feedback and learning</w:t>
            </w:r>
          </w:p>
          <w:p w14:paraId="7D457CCB" w14:textId="77777777" w:rsidR="00D869A7" w:rsidRPr="00D869A7" w:rsidRDefault="00D869A7" w:rsidP="00FF6156">
            <w:pPr>
              <w:numPr>
                <w:ilvl w:val="0"/>
                <w:numId w:val="7"/>
              </w:numPr>
              <w:spacing w:after="120"/>
              <w:ind w:left="169" w:hanging="191"/>
              <w:rPr>
                <w:rFonts w:eastAsia="Times New Roman" w:cs="Times New Roman"/>
                <w:kern w:val="0"/>
                <w:sz w:val="22"/>
                <w:szCs w:val="22"/>
                <w:lang w:eastAsia="en-AU" w:bidi="ar-SA"/>
                <w14:ligatures w14:val="none"/>
              </w:rPr>
            </w:pPr>
            <w:r w:rsidRPr="00D869A7">
              <w:rPr>
                <w:rFonts w:eastAsia="Times New Roman" w:cs="Times New Roman"/>
                <w:kern w:val="0"/>
                <w:sz w:val="22"/>
                <w:szCs w:val="22"/>
                <w:lang w:eastAsia="en-AU" w:bidi="ar-SA"/>
                <w14:ligatures w14:val="none"/>
              </w:rPr>
              <w:t xml:space="preserve"> Promoting evidence-informed decision-making</w:t>
            </w:r>
          </w:p>
        </w:tc>
        <w:tc>
          <w:tcPr>
            <w:tcW w:w="3732" w:type="dxa"/>
          </w:tcPr>
          <w:p w14:paraId="6DD165AA" w14:textId="77777777" w:rsidR="00D869A7" w:rsidRPr="00D869A7" w:rsidRDefault="00D869A7" w:rsidP="00745955">
            <w:pPr>
              <w:spacing w:after="120"/>
              <w:rPr>
                <w:rFonts w:eastAsia="Times New Roman" w:cs="Times New Roman"/>
                <w:kern w:val="0"/>
                <w:sz w:val="22"/>
                <w:szCs w:val="22"/>
                <w:lang w:eastAsia="en-AU"/>
                <w14:ligatures w14:val="none"/>
              </w:rPr>
            </w:pPr>
            <w:r w:rsidRPr="00D869A7">
              <w:rPr>
                <w:rFonts w:eastAsia="Times New Roman" w:cs="Times New Roman"/>
                <w:kern w:val="0"/>
                <w:sz w:val="22"/>
                <w:szCs w:val="22"/>
                <w:lang w:eastAsia="en-AU" w:bidi="ar-SA"/>
                <w14:ligatures w14:val="none"/>
              </w:rPr>
              <w:t xml:space="preserve">Provides a permanent coordination body that engages across sectors and levels, enabling systematic mapping, convening, and feedback loops. </w:t>
            </w:r>
          </w:p>
          <w:p w14:paraId="15362D83" w14:textId="77777777" w:rsidR="00D869A7" w:rsidRPr="00D869A7" w:rsidRDefault="00D869A7" w:rsidP="00745955">
            <w:pPr>
              <w:spacing w:after="120"/>
              <w:rPr>
                <w:sz w:val="22"/>
                <w:szCs w:val="22"/>
              </w:rPr>
            </w:pPr>
            <w:r w:rsidRPr="00D869A7">
              <w:rPr>
                <w:rFonts w:eastAsia="Times New Roman" w:cs="Times New Roman"/>
                <w:kern w:val="0"/>
                <w:sz w:val="22"/>
                <w:szCs w:val="22"/>
                <w:lang w:eastAsia="en-AU" w:bidi="ar-SA"/>
                <w14:ligatures w14:val="none"/>
              </w:rPr>
              <w:t>Supports the strategic use of evidence in policymaking.</w:t>
            </w:r>
          </w:p>
        </w:tc>
      </w:tr>
      <w:tr w:rsidR="00D869A7" w:rsidRPr="00D869A7" w14:paraId="54860DA4" w14:textId="77777777" w:rsidTr="00745955">
        <w:tc>
          <w:tcPr>
            <w:tcW w:w="2789" w:type="dxa"/>
            <w:shd w:val="clear" w:color="auto" w:fill="DAE9F7" w:themeFill="text2" w:themeFillTint="1A"/>
          </w:tcPr>
          <w:p w14:paraId="7BFAD62C" w14:textId="77777777" w:rsidR="00D869A7" w:rsidRPr="00D869A7" w:rsidRDefault="00D869A7" w:rsidP="00D869A7">
            <w:pPr>
              <w:rPr>
                <w:sz w:val="22"/>
                <w:szCs w:val="22"/>
              </w:rPr>
            </w:pPr>
            <w:r w:rsidRPr="00D869A7">
              <w:rPr>
                <w:rFonts w:eastAsia="Times New Roman" w:cs="Times New Roman"/>
                <w:b/>
                <w:bCs/>
                <w:kern w:val="0"/>
                <w:sz w:val="22"/>
                <w:szCs w:val="22"/>
                <w:lang w:eastAsia="en-AU" w:bidi="ar-SA"/>
                <w14:ligatures w14:val="none"/>
              </w:rPr>
              <w:t>2. Support to Evidence Intermediaries</w:t>
            </w:r>
          </w:p>
        </w:tc>
        <w:tc>
          <w:tcPr>
            <w:tcW w:w="3731" w:type="dxa"/>
          </w:tcPr>
          <w:p w14:paraId="60F75330" w14:textId="77777777" w:rsidR="00D869A7" w:rsidRPr="00D869A7" w:rsidRDefault="00D869A7" w:rsidP="00745955">
            <w:pPr>
              <w:spacing w:after="120"/>
              <w:rPr>
                <w:rFonts w:eastAsia="Times New Roman" w:cs="Times New Roman"/>
                <w:kern w:val="0"/>
                <w:sz w:val="22"/>
                <w:szCs w:val="22"/>
                <w:lang w:eastAsia="en-AU"/>
                <w14:ligatures w14:val="none"/>
              </w:rPr>
            </w:pPr>
            <w:r w:rsidRPr="00D869A7">
              <w:rPr>
                <w:rFonts w:eastAsia="Times New Roman" w:cs="Times New Roman"/>
                <w:b/>
                <w:bCs/>
                <w:kern w:val="0"/>
                <w:sz w:val="22"/>
                <w:szCs w:val="22"/>
                <w:lang w:eastAsia="en-AU" w:bidi="ar-SA"/>
                <w14:ligatures w14:val="none"/>
              </w:rPr>
              <w:t>Resources:</w:t>
            </w:r>
            <w:r w:rsidRPr="00D869A7">
              <w:rPr>
                <w:rFonts w:eastAsia="Times New Roman" w:cs="Times New Roman"/>
                <w:kern w:val="0"/>
                <w:sz w:val="22"/>
                <w:szCs w:val="22"/>
                <w:lang w:eastAsia="en-AU" w:bidi="ar-SA"/>
                <w14:ligatures w14:val="none"/>
              </w:rPr>
              <w:t xml:space="preserve"> Limited support for inclusive engagement, underinvestment in capacity</w:t>
            </w:r>
          </w:p>
          <w:p w14:paraId="0B3F465C" w14:textId="77777777" w:rsidR="00D869A7" w:rsidRPr="00D869A7" w:rsidRDefault="00D869A7" w:rsidP="00745955">
            <w:pPr>
              <w:spacing w:after="120"/>
              <w:rPr>
                <w:rFonts w:eastAsia="Times New Roman" w:cs="Times New Roman"/>
                <w:kern w:val="0"/>
                <w:sz w:val="22"/>
                <w:szCs w:val="22"/>
                <w:lang w:eastAsia="en-AU"/>
                <w14:ligatures w14:val="none"/>
              </w:rPr>
            </w:pPr>
            <w:r w:rsidRPr="00D869A7">
              <w:rPr>
                <w:rFonts w:eastAsia="Times New Roman" w:cs="Times New Roman"/>
                <w:b/>
                <w:bCs/>
                <w:kern w:val="0"/>
                <w:sz w:val="22"/>
                <w:szCs w:val="22"/>
                <w:lang w:eastAsia="en-AU" w:bidi="ar-SA"/>
                <w14:ligatures w14:val="none"/>
              </w:rPr>
              <w:t>Processes:</w:t>
            </w:r>
            <w:r w:rsidRPr="00D869A7">
              <w:rPr>
                <w:rFonts w:eastAsia="Times New Roman" w:cs="Times New Roman"/>
                <w:kern w:val="0"/>
                <w:sz w:val="22"/>
                <w:szCs w:val="22"/>
                <w:lang w:eastAsia="en-AU" w:bidi="ar-SA"/>
                <w14:ligatures w14:val="none"/>
              </w:rPr>
              <w:t xml:space="preserve"> Limited innovation in uptake</w:t>
            </w:r>
          </w:p>
          <w:p w14:paraId="157AFCCF" w14:textId="77777777" w:rsidR="00D869A7" w:rsidRPr="00D869A7" w:rsidRDefault="00D869A7" w:rsidP="00745955">
            <w:pPr>
              <w:spacing w:after="120"/>
              <w:rPr>
                <w:rFonts w:eastAsia="Times New Roman" w:cs="Times New Roman"/>
                <w:kern w:val="0"/>
                <w:sz w:val="22"/>
                <w:szCs w:val="22"/>
                <w:lang w:eastAsia="en-AU"/>
                <w14:ligatures w14:val="none"/>
              </w:rPr>
            </w:pPr>
            <w:r w:rsidRPr="00D869A7">
              <w:rPr>
                <w:rFonts w:eastAsia="Times New Roman" w:cs="Times New Roman"/>
                <w:b/>
                <w:bCs/>
                <w:kern w:val="0"/>
                <w:sz w:val="22"/>
                <w:szCs w:val="22"/>
                <w:lang w:eastAsia="en-AU" w:bidi="ar-SA"/>
                <w14:ligatures w14:val="none"/>
              </w:rPr>
              <w:t>Technology:</w:t>
            </w:r>
            <w:r w:rsidRPr="00D869A7">
              <w:rPr>
                <w:rFonts w:eastAsia="Times New Roman" w:cs="Times New Roman"/>
                <w:kern w:val="0"/>
                <w:sz w:val="22"/>
                <w:szCs w:val="22"/>
                <w:lang w:eastAsia="en-AU" w:bidi="ar-SA"/>
                <w14:ligatures w14:val="none"/>
              </w:rPr>
              <w:t xml:space="preserve"> Accessibility issues, digital exclusion</w:t>
            </w:r>
          </w:p>
          <w:p w14:paraId="2A414C52" w14:textId="77777777" w:rsidR="00D869A7" w:rsidRPr="00D869A7" w:rsidRDefault="00D869A7" w:rsidP="00745955">
            <w:pPr>
              <w:spacing w:after="120"/>
              <w:rPr>
                <w:sz w:val="22"/>
                <w:szCs w:val="22"/>
              </w:rPr>
            </w:pPr>
            <w:r w:rsidRPr="00D869A7">
              <w:rPr>
                <w:rFonts w:eastAsia="Times New Roman" w:cs="Times New Roman"/>
                <w:b/>
                <w:bCs/>
                <w:kern w:val="0"/>
                <w:sz w:val="22"/>
                <w:szCs w:val="22"/>
                <w:lang w:eastAsia="en-AU" w:bidi="ar-SA"/>
                <w14:ligatures w14:val="none"/>
              </w:rPr>
              <w:t>Platforms:</w:t>
            </w:r>
            <w:r w:rsidRPr="00D869A7">
              <w:rPr>
                <w:rFonts w:eastAsia="Times New Roman" w:cs="Times New Roman"/>
                <w:kern w:val="0"/>
                <w:sz w:val="22"/>
                <w:szCs w:val="22"/>
                <w:lang w:eastAsia="en-AU" w:bidi="ar-SA"/>
                <w14:ligatures w14:val="none"/>
              </w:rPr>
              <w:t xml:space="preserve"> Limited engagement mechanisms</w:t>
            </w:r>
          </w:p>
        </w:tc>
        <w:tc>
          <w:tcPr>
            <w:tcW w:w="3731" w:type="dxa"/>
          </w:tcPr>
          <w:p w14:paraId="2619A555" w14:textId="77777777" w:rsidR="00D869A7" w:rsidRPr="00D869A7" w:rsidRDefault="00D869A7" w:rsidP="00745955">
            <w:pPr>
              <w:spacing w:after="120"/>
              <w:rPr>
                <w:rFonts w:eastAsia="Times New Roman" w:cs="Times New Roman"/>
                <w:kern w:val="0"/>
                <w:sz w:val="22"/>
                <w:szCs w:val="22"/>
                <w:lang w:eastAsia="en-AU"/>
                <w14:ligatures w14:val="none"/>
              </w:rPr>
            </w:pPr>
            <w:r w:rsidRPr="00D869A7">
              <w:rPr>
                <w:rFonts w:eastAsia="Times New Roman" w:cs="Times New Roman"/>
                <w:kern w:val="0"/>
                <w:sz w:val="22"/>
                <w:szCs w:val="22"/>
                <w:lang w:eastAsia="en-AU" w:bidi="ar-SA"/>
                <w14:ligatures w14:val="none"/>
              </w:rPr>
              <w:t xml:space="preserve">Builds capacity of intermediaries who broker evidence for end-users, increasing reach, accessibility, and contextual relevance. </w:t>
            </w:r>
          </w:p>
          <w:p w14:paraId="40E8628E" w14:textId="77777777" w:rsidR="00D869A7" w:rsidRPr="00D869A7" w:rsidRDefault="00D869A7" w:rsidP="00745955">
            <w:pPr>
              <w:spacing w:after="120"/>
              <w:rPr>
                <w:sz w:val="22"/>
                <w:szCs w:val="22"/>
              </w:rPr>
            </w:pPr>
            <w:r w:rsidRPr="00D869A7">
              <w:rPr>
                <w:rFonts w:eastAsia="Times New Roman" w:cs="Times New Roman"/>
                <w:kern w:val="0"/>
                <w:sz w:val="22"/>
                <w:szCs w:val="22"/>
                <w:lang w:eastAsia="en-AU" w:bidi="ar-SA"/>
                <w14:ligatures w14:val="none"/>
              </w:rPr>
              <w:t>Supports tailored communication and translation.</w:t>
            </w:r>
          </w:p>
        </w:tc>
        <w:tc>
          <w:tcPr>
            <w:tcW w:w="3731" w:type="dxa"/>
          </w:tcPr>
          <w:p w14:paraId="2E19AFAA" w14:textId="77777777" w:rsidR="00D869A7" w:rsidRPr="00D869A7" w:rsidRDefault="00D869A7" w:rsidP="00FF6156">
            <w:pPr>
              <w:numPr>
                <w:ilvl w:val="0"/>
                <w:numId w:val="7"/>
              </w:numPr>
              <w:spacing w:after="120"/>
              <w:ind w:left="169" w:hanging="191"/>
              <w:rPr>
                <w:rFonts w:eastAsia="Times New Roman" w:cs="Times New Roman"/>
                <w:kern w:val="0"/>
                <w:sz w:val="22"/>
                <w:szCs w:val="22"/>
                <w:lang w:eastAsia="en-AU"/>
                <w14:ligatures w14:val="none"/>
              </w:rPr>
            </w:pPr>
            <w:r w:rsidRPr="00D869A7">
              <w:rPr>
                <w:rFonts w:eastAsia="Times New Roman" w:cs="Times New Roman"/>
                <w:kern w:val="0"/>
                <w:sz w:val="22"/>
                <w:szCs w:val="22"/>
                <w:lang w:eastAsia="en-AU" w:bidi="ar-SA"/>
                <w14:ligatures w14:val="none"/>
              </w:rPr>
              <w:t>Accessing and interpreting evidence</w:t>
            </w:r>
          </w:p>
          <w:p w14:paraId="2A74CA93" w14:textId="77777777" w:rsidR="00D869A7" w:rsidRPr="00D869A7" w:rsidRDefault="00D869A7" w:rsidP="00FF6156">
            <w:pPr>
              <w:numPr>
                <w:ilvl w:val="0"/>
                <w:numId w:val="7"/>
              </w:numPr>
              <w:spacing w:after="120"/>
              <w:ind w:left="169" w:hanging="191"/>
              <w:rPr>
                <w:rFonts w:eastAsia="Times New Roman" w:cs="Times New Roman"/>
                <w:kern w:val="0"/>
                <w:sz w:val="22"/>
                <w:szCs w:val="22"/>
                <w:lang w:eastAsia="en-AU"/>
                <w14:ligatures w14:val="none"/>
              </w:rPr>
            </w:pPr>
            <w:r w:rsidRPr="00D869A7">
              <w:rPr>
                <w:rFonts w:eastAsia="Times New Roman" w:cs="Times New Roman"/>
                <w:kern w:val="0"/>
                <w:sz w:val="22"/>
                <w:szCs w:val="22"/>
                <w:lang w:eastAsia="en-AU" w:bidi="ar-SA"/>
                <w14:ligatures w14:val="none"/>
              </w:rPr>
              <w:t>Sharing and promoting evidence use</w:t>
            </w:r>
          </w:p>
          <w:p w14:paraId="5D8C3D9F" w14:textId="77777777" w:rsidR="00D869A7" w:rsidRPr="00D869A7" w:rsidRDefault="00D869A7" w:rsidP="00FF6156">
            <w:pPr>
              <w:numPr>
                <w:ilvl w:val="0"/>
                <w:numId w:val="7"/>
              </w:numPr>
              <w:spacing w:after="120"/>
              <w:ind w:left="169" w:hanging="191"/>
              <w:rPr>
                <w:rFonts w:eastAsia="Times New Roman" w:cs="Times New Roman"/>
                <w:kern w:val="0"/>
                <w:sz w:val="22"/>
                <w:szCs w:val="22"/>
                <w:lang w:eastAsia="en-AU"/>
                <w14:ligatures w14:val="none"/>
              </w:rPr>
            </w:pPr>
            <w:r w:rsidRPr="00D869A7">
              <w:rPr>
                <w:rFonts w:eastAsia="Times New Roman" w:cs="Times New Roman"/>
                <w:kern w:val="0"/>
                <w:sz w:val="22"/>
                <w:szCs w:val="22"/>
                <w:lang w:eastAsia="en-AU" w:bidi="ar-SA"/>
                <w14:ligatures w14:val="none"/>
              </w:rPr>
              <w:t>Engaging stakeholders- Effective collaboration</w:t>
            </w:r>
          </w:p>
          <w:p w14:paraId="6824DCE5" w14:textId="77777777" w:rsidR="00D869A7" w:rsidRPr="00D869A7" w:rsidRDefault="00D869A7" w:rsidP="00FF6156">
            <w:pPr>
              <w:numPr>
                <w:ilvl w:val="0"/>
                <w:numId w:val="7"/>
              </w:numPr>
              <w:spacing w:after="120"/>
              <w:ind w:left="169" w:hanging="191"/>
              <w:rPr>
                <w:rFonts w:eastAsia="Times New Roman" w:cs="Times New Roman"/>
                <w:kern w:val="0"/>
                <w:sz w:val="22"/>
                <w:szCs w:val="22"/>
                <w:lang w:eastAsia="en-AU" w:bidi="ar-SA"/>
                <w14:ligatures w14:val="none"/>
              </w:rPr>
            </w:pPr>
            <w:r w:rsidRPr="00D869A7">
              <w:rPr>
                <w:rFonts w:eastAsia="Times New Roman" w:cs="Times New Roman"/>
                <w:kern w:val="0"/>
                <w:sz w:val="22"/>
                <w:szCs w:val="22"/>
                <w:lang w:eastAsia="en-AU" w:bidi="ar-SA"/>
                <w14:ligatures w14:val="none"/>
              </w:rPr>
              <w:t>Promoting decision-making</w:t>
            </w:r>
          </w:p>
        </w:tc>
        <w:tc>
          <w:tcPr>
            <w:tcW w:w="3732" w:type="dxa"/>
          </w:tcPr>
          <w:p w14:paraId="693B18C0" w14:textId="77777777" w:rsidR="00D869A7" w:rsidRPr="00D869A7" w:rsidRDefault="00D869A7" w:rsidP="00745955">
            <w:pPr>
              <w:spacing w:after="120"/>
              <w:rPr>
                <w:rFonts w:eastAsia="Times New Roman" w:cs="Times New Roman"/>
                <w:kern w:val="0"/>
                <w:sz w:val="22"/>
                <w:szCs w:val="22"/>
                <w:lang w:eastAsia="en-AU"/>
                <w14:ligatures w14:val="none"/>
              </w:rPr>
            </w:pPr>
            <w:r w:rsidRPr="00D869A7">
              <w:rPr>
                <w:rFonts w:eastAsia="Times New Roman" w:cs="Times New Roman"/>
                <w:kern w:val="0"/>
                <w:sz w:val="22"/>
                <w:szCs w:val="22"/>
                <w:lang w:eastAsia="en-AU" w:bidi="ar-SA"/>
                <w14:ligatures w14:val="none"/>
              </w:rPr>
              <w:t xml:space="preserve">Strengthens intermediaries' ability to support end-users with synthesised evidence, contextual translation, and knowledge mobilisation. </w:t>
            </w:r>
          </w:p>
          <w:p w14:paraId="1B317C9B" w14:textId="77777777" w:rsidR="00D869A7" w:rsidRPr="00D869A7" w:rsidRDefault="00D869A7" w:rsidP="00745955">
            <w:pPr>
              <w:spacing w:after="120"/>
              <w:rPr>
                <w:sz w:val="22"/>
                <w:szCs w:val="22"/>
              </w:rPr>
            </w:pPr>
            <w:r w:rsidRPr="00D869A7">
              <w:rPr>
                <w:rFonts w:eastAsia="Times New Roman" w:cs="Times New Roman"/>
                <w:kern w:val="0"/>
                <w:sz w:val="22"/>
                <w:szCs w:val="22"/>
                <w:lang w:eastAsia="en-AU" w:bidi="ar-SA"/>
                <w14:ligatures w14:val="none"/>
              </w:rPr>
              <w:t>Helps connect producers and users.</w:t>
            </w:r>
          </w:p>
        </w:tc>
      </w:tr>
      <w:tr w:rsidR="00D869A7" w:rsidRPr="00D869A7" w14:paraId="6A18D100" w14:textId="77777777" w:rsidTr="00745955">
        <w:tc>
          <w:tcPr>
            <w:tcW w:w="2789" w:type="dxa"/>
            <w:shd w:val="clear" w:color="auto" w:fill="DAE9F7" w:themeFill="text2" w:themeFillTint="1A"/>
          </w:tcPr>
          <w:p w14:paraId="35C6236C" w14:textId="77777777" w:rsidR="00D869A7" w:rsidRPr="00D869A7" w:rsidRDefault="00D869A7" w:rsidP="00D869A7">
            <w:pPr>
              <w:rPr>
                <w:sz w:val="22"/>
                <w:szCs w:val="22"/>
              </w:rPr>
            </w:pPr>
            <w:r w:rsidRPr="00D869A7">
              <w:rPr>
                <w:rFonts w:eastAsia="Times New Roman" w:cs="Times New Roman"/>
                <w:b/>
                <w:bCs/>
                <w:kern w:val="0"/>
                <w:sz w:val="22"/>
                <w:szCs w:val="22"/>
                <w:lang w:eastAsia="en-AU" w:bidi="ar-SA"/>
                <w14:ligatures w14:val="none"/>
              </w:rPr>
              <w:t>3. Co-Design Labs</w:t>
            </w:r>
          </w:p>
        </w:tc>
        <w:tc>
          <w:tcPr>
            <w:tcW w:w="3731" w:type="dxa"/>
          </w:tcPr>
          <w:p w14:paraId="0D49ADB8" w14:textId="77777777" w:rsidR="00D869A7" w:rsidRPr="00D869A7" w:rsidRDefault="00D869A7" w:rsidP="00745955">
            <w:pPr>
              <w:spacing w:after="120"/>
              <w:rPr>
                <w:rFonts w:eastAsia="Times New Roman" w:cs="Times New Roman"/>
                <w:kern w:val="0"/>
                <w:sz w:val="22"/>
                <w:szCs w:val="22"/>
                <w:lang w:eastAsia="en-AU"/>
                <w14:ligatures w14:val="none"/>
              </w:rPr>
            </w:pPr>
            <w:r w:rsidRPr="00D869A7">
              <w:rPr>
                <w:rFonts w:eastAsia="Times New Roman" w:cs="Times New Roman"/>
                <w:b/>
                <w:bCs/>
                <w:kern w:val="0"/>
                <w:sz w:val="22"/>
                <w:szCs w:val="22"/>
                <w:lang w:eastAsia="en-AU" w:bidi="ar-SA"/>
                <w14:ligatures w14:val="none"/>
              </w:rPr>
              <w:t>Processes:</w:t>
            </w:r>
            <w:r w:rsidRPr="00D869A7">
              <w:rPr>
                <w:rFonts w:eastAsia="Times New Roman" w:cs="Times New Roman"/>
                <w:kern w:val="0"/>
                <w:sz w:val="22"/>
                <w:szCs w:val="22"/>
                <w:lang w:eastAsia="en-AU" w:bidi="ar-SA"/>
                <w14:ligatures w14:val="none"/>
              </w:rPr>
              <w:t xml:space="preserve"> Lack of participatory mechanisms, weak infrastructure</w:t>
            </w:r>
          </w:p>
          <w:p w14:paraId="5E9A2A42" w14:textId="77777777" w:rsidR="00D869A7" w:rsidRPr="00D869A7" w:rsidRDefault="00D869A7" w:rsidP="00745955">
            <w:pPr>
              <w:spacing w:after="120"/>
              <w:rPr>
                <w:rFonts w:eastAsia="Times New Roman" w:cs="Times New Roman"/>
                <w:kern w:val="0"/>
                <w:sz w:val="22"/>
                <w:szCs w:val="22"/>
                <w:lang w:eastAsia="en-AU"/>
                <w14:ligatures w14:val="none"/>
              </w:rPr>
            </w:pPr>
            <w:r w:rsidRPr="00D869A7">
              <w:rPr>
                <w:rFonts w:eastAsia="Times New Roman" w:cs="Times New Roman"/>
                <w:b/>
                <w:bCs/>
                <w:kern w:val="0"/>
                <w:sz w:val="22"/>
                <w:szCs w:val="22"/>
                <w:lang w:eastAsia="en-AU" w:bidi="ar-SA"/>
                <w14:ligatures w14:val="none"/>
              </w:rPr>
              <w:t>Resources:</w:t>
            </w:r>
            <w:r w:rsidRPr="00D869A7">
              <w:rPr>
                <w:rFonts w:eastAsia="Times New Roman" w:cs="Times New Roman"/>
                <w:kern w:val="0"/>
                <w:sz w:val="22"/>
                <w:szCs w:val="22"/>
                <w:lang w:eastAsia="en-AU" w:bidi="ar-SA"/>
                <w14:ligatures w14:val="none"/>
              </w:rPr>
              <w:t xml:space="preserve"> Neglect of marginalised voices</w:t>
            </w:r>
          </w:p>
          <w:p w14:paraId="5B540B94" w14:textId="77777777" w:rsidR="00D869A7" w:rsidRPr="00D869A7" w:rsidRDefault="00D869A7" w:rsidP="00745955">
            <w:pPr>
              <w:spacing w:after="120"/>
              <w:rPr>
                <w:rFonts w:eastAsia="Times New Roman" w:cs="Times New Roman"/>
                <w:kern w:val="0"/>
                <w:sz w:val="22"/>
                <w:szCs w:val="22"/>
                <w:lang w:eastAsia="en-AU"/>
                <w14:ligatures w14:val="none"/>
              </w:rPr>
            </w:pPr>
            <w:r w:rsidRPr="00D869A7">
              <w:rPr>
                <w:rFonts w:eastAsia="Times New Roman" w:cs="Times New Roman"/>
                <w:b/>
                <w:bCs/>
                <w:kern w:val="0"/>
                <w:sz w:val="22"/>
                <w:szCs w:val="22"/>
                <w:lang w:eastAsia="en-AU" w:bidi="ar-SA"/>
                <w14:ligatures w14:val="none"/>
              </w:rPr>
              <w:t>Data:</w:t>
            </w:r>
            <w:r w:rsidRPr="00D869A7">
              <w:rPr>
                <w:rFonts w:eastAsia="Times New Roman" w:cs="Times New Roman"/>
                <w:kern w:val="0"/>
                <w:sz w:val="22"/>
                <w:szCs w:val="22"/>
                <w:lang w:eastAsia="en-AU" w:bidi="ar-SA"/>
                <w14:ligatures w14:val="none"/>
              </w:rPr>
              <w:t xml:space="preserve"> Lack of standard approaches for question formulation</w:t>
            </w:r>
          </w:p>
          <w:p w14:paraId="424D124B" w14:textId="77777777" w:rsidR="00D869A7" w:rsidRPr="00D869A7" w:rsidRDefault="00D869A7" w:rsidP="00745955">
            <w:pPr>
              <w:spacing w:after="120"/>
              <w:rPr>
                <w:sz w:val="22"/>
                <w:szCs w:val="22"/>
              </w:rPr>
            </w:pPr>
            <w:r w:rsidRPr="00D869A7">
              <w:rPr>
                <w:rFonts w:eastAsia="Times New Roman" w:cs="Times New Roman"/>
                <w:b/>
                <w:bCs/>
                <w:kern w:val="0"/>
                <w:sz w:val="22"/>
                <w:szCs w:val="22"/>
                <w:lang w:eastAsia="en-AU" w:bidi="ar-SA"/>
                <w14:ligatures w14:val="none"/>
              </w:rPr>
              <w:t>Systems:</w:t>
            </w:r>
            <w:r w:rsidRPr="00D869A7">
              <w:rPr>
                <w:rFonts w:eastAsia="Times New Roman" w:cs="Times New Roman"/>
                <w:kern w:val="0"/>
                <w:sz w:val="22"/>
                <w:szCs w:val="22"/>
                <w:lang w:eastAsia="en-AU" w:bidi="ar-SA"/>
                <w14:ligatures w14:val="none"/>
              </w:rPr>
              <w:t xml:space="preserve"> Complexity of transdisciplinary collaboration</w:t>
            </w:r>
          </w:p>
        </w:tc>
        <w:tc>
          <w:tcPr>
            <w:tcW w:w="3731" w:type="dxa"/>
          </w:tcPr>
          <w:p w14:paraId="21C3A5CF" w14:textId="77777777" w:rsidR="00D869A7" w:rsidRPr="00D869A7" w:rsidRDefault="00D869A7" w:rsidP="00745955">
            <w:pPr>
              <w:spacing w:after="120"/>
              <w:rPr>
                <w:rFonts w:eastAsia="Times New Roman" w:cs="Times New Roman"/>
                <w:kern w:val="0"/>
                <w:sz w:val="22"/>
                <w:szCs w:val="22"/>
                <w:lang w:eastAsia="en-AU"/>
                <w14:ligatures w14:val="none"/>
              </w:rPr>
            </w:pPr>
            <w:r w:rsidRPr="00D869A7">
              <w:rPr>
                <w:rFonts w:eastAsia="Times New Roman" w:cs="Times New Roman"/>
                <w:kern w:val="0"/>
                <w:sz w:val="22"/>
                <w:szCs w:val="22"/>
                <w:lang w:eastAsia="en-AU" w:bidi="ar-SA"/>
                <w14:ligatures w14:val="none"/>
              </w:rPr>
              <w:t xml:space="preserve">Provides inclusive, participatory platforms where diverse actors jointly define problems, co-create solutions, and generate demand-led questions. </w:t>
            </w:r>
          </w:p>
          <w:p w14:paraId="69BCB284" w14:textId="77777777" w:rsidR="00D869A7" w:rsidRPr="00D869A7" w:rsidRDefault="00D869A7" w:rsidP="00745955">
            <w:pPr>
              <w:spacing w:after="120"/>
              <w:rPr>
                <w:sz w:val="22"/>
                <w:szCs w:val="22"/>
              </w:rPr>
            </w:pPr>
            <w:r w:rsidRPr="00D869A7">
              <w:rPr>
                <w:rFonts w:eastAsia="Times New Roman" w:cs="Times New Roman"/>
                <w:kern w:val="0"/>
                <w:sz w:val="22"/>
                <w:szCs w:val="22"/>
                <w:lang w:eastAsia="en-AU" w:bidi="ar-SA"/>
                <w14:ligatures w14:val="none"/>
              </w:rPr>
              <w:t>Encourages innovation and local ownership.</w:t>
            </w:r>
          </w:p>
        </w:tc>
        <w:tc>
          <w:tcPr>
            <w:tcW w:w="3731" w:type="dxa"/>
          </w:tcPr>
          <w:p w14:paraId="07195443" w14:textId="77777777" w:rsidR="00D869A7" w:rsidRPr="00D869A7" w:rsidRDefault="00D869A7" w:rsidP="00FF6156">
            <w:pPr>
              <w:numPr>
                <w:ilvl w:val="0"/>
                <w:numId w:val="7"/>
              </w:numPr>
              <w:spacing w:after="120"/>
              <w:ind w:left="169" w:hanging="191"/>
              <w:rPr>
                <w:rFonts w:eastAsia="Times New Roman" w:cs="Times New Roman"/>
                <w:kern w:val="0"/>
                <w:sz w:val="22"/>
                <w:szCs w:val="22"/>
                <w:lang w:eastAsia="en-AU" w:bidi="ar-SA"/>
                <w14:ligatures w14:val="none"/>
              </w:rPr>
            </w:pPr>
            <w:r w:rsidRPr="00D869A7">
              <w:rPr>
                <w:rFonts w:eastAsia="Times New Roman" w:cs="Times New Roman"/>
                <w:kern w:val="0"/>
                <w:sz w:val="22"/>
                <w:szCs w:val="22"/>
                <w:lang w:eastAsia="en-AU" w:bidi="ar-SA"/>
                <w14:ligatures w14:val="none"/>
              </w:rPr>
              <w:t>Identifying and prioritising problems</w:t>
            </w:r>
          </w:p>
          <w:p w14:paraId="71C24DCD" w14:textId="77777777" w:rsidR="00D869A7" w:rsidRPr="00D869A7" w:rsidRDefault="00D869A7" w:rsidP="00FF6156">
            <w:pPr>
              <w:numPr>
                <w:ilvl w:val="0"/>
                <w:numId w:val="7"/>
              </w:numPr>
              <w:spacing w:after="120"/>
              <w:ind w:left="169" w:hanging="191"/>
              <w:rPr>
                <w:rFonts w:eastAsia="Times New Roman" w:cs="Times New Roman"/>
                <w:kern w:val="0"/>
                <w:sz w:val="22"/>
                <w:szCs w:val="22"/>
                <w:lang w:eastAsia="en-AU" w:bidi="ar-SA"/>
                <w14:ligatures w14:val="none"/>
              </w:rPr>
            </w:pPr>
            <w:r w:rsidRPr="00D869A7">
              <w:rPr>
                <w:rFonts w:eastAsia="Times New Roman" w:cs="Times New Roman"/>
                <w:kern w:val="0"/>
                <w:sz w:val="22"/>
                <w:szCs w:val="22"/>
                <w:lang w:eastAsia="en-AU" w:bidi="ar-SA"/>
                <w14:ligatures w14:val="none"/>
              </w:rPr>
              <w:t>Engaging stakeholders</w:t>
            </w:r>
          </w:p>
          <w:p w14:paraId="462FABE8" w14:textId="77777777" w:rsidR="00D869A7" w:rsidRPr="00D869A7" w:rsidRDefault="00D869A7" w:rsidP="00FF6156">
            <w:pPr>
              <w:numPr>
                <w:ilvl w:val="0"/>
                <w:numId w:val="7"/>
              </w:numPr>
              <w:spacing w:after="120"/>
              <w:ind w:left="169" w:hanging="191"/>
              <w:rPr>
                <w:rFonts w:eastAsia="Times New Roman" w:cs="Times New Roman"/>
                <w:kern w:val="0"/>
                <w:sz w:val="22"/>
                <w:szCs w:val="22"/>
                <w:lang w:eastAsia="en-AU"/>
                <w14:ligatures w14:val="none"/>
              </w:rPr>
            </w:pPr>
            <w:r w:rsidRPr="00D869A7">
              <w:rPr>
                <w:rFonts w:eastAsia="Times New Roman" w:cs="Times New Roman"/>
                <w:kern w:val="0"/>
                <w:sz w:val="22"/>
                <w:szCs w:val="22"/>
                <w:lang w:eastAsia="en-AU" w:bidi="ar-SA"/>
                <w14:ligatures w14:val="none"/>
              </w:rPr>
              <w:t>Effective collaboration</w:t>
            </w:r>
          </w:p>
          <w:p w14:paraId="2DE2B5A1" w14:textId="77777777" w:rsidR="00D869A7" w:rsidRPr="00D869A7" w:rsidRDefault="00D869A7" w:rsidP="00FF6156">
            <w:pPr>
              <w:numPr>
                <w:ilvl w:val="0"/>
                <w:numId w:val="7"/>
              </w:numPr>
              <w:spacing w:after="120"/>
              <w:ind w:left="169" w:hanging="191"/>
              <w:rPr>
                <w:rFonts w:eastAsia="Times New Roman" w:cs="Times New Roman"/>
                <w:kern w:val="0"/>
                <w:sz w:val="22"/>
                <w:szCs w:val="22"/>
                <w:lang w:eastAsia="en-AU" w:bidi="ar-SA"/>
                <w14:ligatures w14:val="none"/>
              </w:rPr>
            </w:pPr>
            <w:r w:rsidRPr="00D869A7">
              <w:rPr>
                <w:rFonts w:eastAsia="Times New Roman" w:cs="Times New Roman"/>
                <w:kern w:val="0"/>
                <w:sz w:val="22"/>
                <w:szCs w:val="22"/>
                <w:lang w:eastAsia="en-AU" w:bidi="ar-SA"/>
                <w14:ligatures w14:val="none"/>
              </w:rPr>
              <w:t>Facilitating feedback and learning</w:t>
            </w:r>
          </w:p>
        </w:tc>
        <w:tc>
          <w:tcPr>
            <w:tcW w:w="3732" w:type="dxa"/>
          </w:tcPr>
          <w:p w14:paraId="6D5EACDD" w14:textId="77777777" w:rsidR="00D869A7" w:rsidRPr="00D869A7" w:rsidRDefault="00D869A7" w:rsidP="00745955">
            <w:pPr>
              <w:spacing w:after="120"/>
              <w:rPr>
                <w:rFonts w:eastAsia="Times New Roman" w:cs="Times New Roman"/>
                <w:kern w:val="0"/>
                <w:sz w:val="22"/>
                <w:szCs w:val="22"/>
                <w:lang w:eastAsia="en-AU"/>
                <w14:ligatures w14:val="none"/>
              </w:rPr>
            </w:pPr>
            <w:r w:rsidRPr="00D869A7">
              <w:rPr>
                <w:rFonts w:eastAsia="Times New Roman" w:cs="Times New Roman"/>
                <w:kern w:val="0"/>
                <w:sz w:val="22"/>
                <w:szCs w:val="22"/>
                <w:lang w:eastAsia="en-AU" w:bidi="ar-SA"/>
                <w14:ligatures w14:val="none"/>
              </w:rPr>
              <w:t xml:space="preserve">Offers structured cycles of engagement with multiple touchpoints for collaboration, learning, and mutual accountability. </w:t>
            </w:r>
          </w:p>
          <w:p w14:paraId="641A9025" w14:textId="77777777" w:rsidR="00D869A7" w:rsidRPr="00D869A7" w:rsidRDefault="00D869A7" w:rsidP="00745955">
            <w:pPr>
              <w:spacing w:after="120"/>
              <w:rPr>
                <w:sz w:val="22"/>
                <w:szCs w:val="22"/>
              </w:rPr>
            </w:pPr>
            <w:r w:rsidRPr="00D869A7">
              <w:rPr>
                <w:rFonts w:eastAsia="Times New Roman" w:cs="Times New Roman"/>
                <w:kern w:val="0"/>
                <w:sz w:val="22"/>
                <w:szCs w:val="22"/>
                <w:lang w:eastAsia="en-AU" w:bidi="ar-SA"/>
                <w14:ligatures w14:val="none"/>
              </w:rPr>
              <w:t>Builds capability in setting agendas and co-producing knowledge.</w:t>
            </w:r>
          </w:p>
        </w:tc>
      </w:tr>
      <w:tr w:rsidR="00D869A7" w:rsidRPr="00D869A7" w14:paraId="5D28D244" w14:textId="77777777" w:rsidTr="00745955">
        <w:tc>
          <w:tcPr>
            <w:tcW w:w="2789" w:type="dxa"/>
            <w:shd w:val="clear" w:color="auto" w:fill="156082" w:themeFill="accent1"/>
            <w:vAlign w:val="center"/>
          </w:tcPr>
          <w:p w14:paraId="6B8E15F3" w14:textId="4B66A3B8" w:rsidR="00D869A7" w:rsidRPr="00D869A7" w:rsidRDefault="00D869A7" w:rsidP="00D869A7">
            <w:pPr>
              <w:rPr>
                <w:color w:val="FFFFFF" w:themeColor="background1"/>
                <w:sz w:val="22"/>
                <w:szCs w:val="22"/>
              </w:rPr>
            </w:pPr>
            <w:r w:rsidRPr="00D869A7">
              <w:rPr>
                <w:rFonts w:eastAsia="Times New Roman" w:cs="Times New Roman"/>
                <w:b/>
                <w:bCs/>
                <w:color w:val="FFFFFF" w:themeColor="background1"/>
                <w:kern w:val="0"/>
                <w:sz w:val="22"/>
                <w:szCs w:val="22"/>
                <w:lang w:eastAsia="en-AU" w:bidi="ar-SA"/>
                <w14:ligatures w14:val="none"/>
              </w:rPr>
              <w:lastRenderedPageBreak/>
              <w:t>WG1 Option</w:t>
            </w:r>
          </w:p>
        </w:tc>
        <w:tc>
          <w:tcPr>
            <w:tcW w:w="3731" w:type="dxa"/>
            <w:shd w:val="clear" w:color="auto" w:fill="156082" w:themeFill="accent1"/>
            <w:vAlign w:val="center"/>
          </w:tcPr>
          <w:p w14:paraId="44ECF108" w14:textId="77777777" w:rsidR="00D869A7" w:rsidRPr="00D869A7" w:rsidRDefault="00D869A7" w:rsidP="00D869A7">
            <w:pPr>
              <w:rPr>
                <w:color w:val="FFFFFF" w:themeColor="background1"/>
                <w:sz w:val="22"/>
                <w:szCs w:val="22"/>
              </w:rPr>
            </w:pPr>
            <w:r w:rsidRPr="00D869A7">
              <w:rPr>
                <w:rFonts w:eastAsia="Times New Roman" w:cs="Times New Roman"/>
                <w:b/>
                <w:bCs/>
                <w:color w:val="FFFFFF" w:themeColor="background1"/>
                <w:kern w:val="0"/>
                <w:sz w:val="22"/>
                <w:szCs w:val="22"/>
                <w:lang w:eastAsia="en-AU" w:bidi="ar-SA"/>
                <w14:ligatures w14:val="none"/>
              </w:rPr>
              <w:t>Stage 1 Gaps Addressed</w:t>
            </w:r>
          </w:p>
        </w:tc>
        <w:tc>
          <w:tcPr>
            <w:tcW w:w="3731" w:type="dxa"/>
            <w:shd w:val="clear" w:color="auto" w:fill="156082" w:themeFill="accent1"/>
            <w:vAlign w:val="center"/>
          </w:tcPr>
          <w:p w14:paraId="50E78D28" w14:textId="79B181DC" w:rsidR="00D869A7" w:rsidRPr="00D869A7" w:rsidRDefault="00D869A7" w:rsidP="00D869A7">
            <w:pPr>
              <w:rPr>
                <w:color w:val="FFFFFF" w:themeColor="background1"/>
                <w:sz w:val="22"/>
                <w:szCs w:val="22"/>
              </w:rPr>
            </w:pPr>
            <w:r w:rsidRPr="00D869A7">
              <w:rPr>
                <w:rFonts w:eastAsia="Times New Roman" w:cs="Times New Roman"/>
                <w:b/>
                <w:bCs/>
                <w:color w:val="FFFFFF" w:themeColor="background1"/>
                <w:kern w:val="0"/>
                <w:sz w:val="22"/>
                <w:szCs w:val="22"/>
                <w:lang w:eastAsia="en-AU" w:bidi="ar-SA"/>
                <w14:ligatures w14:val="none"/>
              </w:rPr>
              <w:t xml:space="preserve">How the </w:t>
            </w:r>
            <w:r w:rsidR="00285E95" w:rsidRPr="00D869A7">
              <w:rPr>
                <w:rFonts w:eastAsia="Times New Roman" w:cs="Times New Roman"/>
                <w:b/>
                <w:bCs/>
                <w:color w:val="FFFFFF" w:themeColor="background1"/>
                <w:kern w:val="0"/>
                <w:sz w:val="22"/>
                <w:szCs w:val="22"/>
                <w:lang w:eastAsia="en-AU" w:bidi="ar-SA"/>
                <w14:ligatures w14:val="none"/>
              </w:rPr>
              <w:t>option responds to the gaps</w:t>
            </w:r>
          </w:p>
        </w:tc>
        <w:tc>
          <w:tcPr>
            <w:tcW w:w="3731" w:type="dxa"/>
            <w:shd w:val="clear" w:color="auto" w:fill="156082" w:themeFill="accent1"/>
            <w:vAlign w:val="center"/>
          </w:tcPr>
          <w:p w14:paraId="5E1F1BC9" w14:textId="24416908" w:rsidR="00D869A7" w:rsidRPr="00D869A7" w:rsidRDefault="00D869A7" w:rsidP="00D869A7">
            <w:pPr>
              <w:rPr>
                <w:color w:val="FFFFFF" w:themeColor="background1"/>
                <w:sz w:val="22"/>
                <w:szCs w:val="22"/>
              </w:rPr>
            </w:pPr>
            <w:r w:rsidRPr="00D869A7">
              <w:rPr>
                <w:rFonts w:eastAsia="Times New Roman" w:cs="Times New Roman"/>
                <w:b/>
                <w:bCs/>
                <w:color w:val="FFFFFF" w:themeColor="background1"/>
                <w:kern w:val="0"/>
                <w:sz w:val="22"/>
                <w:szCs w:val="22"/>
                <w:lang w:eastAsia="en-AU" w:bidi="ar-SA"/>
                <w14:ligatures w14:val="none"/>
              </w:rPr>
              <w:t xml:space="preserve">Stage 2 Capabilities </w:t>
            </w:r>
            <w:r w:rsidR="00285E95" w:rsidRPr="00D869A7">
              <w:rPr>
                <w:rFonts w:eastAsia="Times New Roman" w:cs="Times New Roman"/>
                <w:b/>
                <w:bCs/>
                <w:color w:val="FFFFFF" w:themeColor="background1"/>
                <w:kern w:val="0"/>
                <w:sz w:val="22"/>
                <w:szCs w:val="22"/>
                <w:lang w:eastAsia="en-AU" w:bidi="ar-SA"/>
                <w14:ligatures w14:val="none"/>
              </w:rPr>
              <w:t>STRENGTHENED</w:t>
            </w:r>
          </w:p>
        </w:tc>
        <w:tc>
          <w:tcPr>
            <w:tcW w:w="3732" w:type="dxa"/>
            <w:shd w:val="clear" w:color="auto" w:fill="156082" w:themeFill="accent1"/>
            <w:vAlign w:val="center"/>
          </w:tcPr>
          <w:p w14:paraId="6A79C934" w14:textId="35E2F244" w:rsidR="00D869A7" w:rsidRPr="00D869A7" w:rsidRDefault="00D869A7" w:rsidP="00D869A7">
            <w:pPr>
              <w:rPr>
                <w:color w:val="FFFFFF" w:themeColor="background1"/>
                <w:sz w:val="22"/>
                <w:szCs w:val="22"/>
              </w:rPr>
            </w:pPr>
            <w:r w:rsidRPr="00D869A7">
              <w:rPr>
                <w:rFonts w:eastAsia="Times New Roman" w:cs="Times New Roman"/>
                <w:b/>
                <w:bCs/>
                <w:color w:val="FFFFFF" w:themeColor="background1"/>
                <w:kern w:val="0"/>
                <w:sz w:val="22"/>
                <w:szCs w:val="22"/>
                <w:lang w:eastAsia="en-AU" w:bidi="ar-SA"/>
                <w14:ligatures w14:val="none"/>
              </w:rPr>
              <w:t xml:space="preserve">How the </w:t>
            </w:r>
            <w:r w:rsidR="00285E95" w:rsidRPr="00D869A7">
              <w:rPr>
                <w:rFonts w:eastAsia="Times New Roman" w:cs="Times New Roman"/>
                <w:b/>
                <w:bCs/>
                <w:color w:val="FFFFFF" w:themeColor="background1"/>
                <w:kern w:val="0"/>
                <w:sz w:val="22"/>
                <w:szCs w:val="22"/>
                <w:lang w:eastAsia="en-AU" w:bidi="ar-SA"/>
                <w14:ligatures w14:val="none"/>
              </w:rPr>
              <w:t>option builds these capabilities</w:t>
            </w:r>
          </w:p>
        </w:tc>
      </w:tr>
      <w:tr w:rsidR="00D869A7" w:rsidRPr="00D869A7" w14:paraId="10DDD127" w14:textId="77777777" w:rsidTr="00745955">
        <w:tc>
          <w:tcPr>
            <w:tcW w:w="2789" w:type="dxa"/>
            <w:shd w:val="clear" w:color="auto" w:fill="DAE9F7" w:themeFill="text2" w:themeFillTint="1A"/>
          </w:tcPr>
          <w:p w14:paraId="021756A5" w14:textId="08000C5A" w:rsidR="00D869A7" w:rsidRPr="00D869A7" w:rsidRDefault="00D869A7" w:rsidP="00D869A7">
            <w:pPr>
              <w:rPr>
                <w:sz w:val="22"/>
                <w:szCs w:val="22"/>
              </w:rPr>
            </w:pPr>
            <w:r w:rsidRPr="00D869A7">
              <w:rPr>
                <w:rFonts w:eastAsia="Times New Roman" w:cs="Times New Roman"/>
                <w:b/>
                <w:bCs/>
                <w:kern w:val="0"/>
                <w:sz w:val="22"/>
                <w:szCs w:val="22"/>
                <w:lang w:eastAsia="en-AU" w:bidi="ar-SA"/>
                <w14:ligatures w14:val="none"/>
              </w:rPr>
              <w:t>4. Question</w:t>
            </w:r>
            <w:r w:rsidR="00214CDF">
              <w:rPr>
                <w:rFonts w:eastAsia="Times New Roman" w:cs="Times New Roman"/>
                <w:b/>
                <w:bCs/>
                <w:kern w:val="0"/>
                <w:sz w:val="22"/>
                <w:szCs w:val="22"/>
                <w:lang w:eastAsia="en-AU" w:bidi="ar-SA"/>
                <w14:ligatures w14:val="none"/>
              </w:rPr>
              <w:t xml:space="preserve"> </w:t>
            </w:r>
            <w:r w:rsidR="00214CDF">
              <w:rPr>
                <w:rFonts w:eastAsia="Times New Roman" w:cs="Times New Roman"/>
                <w:b/>
                <w:bCs/>
                <w:kern w:val="0"/>
                <w:sz w:val="22"/>
                <w:szCs w:val="22"/>
                <w:lang w:eastAsia="en-AU"/>
                <w14:ligatures w14:val="none"/>
              </w:rPr>
              <w:t xml:space="preserve">/ </w:t>
            </w:r>
            <w:r w:rsidRPr="00D869A7">
              <w:rPr>
                <w:rFonts w:eastAsia="Times New Roman" w:cs="Times New Roman"/>
                <w:b/>
                <w:bCs/>
                <w:kern w:val="0"/>
                <w:sz w:val="22"/>
                <w:szCs w:val="22"/>
                <w:lang w:eastAsia="en-AU"/>
                <w14:ligatures w14:val="none"/>
              </w:rPr>
              <w:t>thematic</w:t>
            </w:r>
            <w:r w:rsidRPr="00D869A7">
              <w:rPr>
                <w:rFonts w:eastAsia="Times New Roman" w:cs="Times New Roman"/>
                <w:b/>
                <w:bCs/>
                <w:kern w:val="0"/>
                <w:sz w:val="22"/>
                <w:szCs w:val="22"/>
                <w:lang w:eastAsia="en-AU" w:bidi="ar-SA"/>
                <w14:ligatures w14:val="none"/>
              </w:rPr>
              <w:t xml:space="preserve"> Repositories </w:t>
            </w:r>
          </w:p>
        </w:tc>
        <w:tc>
          <w:tcPr>
            <w:tcW w:w="3731" w:type="dxa"/>
          </w:tcPr>
          <w:p w14:paraId="5463A68C" w14:textId="77777777" w:rsidR="00D869A7" w:rsidRPr="00D869A7" w:rsidRDefault="00D869A7" w:rsidP="00745955">
            <w:pPr>
              <w:spacing w:after="120"/>
              <w:rPr>
                <w:rFonts w:eastAsia="Times New Roman" w:cs="Times New Roman"/>
                <w:kern w:val="0"/>
                <w:sz w:val="22"/>
                <w:szCs w:val="22"/>
                <w:lang w:eastAsia="en-AU"/>
                <w14:ligatures w14:val="none"/>
              </w:rPr>
            </w:pPr>
            <w:r w:rsidRPr="00D869A7">
              <w:rPr>
                <w:rFonts w:eastAsia="Times New Roman" w:cs="Times New Roman"/>
                <w:b/>
                <w:bCs/>
                <w:kern w:val="0"/>
                <w:sz w:val="22"/>
                <w:szCs w:val="22"/>
                <w:lang w:eastAsia="en-AU" w:bidi="ar-SA"/>
                <w14:ligatures w14:val="none"/>
              </w:rPr>
              <w:t>Data:</w:t>
            </w:r>
            <w:r w:rsidRPr="00D869A7">
              <w:rPr>
                <w:rFonts w:eastAsia="Times New Roman" w:cs="Times New Roman"/>
                <w:kern w:val="0"/>
                <w:sz w:val="22"/>
                <w:szCs w:val="22"/>
                <w:lang w:eastAsia="en-AU" w:bidi="ar-SA"/>
                <w14:ligatures w14:val="none"/>
              </w:rPr>
              <w:t xml:space="preserve"> No standard question prioritisation processes</w:t>
            </w:r>
          </w:p>
          <w:p w14:paraId="583DA801" w14:textId="77777777" w:rsidR="005B7E58" w:rsidRDefault="00D869A7" w:rsidP="00745955">
            <w:pPr>
              <w:spacing w:after="120"/>
              <w:rPr>
                <w:rFonts w:eastAsia="Times New Roman" w:cs="Times New Roman"/>
                <w:kern w:val="0"/>
                <w:sz w:val="22"/>
                <w:szCs w:val="22"/>
                <w:lang w:eastAsia="en-AU" w:bidi="ar-SA"/>
                <w14:ligatures w14:val="none"/>
              </w:rPr>
            </w:pPr>
            <w:r w:rsidRPr="00D869A7">
              <w:rPr>
                <w:rFonts w:eastAsia="Times New Roman" w:cs="Times New Roman"/>
                <w:b/>
                <w:bCs/>
                <w:kern w:val="0"/>
                <w:sz w:val="22"/>
                <w:szCs w:val="22"/>
                <w:lang w:eastAsia="en-AU" w:bidi="ar-SA"/>
                <w14:ligatures w14:val="none"/>
              </w:rPr>
              <w:t>Platforms:</w:t>
            </w:r>
            <w:r w:rsidRPr="00D869A7">
              <w:rPr>
                <w:rFonts w:eastAsia="Times New Roman" w:cs="Times New Roman"/>
                <w:kern w:val="0"/>
                <w:sz w:val="22"/>
                <w:szCs w:val="22"/>
                <w:lang w:eastAsia="en-AU" w:bidi="ar-SA"/>
                <w14:ligatures w14:val="none"/>
              </w:rPr>
              <w:t xml:space="preserve"> Poor visibility, limited user feedback</w:t>
            </w:r>
          </w:p>
          <w:p w14:paraId="299856FF" w14:textId="45922A82" w:rsidR="00D869A7" w:rsidRPr="00D869A7" w:rsidRDefault="005B7E58" w:rsidP="00745955">
            <w:pPr>
              <w:spacing w:after="120"/>
              <w:rPr>
                <w:sz w:val="22"/>
                <w:szCs w:val="22"/>
              </w:rPr>
            </w:pPr>
            <w:r>
              <w:rPr>
                <w:rFonts w:eastAsia="Times New Roman" w:cs="Times New Roman"/>
                <w:b/>
                <w:bCs/>
                <w:kern w:val="0"/>
                <w:sz w:val="22"/>
                <w:szCs w:val="22"/>
                <w:lang w:eastAsia="en-AU" w:bidi="ar-SA"/>
                <w14:ligatures w14:val="none"/>
              </w:rPr>
              <w:t>T</w:t>
            </w:r>
            <w:r w:rsidR="00D869A7" w:rsidRPr="00D869A7">
              <w:rPr>
                <w:rFonts w:eastAsia="Times New Roman" w:cs="Times New Roman"/>
                <w:b/>
                <w:bCs/>
                <w:kern w:val="0"/>
                <w:sz w:val="22"/>
                <w:szCs w:val="22"/>
                <w:lang w:eastAsia="en-AU" w:bidi="ar-SA"/>
                <w14:ligatures w14:val="none"/>
              </w:rPr>
              <w:t>echnology:</w:t>
            </w:r>
            <w:r w:rsidR="00D869A7" w:rsidRPr="00D869A7">
              <w:rPr>
                <w:rFonts w:eastAsia="Times New Roman" w:cs="Times New Roman"/>
                <w:kern w:val="0"/>
                <w:sz w:val="22"/>
                <w:szCs w:val="22"/>
                <w:lang w:eastAsia="en-AU" w:bidi="ar-SA"/>
                <w14:ligatures w14:val="none"/>
              </w:rPr>
              <w:t xml:space="preserve"> Under-explored AI and analytics potential</w:t>
            </w:r>
          </w:p>
        </w:tc>
        <w:tc>
          <w:tcPr>
            <w:tcW w:w="3731" w:type="dxa"/>
          </w:tcPr>
          <w:p w14:paraId="1DEF4AE3" w14:textId="77777777" w:rsidR="00214CDF" w:rsidRDefault="00D869A7" w:rsidP="00745955">
            <w:pPr>
              <w:spacing w:after="120"/>
              <w:rPr>
                <w:rFonts w:eastAsia="Times New Roman" w:cs="Times New Roman"/>
                <w:kern w:val="0"/>
                <w:sz w:val="22"/>
                <w:szCs w:val="22"/>
                <w:lang w:eastAsia="en-AU" w:bidi="ar-SA"/>
                <w14:ligatures w14:val="none"/>
              </w:rPr>
            </w:pPr>
            <w:r w:rsidRPr="00D869A7">
              <w:rPr>
                <w:rFonts w:eastAsia="Times New Roman" w:cs="Times New Roman"/>
                <w:kern w:val="0"/>
                <w:sz w:val="22"/>
                <w:szCs w:val="22"/>
                <w:lang w:eastAsia="en-AU" w:bidi="ar-SA"/>
                <w14:ligatures w14:val="none"/>
              </w:rPr>
              <w:t xml:space="preserve">Creates structured platforms for transparent question generation and prioritisation. </w:t>
            </w:r>
          </w:p>
          <w:p w14:paraId="544E47CE" w14:textId="04E69BAF" w:rsidR="00D869A7" w:rsidRPr="00D869A7" w:rsidRDefault="00D869A7" w:rsidP="00745955">
            <w:pPr>
              <w:spacing w:after="120"/>
              <w:rPr>
                <w:sz w:val="22"/>
                <w:szCs w:val="22"/>
              </w:rPr>
            </w:pPr>
            <w:r w:rsidRPr="00D869A7">
              <w:rPr>
                <w:rFonts w:eastAsia="Times New Roman" w:cs="Times New Roman"/>
                <w:kern w:val="0"/>
                <w:sz w:val="22"/>
                <w:szCs w:val="22"/>
                <w:lang w:eastAsia="en-AU" w:bidi="ar-SA"/>
                <w14:ligatures w14:val="none"/>
              </w:rPr>
              <w:t>Can be linked to digital and AI tools for continuous updating and relevance tracking.</w:t>
            </w:r>
          </w:p>
        </w:tc>
        <w:tc>
          <w:tcPr>
            <w:tcW w:w="3731" w:type="dxa"/>
          </w:tcPr>
          <w:p w14:paraId="5A259B80" w14:textId="77777777" w:rsidR="00D869A7" w:rsidRPr="00D869A7" w:rsidRDefault="00D869A7" w:rsidP="00FF6156">
            <w:pPr>
              <w:numPr>
                <w:ilvl w:val="0"/>
                <w:numId w:val="7"/>
              </w:numPr>
              <w:spacing w:after="120"/>
              <w:ind w:left="169" w:hanging="191"/>
              <w:rPr>
                <w:rFonts w:eastAsia="Times New Roman" w:cs="Times New Roman"/>
                <w:kern w:val="0"/>
                <w:sz w:val="22"/>
                <w:szCs w:val="22"/>
                <w:lang w:eastAsia="en-AU"/>
                <w14:ligatures w14:val="none"/>
              </w:rPr>
            </w:pPr>
            <w:r w:rsidRPr="00D869A7">
              <w:rPr>
                <w:rFonts w:eastAsia="Times New Roman" w:cs="Times New Roman"/>
                <w:kern w:val="0"/>
                <w:sz w:val="22"/>
                <w:szCs w:val="22"/>
                <w:lang w:eastAsia="en-AU" w:bidi="ar-SA"/>
                <w14:ligatures w14:val="none"/>
              </w:rPr>
              <w:t>Identifying and prioritising problems</w:t>
            </w:r>
          </w:p>
          <w:p w14:paraId="6FCB6C64" w14:textId="77777777" w:rsidR="00D869A7" w:rsidRPr="00D869A7" w:rsidRDefault="00D869A7" w:rsidP="00FF6156">
            <w:pPr>
              <w:numPr>
                <w:ilvl w:val="0"/>
                <w:numId w:val="7"/>
              </w:numPr>
              <w:spacing w:after="120"/>
              <w:ind w:left="169" w:hanging="191"/>
              <w:rPr>
                <w:rFonts w:eastAsia="Times New Roman" w:cs="Times New Roman"/>
                <w:kern w:val="0"/>
                <w:sz w:val="22"/>
                <w:szCs w:val="22"/>
                <w:lang w:eastAsia="en-AU"/>
                <w14:ligatures w14:val="none"/>
              </w:rPr>
            </w:pPr>
            <w:r w:rsidRPr="00D869A7">
              <w:rPr>
                <w:rFonts w:eastAsia="Times New Roman" w:cs="Times New Roman"/>
                <w:kern w:val="0"/>
                <w:sz w:val="22"/>
                <w:szCs w:val="22"/>
                <w:lang w:eastAsia="en-AU" w:bidi="ar-SA"/>
                <w14:ligatures w14:val="none"/>
              </w:rPr>
              <w:t>Promoting decision-making</w:t>
            </w:r>
          </w:p>
          <w:p w14:paraId="6A0A31EF" w14:textId="77777777" w:rsidR="00D869A7" w:rsidRPr="00D869A7" w:rsidRDefault="00D869A7" w:rsidP="00FF6156">
            <w:pPr>
              <w:numPr>
                <w:ilvl w:val="0"/>
                <w:numId w:val="7"/>
              </w:numPr>
              <w:spacing w:after="120"/>
              <w:ind w:left="169" w:hanging="191"/>
              <w:rPr>
                <w:rFonts w:eastAsia="Times New Roman" w:cs="Times New Roman"/>
                <w:kern w:val="0"/>
                <w:sz w:val="22"/>
                <w:szCs w:val="22"/>
                <w:lang w:eastAsia="en-AU" w:bidi="ar-SA"/>
                <w14:ligatures w14:val="none"/>
              </w:rPr>
            </w:pPr>
            <w:r w:rsidRPr="00D869A7">
              <w:rPr>
                <w:rFonts w:eastAsia="Times New Roman" w:cs="Times New Roman"/>
                <w:kern w:val="0"/>
                <w:sz w:val="22"/>
                <w:szCs w:val="22"/>
                <w:lang w:eastAsia="en-AU" w:bidi="ar-SA"/>
                <w14:ligatures w14:val="none"/>
              </w:rPr>
              <w:t>Sharing evidence use- Facilitating learning</w:t>
            </w:r>
          </w:p>
        </w:tc>
        <w:tc>
          <w:tcPr>
            <w:tcW w:w="3732" w:type="dxa"/>
          </w:tcPr>
          <w:p w14:paraId="4F29326E" w14:textId="77777777" w:rsidR="00214CDF" w:rsidRDefault="00D869A7" w:rsidP="00745955">
            <w:pPr>
              <w:spacing w:after="120"/>
              <w:rPr>
                <w:rFonts w:eastAsia="Times New Roman" w:cs="Times New Roman"/>
                <w:kern w:val="0"/>
                <w:sz w:val="22"/>
                <w:szCs w:val="22"/>
                <w:lang w:eastAsia="en-AU" w:bidi="ar-SA"/>
                <w14:ligatures w14:val="none"/>
              </w:rPr>
            </w:pPr>
            <w:r w:rsidRPr="00D869A7">
              <w:rPr>
                <w:rFonts w:eastAsia="Times New Roman" w:cs="Times New Roman"/>
                <w:kern w:val="0"/>
                <w:sz w:val="22"/>
                <w:szCs w:val="22"/>
                <w:lang w:eastAsia="en-AU" w:bidi="ar-SA"/>
                <w14:ligatures w14:val="none"/>
              </w:rPr>
              <w:t xml:space="preserve">Provides a shared infrastructure for capturing, refining, and revisiting policy-relevant questions. </w:t>
            </w:r>
          </w:p>
          <w:p w14:paraId="242A9689" w14:textId="0018B6CB" w:rsidR="00D869A7" w:rsidRPr="00D869A7" w:rsidRDefault="00D869A7" w:rsidP="00745955">
            <w:pPr>
              <w:spacing w:after="120"/>
              <w:rPr>
                <w:sz w:val="22"/>
                <w:szCs w:val="22"/>
              </w:rPr>
            </w:pPr>
            <w:r w:rsidRPr="00D869A7">
              <w:rPr>
                <w:rFonts w:eastAsia="Times New Roman" w:cs="Times New Roman"/>
                <w:kern w:val="0"/>
                <w:sz w:val="22"/>
                <w:szCs w:val="22"/>
                <w:lang w:eastAsia="en-AU" w:bidi="ar-SA"/>
                <w14:ligatures w14:val="none"/>
              </w:rPr>
              <w:t>Enhances alignment between evidence supply and demand.</w:t>
            </w:r>
          </w:p>
        </w:tc>
      </w:tr>
      <w:tr w:rsidR="00D869A7" w:rsidRPr="00D869A7" w14:paraId="1DCEFBA4" w14:textId="77777777" w:rsidTr="00745955">
        <w:tc>
          <w:tcPr>
            <w:tcW w:w="2789" w:type="dxa"/>
            <w:shd w:val="clear" w:color="auto" w:fill="DAE9F7" w:themeFill="text2" w:themeFillTint="1A"/>
          </w:tcPr>
          <w:p w14:paraId="28AD6E4E" w14:textId="77777777" w:rsidR="00D869A7" w:rsidRPr="00D869A7" w:rsidRDefault="00D869A7" w:rsidP="00D869A7">
            <w:pPr>
              <w:rPr>
                <w:sz w:val="22"/>
                <w:szCs w:val="22"/>
              </w:rPr>
            </w:pPr>
            <w:r w:rsidRPr="00D869A7">
              <w:rPr>
                <w:rFonts w:eastAsia="Times New Roman" w:cs="Times New Roman"/>
                <w:b/>
                <w:bCs/>
                <w:kern w:val="0"/>
                <w:sz w:val="22"/>
                <w:szCs w:val="22"/>
                <w:lang w:eastAsia="en-AU" w:bidi="ar-SA"/>
                <w14:ligatures w14:val="none"/>
              </w:rPr>
              <w:t>5. Grants to End-Users</w:t>
            </w:r>
          </w:p>
        </w:tc>
        <w:tc>
          <w:tcPr>
            <w:tcW w:w="3731" w:type="dxa"/>
          </w:tcPr>
          <w:p w14:paraId="206D7576" w14:textId="77777777" w:rsidR="00D869A7" w:rsidRPr="00D869A7" w:rsidRDefault="00D869A7" w:rsidP="00745955">
            <w:pPr>
              <w:spacing w:after="120"/>
              <w:rPr>
                <w:rFonts w:eastAsia="Times New Roman" w:cs="Times New Roman"/>
                <w:kern w:val="0"/>
                <w:sz w:val="22"/>
                <w:szCs w:val="22"/>
                <w:lang w:eastAsia="en-AU"/>
                <w14:ligatures w14:val="none"/>
              </w:rPr>
            </w:pPr>
            <w:r w:rsidRPr="00D869A7">
              <w:rPr>
                <w:rFonts w:eastAsia="Times New Roman" w:cs="Times New Roman"/>
                <w:b/>
                <w:bCs/>
                <w:kern w:val="0"/>
                <w:sz w:val="22"/>
                <w:szCs w:val="22"/>
                <w:lang w:eastAsia="en-AU" w:bidi="ar-SA"/>
                <w14:ligatures w14:val="none"/>
              </w:rPr>
              <w:t>Resources:</w:t>
            </w:r>
            <w:r w:rsidRPr="00D869A7">
              <w:rPr>
                <w:rFonts w:eastAsia="Times New Roman" w:cs="Times New Roman"/>
                <w:kern w:val="0"/>
                <w:sz w:val="22"/>
                <w:szCs w:val="22"/>
                <w:lang w:eastAsia="en-AU" w:bidi="ar-SA"/>
                <w14:ligatures w14:val="none"/>
              </w:rPr>
              <w:t xml:space="preserve"> Inefficient allocation, limited support for grassroots actors</w:t>
            </w:r>
          </w:p>
          <w:p w14:paraId="22400284" w14:textId="77777777" w:rsidR="00D869A7" w:rsidRPr="00D869A7" w:rsidRDefault="00D869A7" w:rsidP="00745955">
            <w:pPr>
              <w:spacing w:after="120"/>
              <w:rPr>
                <w:rFonts w:eastAsia="Times New Roman" w:cs="Times New Roman"/>
                <w:kern w:val="0"/>
                <w:sz w:val="22"/>
                <w:szCs w:val="22"/>
                <w:lang w:eastAsia="en-AU"/>
                <w14:ligatures w14:val="none"/>
              </w:rPr>
            </w:pPr>
            <w:r w:rsidRPr="00D869A7">
              <w:rPr>
                <w:rFonts w:eastAsia="Times New Roman" w:cs="Times New Roman"/>
                <w:b/>
                <w:bCs/>
                <w:kern w:val="0"/>
                <w:sz w:val="22"/>
                <w:szCs w:val="22"/>
                <w:lang w:eastAsia="en-AU" w:bidi="ar-SA"/>
                <w14:ligatures w14:val="none"/>
              </w:rPr>
              <w:t>Systems:</w:t>
            </w:r>
            <w:r w:rsidRPr="00D869A7">
              <w:rPr>
                <w:rFonts w:eastAsia="Times New Roman" w:cs="Times New Roman"/>
                <w:kern w:val="0"/>
                <w:sz w:val="22"/>
                <w:szCs w:val="22"/>
                <w:lang w:eastAsia="en-AU" w:bidi="ar-SA"/>
                <w14:ligatures w14:val="none"/>
              </w:rPr>
              <w:t xml:space="preserve"> Absence of international enabling infrastructure</w:t>
            </w:r>
          </w:p>
          <w:p w14:paraId="0CAD42D8" w14:textId="77777777" w:rsidR="00D869A7" w:rsidRPr="00D869A7" w:rsidRDefault="00D869A7" w:rsidP="00745955">
            <w:pPr>
              <w:spacing w:after="120"/>
              <w:rPr>
                <w:sz w:val="22"/>
                <w:szCs w:val="22"/>
              </w:rPr>
            </w:pPr>
            <w:r w:rsidRPr="00D869A7">
              <w:rPr>
                <w:rFonts w:eastAsia="Times New Roman" w:cs="Times New Roman"/>
                <w:b/>
                <w:bCs/>
                <w:kern w:val="0"/>
                <w:sz w:val="22"/>
                <w:szCs w:val="22"/>
                <w:lang w:eastAsia="en-AU" w:bidi="ar-SA"/>
                <w14:ligatures w14:val="none"/>
              </w:rPr>
              <w:t>Processes:</w:t>
            </w:r>
            <w:r w:rsidRPr="00D869A7">
              <w:rPr>
                <w:rFonts w:eastAsia="Times New Roman" w:cs="Times New Roman"/>
                <w:kern w:val="0"/>
                <w:sz w:val="22"/>
                <w:szCs w:val="22"/>
                <w:lang w:eastAsia="en-AU" w:bidi="ar-SA"/>
                <w14:ligatures w14:val="none"/>
              </w:rPr>
              <w:t xml:space="preserve"> Lack of early-stage investment in problem definition</w:t>
            </w:r>
          </w:p>
        </w:tc>
        <w:tc>
          <w:tcPr>
            <w:tcW w:w="3731" w:type="dxa"/>
          </w:tcPr>
          <w:p w14:paraId="6DEA177B" w14:textId="77777777" w:rsidR="00D869A7" w:rsidRPr="00D869A7" w:rsidRDefault="00D869A7" w:rsidP="00745955">
            <w:pPr>
              <w:spacing w:after="120"/>
              <w:rPr>
                <w:sz w:val="22"/>
                <w:szCs w:val="22"/>
              </w:rPr>
            </w:pPr>
            <w:r w:rsidRPr="00D869A7">
              <w:rPr>
                <w:rFonts w:eastAsia="Times New Roman" w:cs="Times New Roman"/>
                <w:kern w:val="0"/>
                <w:sz w:val="22"/>
                <w:szCs w:val="22"/>
                <w:lang w:eastAsia="en-AU" w:bidi="ar-SA"/>
                <w14:ligatures w14:val="none"/>
              </w:rPr>
              <w:t>Enables bottom-up experimentation and inclusion through flexible, equity-focused funding. Supports actors who would otherwise lack the means to engage.</w:t>
            </w:r>
          </w:p>
        </w:tc>
        <w:tc>
          <w:tcPr>
            <w:tcW w:w="3731" w:type="dxa"/>
          </w:tcPr>
          <w:p w14:paraId="4893C0AB" w14:textId="77777777" w:rsidR="00D869A7" w:rsidRPr="00D869A7" w:rsidRDefault="00D869A7" w:rsidP="00FF6156">
            <w:pPr>
              <w:numPr>
                <w:ilvl w:val="0"/>
                <w:numId w:val="7"/>
              </w:numPr>
              <w:spacing w:after="120"/>
              <w:ind w:left="169" w:hanging="191"/>
              <w:rPr>
                <w:rFonts w:eastAsia="Times New Roman" w:cs="Times New Roman"/>
                <w:kern w:val="0"/>
                <w:sz w:val="22"/>
                <w:szCs w:val="22"/>
                <w:lang w:eastAsia="en-AU"/>
                <w14:ligatures w14:val="none"/>
              </w:rPr>
            </w:pPr>
            <w:r w:rsidRPr="00D869A7">
              <w:rPr>
                <w:rFonts w:eastAsia="Times New Roman" w:cs="Times New Roman"/>
                <w:kern w:val="0"/>
                <w:sz w:val="22"/>
                <w:szCs w:val="22"/>
                <w:lang w:eastAsia="en-AU" w:bidi="ar-SA"/>
                <w14:ligatures w14:val="none"/>
              </w:rPr>
              <w:t>Engaging stakeholders- Accessing and interpreting evidence</w:t>
            </w:r>
          </w:p>
          <w:p w14:paraId="67534B0B" w14:textId="77777777" w:rsidR="00D869A7" w:rsidRPr="00D869A7" w:rsidRDefault="00D869A7" w:rsidP="00FF6156">
            <w:pPr>
              <w:numPr>
                <w:ilvl w:val="0"/>
                <w:numId w:val="7"/>
              </w:numPr>
              <w:spacing w:after="120"/>
              <w:ind w:left="169" w:hanging="191"/>
              <w:rPr>
                <w:rFonts w:eastAsia="Times New Roman" w:cs="Times New Roman"/>
                <w:kern w:val="0"/>
                <w:sz w:val="22"/>
                <w:szCs w:val="22"/>
                <w:lang w:eastAsia="en-AU"/>
                <w14:ligatures w14:val="none"/>
              </w:rPr>
            </w:pPr>
            <w:r w:rsidRPr="00D869A7">
              <w:rPr>
                <w:rFonts w:eastAsia="Times New Roman" w:cs="Times New Roman"/>
                <w:kern w:val="0"/>
                <w:sz w:val="22"/>
                <w:szCs w:val="22"/>
                <w:lang w:eastAsia="en-AU" w:bidi="ar-SA"/>
                <w14:ligatures w14:val="none"/>
              </w:rPr>
              <w:t>Promoting decision-making</w:t>
            </w:r>
          </w:p>
          <w:p w14:paraId="0172C68F" w14:textId="77777777" w:rsidR="00D869A7" w:rsidRPr="00D869A7" w:rsidRDefault="00D869A7" w:rsidP="00FF6156">
            <w:pPr>
              <w:numPr>
                <w:ilvl w:val="0"/>
                <w:numId w:val="7"/>
              </w:numPr>
              <w:spacing w:after="120"/>
              <w:ind w:left="169" w:hanging="191"/>
              <w:rPr>
                <w:rFonts w:eastAsia="Times New Roman" w:cs="Times New Roman"/>
                <w:kern w:val="0"/>
                <w:sz w:val="22"/>
                <w:szCs w:val="22"/>
                <w:lang w:eastAsia="en-AU" w:bidi="ar-SA"/>
                <w14:ligatures w14:val="none"/>
              </w:rPr>
            </w:pPr>
            <w:r w:rsidRPr="00D869A7">
              <w:rPr>
                <w:rFonts w:eastAsia="Times New Roman" w:cs="Times New Roman"/>
                <w:kern w:val="0"/>
                <w:sz w:val="22"/>
                <w:szCs w:val="22"/>
                <w:lang w:eastAsia="en-AU" w:bidi="ar-SA"/>
                <w14:ligatures w14:val="none"/>
              </w:rPr>
              <w:t>Facilitating collaboration</w:t>
            </w:r>
          </w:p>
        </w:tc>
        <w:tc>
          <w:tcPr>
            <w:tcW w:w="3732" w:type="dxa"/>
          </w:tcPr>
          <w:p w14:paraId="32543103" w14:textId="77777777" w:rsidR="00214CDF" w:rsidRDefault="00D869A7" w:rsidP="00745955">
            <w:pPr>
              <w:spacing w:after="120"/>
              <w:rPr>
                <w:rFonts w:eastAsia="Times New Roman" w:cs="Times New Roman"/>
                <w:kern w:val="0"/>
                <w:sz w:val="22"/>
                <w:szCs w:val="22"/>
                <w:lang w:eastAsia="en-AU" w:bidi="ar-SA"/>
                <w14:ligatures w14:val="none"/>
              </w:rPr>
            </w:pPr>
            <w:r w:rsidRPr="00D869A7">
              <w:rPr>
                <w:rFonts w:eastAsia="Times New Roman" w:cs="Times New Roman"/>
                <w:kern w:val="0"/>
                <w:sz w:val="22"/>
                <w:szCs w:val="22"/>
                <w:lang w:eastAsia="en-AU" w:bidi="ar-SA"/>
                <w14:ligatures w14:val="none"/>
              </w:rPr>
              <w:t xml:space="preserve">Supports local actors in testing and embedding evidence use. </w:t>
            </w:r>
          </w:p>
          <w:p w14:paraId="2B37FC18" w14:textId="7A809800" w:rsidR="00D869A7" w:rsidRPr="00D869A7" w:rsidRDefault="00D869A7" w:rsidP="00745955">
            <w:pPr>
              <w:spacing w:after="120"/>
              <w:rPr>
                <w:sz w:val="22"/>
                <w:szCs w:val="22"/>
              </w:rPr>
            </w:pPr>
            <w:r w:rsidRPr="00D869A7">
              <w:rPr>
                <w:rFonts w:eastAsia="Times New Roman" w:cs="Times New Roman"/>
                <w:kern w:val="0"/>
                <w:sz w:val="22"/>
                <w:szCs w:val="22"/>
                <w:lang w:eastAsia="en-AU" w:bidi="ar-SA"/>
                <w14:ligatures w14:val="none"/>
              </w:rPr>
              <w:t>Promotes inclusive engagement and strengthens end-user leadership in evidence-informed initiatives.</w:t>
            </w:r>
          </w:p>
        </w:tc>
      </w:tr>
    </w:tbl>
    <w:p w14:paraId="11113858" w14:textId="3E67D6AC" w:rsidR="00791469" w:rsidRDefault="00791469" w:rsidP="00D82AEB">
      <w:pPr>
        <w:jc w:val="both"/>
        <w:rPr>
          <w:color w:val="0B769F" w:themeColor="accent4" w:themeShade="BF"/>
          <w:lang w:val="en-US"/>
        </w:rPr>
      </w:pPr>
    </w:p>
    <w:sectPr w:rsidR="00791469" w:rsidSect="00791469">
      <w:pgSz w:w="20160" w:h="12240" w:orient="landscape" w:code="5"/>
      <w:pgMar w:top="851" w:right="284" w:bottom="1134" w:left="1134" w:header="709" w:footer="65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94C99" w14:textId="77777777" w:rsidR="00A906DF" w:rsidRDefault="00A906DF" w:rsidP="00676559">
      <w:pPr>
        <w:spacing w:after="0" w:line="240" w:lineRule="auto"/>
      </w:pPr>
      <w:r>
        <w:separator/>
      </w:r>
    </w:p>
  </w:endnote>
  <w:endnote w:type="continuationSeparator" w:id="0">
    <w:p w14:paraId="2B74ED90" w14:textId="77777777" w:rsidR="00A906DF" w:rsidRDefault="00A906DF" w:rsidP="00676559">
      <w:pPr>
        <w:spacing w:after="0" w:line="240" w:lineRule="auto"/>
      </w:pPr>
      <w:r>
        <w:continuationSeparator/>
      </w:r>
    </w:p>
  </w:endnote>
  <w:endnote w:type="continuationNotice" w:id="1">
    <w:p w14:paraId="54349CEE" w14:textId="77777777" w:rsidR="00A906DF" w:rsidRDefault="00A906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03E8B74D-5F76-4DB4-8AE1-05D03FC7DADA}"/>
    <w:embedBold r:id="rId2" w:fontKey="{FBC6060E-E9AC-4F36-9783-9E1B4088F84C}"/>
    <w:embedItalic r:id="rId3" w:fontKey="{A0F9DF8D-9068-4271-BE1F-A98F432EAF88}"/>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4" w:fontKey="{5E945129-B95A-43EF-B00D-F39CFF47AA16}"/>
    <w:embedBold r:id="rId5" w:fontKey="{5BD376BD-3001-4404-94EA-0C3596C36240}"/>
    <w:embedItalic r:id="rId6" w:fontKey="{9603A585-9084-4DD3-B40F-8ADE47C4902F}"/>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embedRegular r:id="rId7" w:fontKey="{FE574960-BA77-42B3-A5F4-5F0696AB3D12}"/>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2362399"/>
      <w:docPartObj>
        <w:docPartGallery w:val="Page Numbers (Bottom of Page)"/>
        <w:docPartUnique/>
      </w:docPartObj>
    </w:sdtPr>
    <w:sdtEndPr>
      <w:rPr>
        <w:rStyle w:val="PageNumber"/>
      </w:rPr>
    </w:sdtEndPr>
    <w:sdtContent>
      <w:p w14:paraId="0C278892" w14:textId="6B88E9C3" w:rsidR="00B31BC8" w:rsidRDefault="00B31BC8" w:rsidP="00AD08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F429B">
          <w:rPr>
            <w:rStyle w:val="PageNumber"/>
            <w:noProof/>
          </w:rPr>
          <w:t>1</w:t>
        </w:r>
        <w:r>
          <w:rPr>
            <w:rStyle w:val="PageNumber"/>
          </w:rPr>
          <w:fldChar w:fldCharType="end"/>
        </w:r>
      </w:p>
    </w:sdtContent>
  </w:sdt>
  <w:p w14:paraId="3CEE0AAB" w14:textId="77777777" w:rsidR="00B31BC8" w:rsidRDefault="00B31BC8" w:rsidP="00B31BC8">
    <w:pPr>
      <w:pStyle w:val="Footer"/>
      <w:ind w:right="360"/>
    </w:pPr>
  </w:p>
  <w:p w14:paraId="26B92C94" w14:textId="77777777" w:rsidR="00BD701C" w:rsidRDefault="00BD701C"/>
  <w:p w14:paraId="0E953E94" w14:textId="77777777" w:rsidR="00BD701C" w:rsidRDefault="00BD701C"/>
  <w:p w14:paraId="59C00F3A" w14:textId="77777777" w:rsidR="00BD701C" w:rsidRDefault="00BD701C"/>
  <w:p w14:paraId="45C6F823" w14:textId="77777777" w:rsidR="00BD701C" w:rsidRDefault="00BD70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4400639"/>
      <w:docPartObj>
        <w:docPartGallery w:val="Page Numbers (Bottom of Page)"/>
        <w:docPartUnique/>
      </w:docPartObj>
    </w:sdtPr>
    <w:sdtEndPr>
      <w:rPr>
        <w:rStyle w:val="PageNumber"/>
        <w:b/>
        <w:bCs/>
        <w:color w:val="0B769F" w:themeColor="accent4" w:themeShade="BF"/>
        <w:sz w:val="20"/>
        <w:szCs w:val="20"/>
      </w:rPr>
    </w:sdtEndPr>
    <w:sdtContent>
      <w:p w14:paraId="40D94417" w14:textId="02A641D2" w:rsidR="00AD08CA" w:rsidRDefault="00AD08CA" w:rsidP="007F32E1">
        <w:pPr>
          <w:pStyle w:val="Footer"/>
          <w:framePr w:wrap="none" w:vAnchor="text" w:hAnchor="margin" w:xAlign="right" w:y="162"/>
          <w:rPr>
            <w:rStyle w:val="PageNumber"/>
          </w:rPr>
        </w:pPr>
        <w:r w:rsidRPr="007F32E1">
          <w:rPr>
            <w:rStyle w:val="PageNumber"/>
            <w:b/>
            <w:bCs/>
            <w:sz w:val="20"/>
            <w:szCs w:val="20"/>
          </w:rPr>
          <w:fldChar w:fldCharType="begin"/>
        </w:r>
        <w:r w:rsidRPr="007F32E1">
          <w:rPr>
            <w:rStyle w:val="PageNumber"/>
            <w:b/>
            <w:bCs/>
            <w:sz w:val="20"/>
            <w:szCs w:val="20"/>
          </w:rPr>
          <w:instrText xml:space="preserve"> PAGE </w:instrText>
        </w:r>
        <w:r w:rsidRPr="007F32E1">
          <w:rPr>
            <w:rStyle w:val="PageNumber"/>
            <w:b/>
            <w:bCs/>
            <w:sz w:val="20"/>
            <w:szCs w:val="20"/>
          </w:rPr>
          <w:fldChar w:fldCharType="separate"/>
        </w:r>
        <w:r w:rsidRPr="007F32E1">
          <w:rPr>
            <w:rStyle w:val="PageNumber"/>
            <w:b/>
            <w:bCs/>
            <w:noProof/>
            <w:sz w:val="20"/>
            <w:szCs w:val="20"/>
          </w:rPr>
          <w:t>1</w:t>
        </w:r>
        <w:r w:rsidRPr="007F32E1">
          <w:rPr>
            <w:rStyle w:val="PageNumber"/>
            <w:b/>
            <w:bCs/>
            <w:sz w:val="20"/>
            <w:szCs w:val="20"/>
          </w:rPr>
          <w:fldChar w:fldCharType="end"/>
        </w:r>
      </w:p>
    </w:sdtContent>
  </w:sdt>
  <w:p w14:paraId="0FFFEB82" w14:textId="1C38ADA1" w:rsidR="00DB3FAD" w:rsidRPr="00B31BC8" w:rsidRDefault="00DB3FAD" w:rsidP="00B31BC8">
    <w:pPr>
      <w:pStyle w:val="Footer"/>
      <w:ind w:right="360"/>
      <w:jc w:val="right"/>
      <w:rPr>
        <w:rFonts w:ascii="Arial Narrow" w:hAnsi="Arial Narrow"/>
        <w:color w:val="000000" w:themeColor="text1"/>
        <w:sz w:val="22"/>
        <w:szCs w:val="22"/>
      </w:rPr>
    </w:pPr>
  </w:p>
  <w:p w14:paraId="4371C9E3" w14:textId="1FE2A578" w:rsidR="00BD701C" w:rsidRDefault="007A62B5" w:rsidP="00A4629D">
    <w:pPr>
      <w:pStyle w:val="Footer"/>
      <w:jc w:val="center"/>
    </w:pPr>
    <w:r w:rsidRPr="003F5579">
      <w:rPr>
        <w:rFonts w:ascii="Arial" w:hAnsi="Arial" w:cs="Arial"/>
        <w:color w:val="156082" w:themeColor="accent1"/>
        <w:sz w:val="18"/>
        <w:szCs w:val="18"/>
      </w:rPr>
      <w:t>The</w:t>
    </w:r>
    <w:r w:rsidR="007B3035" w:rsidRPr="003F5579">
      <w:rPr>
        <w:rFonts w:ascii="Arial" w:hAnsi="Arial" w:cs="Arial"/>
        <w:color w:val="156082" w:themeColor="accent1"/>
        <w:sz w:val="18"/>
        <w:szCs w:val="18"/>
      </w:rPr>
      <w:t xml:space="preserve"> ESIC </w:t>
    </w:r>
    <w:r w:rsidRPr="003F5579">
      <w:rPr>
        <w:rFonts w:ascii="Arial" w:hAnsi="Arial" w:cs="Arial"/>
        <w:color w:val="156082" w:themeColor="accent1"/>
        <w:sz w:val="18"/>
        <w:szCs w:val="18"/>
      </w:rPr>
      <w:t>planning process is</w:t>
    </w:r>
    <w:r w:rsidR="00516FCA" w:rsidRPr="003F5579">
      <w:rPr>
        <w:rFonts w:ascii="Arial" w:hAnsi="Arial" w:cs="Arial"/>
        <w:color w:val="156082" w:themeColor="accent1"/>
        <w:sz w:val="18"/>
        <w:szCs w:val="18"/>
      </w:rPr>
      <w:t xml:space="preserve"> funded by the Wellcome Trust</w:t>
    </w:r>
    <w:r w:rsidR="00C8169B" w:rsidRPr="003F5579">
      <w:rPr>
        <w:rFonts w:ascii="Arial" w:hAnsi="Arial" w:cs="Arial"/>
        <w:color w:val="156082" w:themeColor="accent1"/>
        <w:sz w:val="18"/>
        <w:szCs w:val="18"/>
      </w:rPr>
      <w:t>.</w:t>
    </w:r>
    <w:r w:rsidR="004B5BF9" w:rsidRPr="003F5579">
      <w:rPr>
        <w:rFonts w:ascii="Arial" w:hAnsi="Arial" w:cs="Arial"/>
        <w:color w:val="156082" w:themeColor="accent1"/>
        <w:sz w:val="18"/>
        <w:szCs w:val="18"/>
      </w:rPr>
      <w:t xml:space="preserve"> </w:t>
    </w:r>
  </w:p>
  <w:p w14:paraId="64663920" w14:textId="77777777" w:rsidR="00BD701C" w:rsidRDefault="00BD701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138FB" w14:textId="4212BD09" w:rsidR="00DA18B8" w:rsidRPr="003F5579" w:rsidRDefault="006B231D" w:rsidP="00DA18B8">
    <w:pPr>
      <w:pStyle w:val="Footer"/>
      <w:jc w:val="center"/>
      <w:rPr>
        <w:rFonts w:ascii="Arial" w:hAnsi="Arial" w:cs="Arial"/>
        <w:color w:val="156082" w:themeColor="accent1"/>
        <w:sz w:val="18"/>
        <w:szCs w:val="18"/>
      </w:rPr>
    </w:pPr>
    <w:r w:rsidRPr="00E562E1">
      <w:rPr>
        <w:rFonts w:asciiTheme="minorBidi" w:hAnsiTheme="minorBidi"/>
        <w:b/>
        <w:bCs/>
        <w:noProof/>
        <w:color w:val="156082" w:themeColor="accent1"/>
        <w:sz w:val="22"/>
        <w:szCs w:val="22"/>
      </w:rPr>
      <w:drawing>
        <wp:anchor distT="0" distB="0" distL="114300" distR="114300" simplePos="0" relativeHeight="251658240" behindDoc="0" locked="0" layoutInCell="1" allowOverlap="1" wp14:anchorId="189FCF0D" wp14:editId="3B2DADAA">
          <wp:simplePos x="0" y="0"/>
          <wp:positionH relativeFrom="margin">
            <wp:posOffset>820420</wp:posOffset>
          </wp:positionH>
          <wp:positionV relativeFrom="page">
            <wp:posOffset>10065385</wp:posOffset>
          </wp:positionV>
          <wp:extent cx="360000" cy="360000"/>
          <wp:effectExtent l="0" t="0" r="0" b="0"/>
          <wp:wrapNone/>
          <wp:docPr id="1939774414" name="Picture 2" descr="A blue sign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6453" name="Picture 2" descr="A blue sign with black letters&#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DA18B8" w:rsidRPr="003F5579">
      <w:rPr>
        <w:rFonts w:ascii="Arial" w:hAnsi="Arial" w:cs="Arial"/>
        <w:color w:val="156082" w:themeColor="accent1"/>
        <w:sz w:val="18"/>
        <w:szCs w:val="18"/>
      </w:rPr>
      <w:t xml:space="preserve">The ESIC planning process is funded by the Wellcome Trust.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8C449" w14:textId="77777777" w:rsidR="00A906DF" w:rsidRDefault="00A906DF" w:rsidP="00676559">
      <w:pPr>
        <w:spacing w:after="0" w:line="240" w:lineRule="auto"/>
      </w:pPr>
      <w:r>
        <w:separator/>
      </w:r>
    </w:p>
  </w:footnote>
  <w:footnote w:type="continuationSeparator" w:id="0">
    <w:p w14:paraId="5E32968B" w14:textId="77777777" w:rsidR="00A906DF" w:rsidRDefault="00A906DF" w:rsidP="00676559">
      <w:pPr>
        <w:spacing w:after="0" w:line="240" w:lineRule="auto"/>
      </w:pPr>
      <w:r>
        <w:continuationSeparator/>
      </w:r>
    </w:p>
  </w:footnote>
  <w:footnote w:type="continuationNotice" w:id="1">
    <w:p w14:paraId="325A05FB" w14:textId="77777777" w:rsidR="00A906DF" w:rsidRDefault="00A906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487B8" w14:textId="7CECCFA8" w:rsidR="006A5F63" w:rsidRDefault="006A5F63">
    <w:pPr>
      <w:pStyle w:val="Header"/>
    </w:pPr>
  </w:p>
  <w:p w14:paraId="7EAC0D96" w14:textId="77777777" w:rsidR="00BD701C" w:rsidRDefault="00BD701C" w:rsidP="009755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A6C85"/>
    <w:multiLevelType w:val="hybridMultilevel"/>
    <w:tmpl w:val="7D06EABC"/>
    <w:lvl w:ilvl="0" w:tplc="A1FE3CD8">
      <w:numFmt w:val="bullet"/>
      <w:lvlText w:val="-"/>
      <w:lvlJc w:val="left"/>
      <w:pPr>
        <w:ind w:left="720" w:hanging="360"/>
      </w:pPr>
      <w:rPr>
        <w:rFonts w:ascii="Aptos" w:eastAsia="Times New Roman" w:hAnsi="Apto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CF3B79"/>
    <w:multiLevelType w:val="multilevel"/>
    <w:tmpl w:val="9EA0D23E"/>
    <w:lvl w:ilvl="0">
      <w:start w:val="1"/>
      <w:numFmt w:val="bullet"/>
      <w:lvlText w:val=""/>
      <w:lvlJc w:val="left"/>
      <w:pPr>
        <w:tabs>
          <w:tab w:val="num" w:pos="9"/>
        </w:tabs>
        <w:ind w:left="9" w:hanging="360"/>
      </w:pPr>
      <w:rPr>
        <w:rFonts w:ascii="Symbol" w:hAnsi="Symbol" w:hint="default"/>
        <w:sz w:val="20"/>
      </w:rPr>
    </w:lvl>
    <w:lvl w:ilvl="1" w:tentative="1">
      <w:start w:val="1"/>
      <w:numFmt w:val="bullet"/>
      <w:lvlText w:val=""/>
      <w:lvlJc w:val="left"/>
      <w:pPr>
        <w:tabs>
          <w:tab w:val="num" w:pos="729"/>
        </w:tabs>
        <w:ind w:left="729" w:hanging="360"/>
      </w:pPr>
      <w:rPr>
        <w:rFonts w:ascii="Symbol" w:hAnsi="Symbol" w:hint="default"/>
        <w:sz w:val="20"/>
      </w:rPr>
    </w:lvl>
    <w:lvl w:ilvl="2" w:tentative="1">
      <w:start w:val="1"/>
      <w:numFmt w:val="bullet"/>
      <w:lvlText w:val=""/>
      <w:lvlJc w:val="left"/>
      <w:pPr>
        <w:tabs>
          <w:tab w:val="num" w:pos="1449"/>
        </w:tabs>
        <w:ind w:left="1449" w:hanging="360"/>
      </w:pPr>
      <w:rPr>
        <w:rFonts w:ascii="Symbol" w:hAnsi="Symbol" w:hint="default"/>
        <w:sz w:val="20"/>
      </w:rPr>
    </w:lvl>
    <w:lvl w:ilvl="3" w:tentative="1">
      <w:start w:val="1"/>
      <w:numFmt w:val="bullet"/>
      <w:lvlText w:val=""/>
      <w:lvlJc w:val="left"/>
      <w:pPr>
        <w:tabs>
          <w:tab w:val="num" w:pos="2169"/>
        </w:tabs>
        <w:ind w:left="2169" w:hanging="360"/>
      </w:pPr>
      <w:rPr>
        <w:rFonts w:ascii="Symbol" w:hAnsi="Symbol" w:hint="default"/>
        <w:sz w:val="20"/>
      </w:rPr>
    </w:lvl>
    <w:lvl w:ilvl="4" w:tentative="1">
      <w:start w:val="1"/>
      <w:numFmt w:val="bullet"/>
      <w:lvlText w:val=""/>
      <w:lvlJc w:val="left"/>
      <w:pPr>
        <w:tabs>
          <w:tab w:val="num" w:pos="2889"/>
        </w:tabs>
        <w:ind w:left="2889" w:hanging="360"/>
      </w:pPr>
      <w:rPr>
        <w:rFonts w:ascii="Symbol" w:hAnsi="Symbol" w:hint="default"/>
        <w:sz w:val="20"/>
      </w:rPr>
    </w:lvl>
    <w:lvl w:ilvl="5" w:tentative="1">
      <w:start w:val="1"/>
      <w:numFmt w:val="bullet"/>
      <w:lvlText w:val=""/>
      <w:lvlJc w:val="left"/>
      <w:pPr>
        <w:tabs>
          <w:tab w:val="num" w:pos="3609"/>
        </w:tabs>
        <w:ind w:left="3609" w:hanging="360"/>
      </w:pPr>
      <w:rPr>
        <w:rFonts w:ascii="Symbol" w:hAnsi="Symbol" w:hint="default"/>
        <w:sz w:val="20"/>
      </w:rPr>
    </w:lvl>
    <w:lvl w:ilvl="6" w:tentative="1">
      <w:start w:val="1"/>
      <w:numFmt w:val="bullet"/>
      <w:lvlText w:val=""/>
      <w:lvlJc w:val="left"/>
      <w:pPr>
        <w:tabs>
          <w:tab w:val="num" w:pos="4329"/>
        </w:tabs>
        <w:ind w:left="4329" w:hanging="360"/>
      </w:pPr>
      <w:rPr>
        <w:rFonts w:ascii="Symbol" w:hAnsi="Symbol" w:hint="default"/>
        <w:sz w:val="20"/>
      </w:rPr>
    </w:lvl>
    <w:lvl w:ilvl="7" w:tentative="1">
      <w:start w:val="1"/>
      <w:numFmt w:val="bullet"/>
      <w:lvlText w:val=""/>
      <w:lvlJc w:val="left"/>
      <w:pPr>
        <w:tabs>
          <w:tab w:val="num" w:pos="5049"/>
        </w:tabs>
        <w:ind w:left="5049" w:hanging="360"/>
      </w:pPr>
      <w:rPr>
        <w:rFonts w:ascii="Symbol" w:hAnsi="Symbol" w:hint="default"/>
        <w:sz w:val="20"/>
      </w:rPr>
    </w:lvl>
    <w:lvl w:ilvl="8" w:tentative="1">
      <w:start w:val="1"/>
      <w:numFmt w:val="bullet"/>
      <w:lvlText w:val=""/>
      <w:lvlJc w:val="left"/>
      <w:pPr>
        <w:tabs>
          <w:tab w:val="num" w:pos="5769"/>
        </w:tabs>
        <w:ind w:left="5769" w:hanging="360"/>
      </w:pPr>
      <w:rPr>
        <w:rFonts w:ascii="Symbol" w:hAnsi="Symbol" w:hint="default"/>
        <w:sz w:val="20"/>
      </w:rPr>
    </w:lvl>
  </w:abstractNum>
  <w:abstractNum w:abstractNumId="2" w15:restartNumberingAfterBreak="0">
    <w:nsid w:val="130F6B4E"/>
    <w:multiLevelType w:val="hybridMultilevel"/>
    <w:tmpl w:val="2EE44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B32566"/>
    <w:multiLevelType w:val="multilevel"/>
    <w:tmpl w:val="9EA0D2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3F6018BF"/>
    <w:multiLevelType w:val="hybridMultilevel"/>
    <w:tmpl w:val="0004EE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4FA3D9F"/>
    <w:multiLevelType w:val="multilevel"/>
    <w:tmpl w:val="8F3A0D22"/>
    <w:lvl w:ilvl="0">
      <w:start w:val="1"/>
      <w:numFmt w:val="decimal"/>
      <w:lvlText w:val="%1."/>
      <w:lvlJc w:val="left"/>
      <w:pPr>
        <w:tabs>
          <w:tab w:val="num" w:pos="76"/>
        </w:tabs>
        <w:ind w:left="76" w:hanging="360"/>
      </w:pPr>
    </w:lvl>
    <w:lvl w:ilvl="1" w:tentative="1">
      <w:start w:val="1"/>
      <w:numFmt w:val="decimal"/>
      <w:lvlText w:val="%2."/>
      <w:lvlJc w:val="left"/>
      <w:pPr>
        <w:tabs>
          <w:tab w:val="num" w:pos="796"/>
        </w:tabs>
        <w:ind w:left="796" w:hanging="360"/>
      </w:pPr>
    </w:lvl>
    <w:lvl w:ilvl="2" w:tentative="1">
      <w:start w:val="1"/>
      <w:numFmt w:val="decimal"/>
      <w:lvlText w:val="%3."/>
      <w:lvlJc w:val="left"/>
      <w:pPr>
        <w:tabs>
          <w:tab w:val="num" w:pos="1516"/>
        </w:tabs>
        <w:ind w:left="1516" w:hanging="360"/>
      </w:pPr>
    </w:lvl>
    <w:lvl w:ilvl="3" w:tentative="1">
      <w:start w:val="1"/>
      <w:numFmt w:val="decimal"/>
      <w:lvlText w:val="%4."/>
      <w:lvlJc w:val="left"/>
      <w:pPr>
        <w:tabs>
          <w:tab w:val="num" w:pos="2236"/>
        </w:tabs>
        <w:ind w:left="2236" w:hanging="360"/>
      </w:pPr>
    </w:lvl>
    <w:lvl w:ilvl="4" w:tentative="1">
      <w:start w:val="1"/>
      <w:numFmt w:val="decimal"/>
      <w:lvlText w:val="%5."/>
      <w:lvlJc w:val="left"/>
      <w:pPr>
        <w:tabs>
          <w:tab w:val="num" w:pos="2956"/>
        </w:tabs>
        <w:ind w:left="2956" w:hanging="360"/>
      </w:pPr>
    </w:lvl>
    <w:lvl w:ilvl="5" w:tentative="1">
      <w:start w:val="1"/>
      <w:numFmt w:val="decimal"/>
      <w:lvlText w:val="%6."/>
      <w:lvlJc w:val="left"/>
      <w:pPr>
        <w:tabs>
          <w:tab w:val="num" w:pos="3676"/>
        </w:tabs>
        <w:ind w:left="3676" w:hanging="360"/>
      </w:pPr>
    </w:lvl>
    <w:lvl w:ilvl="6" w:tentative="1">
      <w:start w:val="1"/>
      <w:numFmt w:val="decimal"/>
      <w:lvlText w:val="%7."/>
      <w:lvlJc w:val="left"/>
      <w:pPr>
        <w:tabs>
          <w:tab w:val="num" w:pos="4396"/>
        </w:tabs>
        <w:ind w:left="4396" w:hanging="360"/>
      </w:pPr>
    </w:lvl>
    <w:lvl w:ilvl="7" w:tentative="1">
      <w:start w:val="1"/>
      <w:numFmt w:val="decimal"/>
      <w:lvlText w:val="%8."/>
      <w:lvlJc w:val="left"/>
      <w:pPr>
        <w:tabs>
          <w:tab w:val="num" w:pos="5116"/>
        </w:tabs>
        <w:ind w:left="5116" w:hanging="360"/>
      </w:pPr>
    </w:lvl>
    <w:lvl w:ilvl="8" w:tentative="1">
      <w:start w:val="1"/>
      <w:numFmt w:val="decimal"/>
      <w:lvlText w:val="%9."/>
      <w:lvlJc w:val="left"/>
      <w:pPr>
        <w:tabs>
          <w:tab w:val="num" w:pos="5836"/>
        </w:tabs>
        <w:ind w:left="5836" w:hanging="360"/>
      </w:pPr>
    </w:lvl>
  </w:abstractNum>
  <w:abstractNum w:abstractNumId="6" w15:restartNumberingAfterBreak="0">
    <w:nsid w:val="6C5D69D7"/>
    <w:multiLevelType w:val="hybridMultilevel"/>
    <w:tmpl w:val="3EA255F4"/>
    <w:lvl w:ilvl="0" w:tplc="A1FE3CD8">
      <w:numFmt w:val="bullet"/>
      <w:lvlText w:val="-"/>
      <w:lvlJc w:val="left"/>
      <w:pPr>
        <w:ind w:left="720" w:hanging="360"/>
      </w:pPr>
      <w:rPr>
        <w:rFonts w:ascii="Aptos" w:eastAsia="Times New Roman" w:hAnsi="Apto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8B91072"/>
    <w:multiLevelType w:val="multilevel"/>
    <w:tmpl w:val="8F3A0D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31219198">
    <w:abstractNumId w:val="2"/>
  </w:num>
  <w:num w:numId="2" w16cid:durableId="2138527473">
    <w:abstractNumId w:val="3"/>
  </w:num>
  <w:num w:numId="3" w16cid:durableId="534658455">
    <w:abstractNumId w:val="1"/>
  </w:num>
  <w:num w:numId="4" w16cid:durableId="999768309">
    <w:abstractNumId w:val="4"/>
  </w:num>
  <w:num w:numId="5" w16cid:durableId="1114638237">
    <w:abstractNumId w:val="5"/>
  </w:num>
  <w:num w:numId="6" w16cid:durableId="1891920632">
    <w:abstractNumId w:val="7"/>
  </w:num>
  <w:num w:numId="7" w16cid:durableId="227158764">
    <w:abstractNumId w:val="0"/>
  </w:num>
  <w:num w:numId="8" w16cid:durableId="94230090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49"/>
    <w:rsid w:val="00000B50"/>
    <w:rsid w:val="00002D97"/>
    <w:rsid w:val="00004974"/>
    <w:rsid w:val="000052C5"/>
    <w:rsid w:val="0000564B"/>
    <w:rsid w:val="00006515"/>
    <w:rsid w:val="00010DBC"/>
    <w:rsid w:val="00012B37"/>
    <w:rsid w:val="0001469C"/>
    <w:rsid w:val="00015CFC"/>
    <w:rsid w:val="00015E3E"/>
    <w:rsid w:val="00016089"/>
    <w:rsid w:val="000164E4"/>
    <w:rsid w:val="00016951"/>
    <w:rsid w:val="00020053"/>
    <w:rsid w:val="00020846"/>
    <w:rsid w:val="00020F58"/>
    <w:rsid w:val="00021700"/>
    <w:rsid w:val="00021970"/>
    <w:rsid w:val="00021CD1"/>
    <w:rsid w:val="0002235B"/>
    <w:rsid w:val="00026208"/>
    <w:rsid w:val="00026A36"/>
    <w:rsid w:val="00032C46"/>
    <w:rsid w:val="00032D6F"/>
    <w:rsid w:val="000346C8"/>
    <w:rsid w:val="000349B8"/>
    <w:rsid w:val="00035232"/>
    <w:rsid w:val="000353EA"/>
    <w:rsid w:val="000358E8"/>
    <w:rsid w:val="00036070"/>
    <w:rsid w:val="00037C60"/>
    <w:rsid w:val="00040231"/>
    <w:rsid w:val="000404EF"/>
    <w:rsid w:val="000405CC"/>
    <w:rsid w:val="00040F07"/>
    <w:rsid w:val="000421F8"/>
    <w:rsid w:val="0004447A"/>
    <w:rsid w:val="000445A1"/>
    <w:rsid w:val="000469E5"/>
    <w:rsid w:val="00046CAA"/>
    <w:rsid w:val="00047106"/>
    <w:rsid w:val="00051D2C"/>
    <w:rsid w:val="00052905"/>
    <w:rsid w:val="00052D6E"/>
    <w:rsid w:val="00053456"/>
    <w:rsid w:val="00053529"/>
    <w:rsid w:val="00053D93"/>
    <w:rsid w:val="00054167"/>
    <w:rsid w:val="000559BD"/>
    <w:rsid w:val="00057C1D"/>
    <w:rsid w:val="000603EA"/>
    <w:rsid w:val="00061126"/>
    <w:rsid w:val="000615F3"/>
    <w:rsid w:val="00061D20"/>
    <w:rsid w:val="00065F39"/>
    <w:rsid w:val="000668CD"/>
    <w:rsid w:val="00066A1B"/>
    <w:rsid w:val="00066C15"/>
    <w:rsid w:val="000701E3"/>
    <w:rsid w:val="000714D7"/>
    <w:rsid w:val="0007258B"/>
    <w:rsid w:val="00073B7F"/>
    <w:rsid w:val="00074035"/>
    <w:rsid w:val="000747DB"/>
    <w:rsid w:val="00074B2B"/>
    <w:rsid w:val="000754D9"/>
    <w:rsid w:val="00075D9F"/>
    <w:rsid w:val="00076037"/>
    <w:rsid w:val="000760F2"/>
    <w:rsid w:val="000776D1"/>
    <w:rsid w:val="0008115F"/>
    <w:rsid w:val="00082E0A"/>
    <w:rsid w:val="00082F16"/>
    <w:rsid w:val="00082F91"/>
    <w:rsid w:val="00082F9C"/>
    <w:rsid w:val="000830BA"/>
    <w:rsid w:val="00085857"/>
    <w:rsid w:val="00086314"/>
    <w:rsid w:val="000868A7"/>
    <w:rsid w:val="00087667"/>
    <w:rsid w:val="00087FA9"/>
    <w:rsid w:val="00092A7C"/>
    <w:rsid w:val="00093570"/>
    <w:rsid w:val="00093696"/>
    <w:rsid w:val="00094014"/>
    <w:rsid w:val="00094ECF"/>
    <w:rsid w:val="000953A6"/>
    <w:rsid w:val="000960BB"/>
    <w:rsid w:val="000972B1"/>
    <w:rsid w:val="00097DD6"/>
    <w:rsid w:val="00097FBB"/>
    <w:rsid w:val="000A0D26"/>
    <w:rsid w:val="000A14E4"/>
    <w:rsid w:val="000A3192"/>
    <w:rsid w:val="000A4546"/>
    <w:rsid w:val="000A49D3"/>
    <w:rsid w:val="000A4C0E"/>
    <w:rsid w:val="000A4E36"/>
    <w:rsid w:val="000A6775"/>
    <w:rsid w:val="000A775B"/>
    <w:rsid w:val="000A79AF"/>
    <w:rsid w:val="000B044B"/>
    <w:rsid w:val="000B12D6"/>
    <w:rsid w:val="000B1505"/>
    <w:rsid w:val="000B1F9F"/>
    <w:rsid w:val="000B2C96"/>
    <w:rsid w:val="000B37FD"/>
    <w:rsid w:val="000B5B2E"/>
    <w:rsid w:val="000B738A"/>
    <w:rsid w:val="000B7615"/>
    <w:rsid w:val="000C00D6"/>
    <w:rsid w:val="000C0419"/>
    <w:rsid w:val="000C1DCC"/>
    <w:rsid w:val="000C22CC"/>
    <w:rsid w:val="000C3670"/>
    <w:rsid w:val="000C3AA0"/>
    <w:rsid w:val="000C4B9C"/>
    <w:rsid w:val="000C7534"/>
    <w:rsid w:val="000C7A55"/>
    <w:rsid w:val="000D1763"/>
    <w:rsid w:val="000D4029"/>
    <w:rsid w:val="000D6577"/>
    <w:rsid w:val="000D689D"/>
    <w:rsid w:val="000D6EC5"/>
    <w:rsid w:val="000D6F79"/>
    <w:rsid w:val="000D79E4"/>
    <w:rsid w:val="000E0FCF"/>
    <w:rsid w:val="000E1389"/>
    <w:rsid w:val="000E31AC"/>
    <w:rsid w:val="000E3C46"/>
    <w:rsid w:val="000E3FF9"/>
    <w:rsid w:val="000E452F"/>
    <w:rsid w:val="000E6B6C"/>
    <w:rsid w:val="000E7571"/>
    <w:rsid w:val="000F1471"/>
    <w:rsid w:val="000F1594"/>
    <w:rsid w:val="000F15DD"/>
    <w:rsid w:val="000F1855"/>
    <w:rsid w:val="000F18B1"/>
    <w:rsid w:val="000F34B8"/>
    <w:rsid w:val="000F45F0"/>
    <w:rsid w:val="000F4DC9"/>
    <w:rsid w:val="000F4EBB"/>
    <w:rsid w:val="000F4F10"/>
    <w:rsid w:val="000F54B0"/>
    <w:rsid w:val="000F5C1C"/>
    <w:rsid w:val="000F6957"/>
    <w:rsid w:val="000F7629"/>
    <w:rsid w:val="0010069B"/>
    <w:rsid w:val="00101251"/>
    <w:rsid w:val="001024A4"/>
    <w:rsid w:val="00102C16"/>
    <w:rsid w:val="00104283"/>
    <w:rsid w:val="001042C9"/>
    <w:rsid w:val="00105A82"/>
    <w:rsid w:val="00110284"/>
    <w:rsid w:val="00110B2F"/>
    <w:rsid w:val="001111C5"/>
    <w:rsid w:val="001120D2"/>
    <w:rsid w:val="0011219F"/>
    <w:rsid w:val="00112D49"/>
    <w:rsid w:val="00113101"/>
    <w:rsid w:val="00113178"/>
    <w:rsid w:val="001154C9"/>
    <w:rsid w:val="00115E22"/>
    <w:rsid w:val="00117C64"/>
    <w:rsid w:val="001200EA"/>
    <w:rsid w:val="00120FFC"/>
    <w:rsid w:val="00121C5B"/>
    <w:rsid w:val="001223C8"/>
    <w:rsid w:val="001223CA"/>
    <w:rsid w:val="00122CBD"/>
    <w:rsid w:val="00123DD4"/>
    <w:rsid w:val="00124121"/>
    <w:rsid w:val="001247D9"/>
    <w:rsid w:val="00124E03"/>
    <w:rsid w:val="00126C81"/>
    <w:rsid w:val="00132326"/>
    <w:rsid w:val="00133529"/>
    <w:rsid w:val="00133BE2"/>
    <w:rsid w:val="00133C36"/>
    <w:rsid w:val="00133F11"/>
    <w:rsid w:val="0013586A"/>
    <w:rsid w:val="00135EE0"/>
    <w:rsid w:val="00137DD6"/>
    <w:rsid w:val="00142708"/>
    <w:rsid w:val="0014414B"/>
    <w:rsid w:val="0014499A"/>
    <w:rsid w:val="00147943"/>
    <w:rsid w:val="00152534"/>
    <w:rsid w:val="00156349"/>
    <w:rsid w:val="00156D05"/>
    <w:rsid w:val="00160878"/>
    <w:rsid w:val="0016119F"/>
    <w:rsid w:val="00162ADD"/>
    <w:rsid w:val="00167825"/>
    <w:rsid w:val="00170EF5"/>
    <w:rsid w:val="0017159D"/>
    <w:rsid w:val="00172962"/>
    <w:rsid w:val="00173BD7"/>
    <w:rsid w:val="00175056"/>
    <w:rsid w:val="001750A4"/>
    <w:rsid w:val="0017659A"/>
    <w:rsid w:val="001767A2"/>
    <w:rsid w:val="00181E83"/>
    <w:rsid w:val="00182472"/>
    <w:rsid w:val="001846B8"/>
    <w:rsid w:val="00184C0E"/>
    <w:rsid w:val="00185813"/>
    <w:rsid w:val="001858CE"/>
    <w:rsid w:val="001872A2"/>
    <w:rsid w:val="00187976"/>
    <w:rsid w:val="0019163F"/>
    <w:rsid w:val="00192343"/>
    <w:rsid w:val="001940B6"/>
    <w:rsid w:val="001943FB"/>
    <w:rsid w:val="00195E3D"/>
    <w:rsid w:val="001961F5"/>
    <w:rsid w:val="00196F97"/>
    <w:rsid w:val="001A0294"/>
    <w:rsid w:val="001A02EE"/>
    <w:rsid w:val="001A0661"/>
    <w:rsid w:val="001A0C01"/>
    <w:rsid w:val="001A0C5E"/>
    <w:rsid w:val="001A130F"/>
    <w:rsid w:val="001A1F71"/>
    <w:rsid w:val="001A26A9"/>
    <w:rsid w:val="001A26C0"/>
    <w:rsid w:val="001A27B7"/>
    <w:rsid w:val="001A3413"/>
    <w:rsid w:val="001A3DAB"/>
    <w:rsid w:val="001A510D"/>
    <w:rsid w:val="001A5375"/>
    <w:rsid w:val="001A60D1"/>
    <w:rsid w:val="001A6DF2"/>
    <w:rsid w:val="001A75F6"/>
    <w:rsid w:val="001A7A4F"/>
    <w:rsid w:val="001A7B84"/>
    <w:rsid w:val="001B0909"/>
    <w:rsid w:val="001B170E"/>
    <w:rsid w:val="001B2646"/>
    <w:rsid w:val="001B2C69"/>
    <w:rsid w:val="001B3476"/>
    <w:rsid w:val="001B37BC"/>
    <w:rsid w:val="001B38B6"/>
    <w:rsid w:val="001B4881"/>
    <w:rsid w:val="001B5A4A"/>
    <w:rsid w:val="001B6325"/>
    <w:rsid w:val="001B6B3C"/>
    <w:rsid w:val="001B7405"/>
    <w:rsid w:val="001B7EC0"/>
    <w:rsid w:val="001B7F36"/>
    <w:rsid w:val="001C065D"/>
    <w:rsid w:val="001C1308"/>
    <w:rsid w:val="001C1EB3"/>
    <w:rsid w:val="001C2131"/>
    <w:rsid w:val="001C2AF1"/>
    <w:rsid w:val="001C3209"/>
    <w:rsid w:val="001C329B"/>
    <w:rsid w:val="001C410D"/>
    <w:rsid w:val="001C4800"/>
    <w:rsid w:val="001C5315"/>
    <w:rsid w:val="001C7C28"/>
    <w:rsid w:val="001D0971"/>
    <w:rsid w:val="001D1CC0"/>
    <w:rsid w:val="001D3388"/>
    <w:rsid w:val="001D3C09"/>
    <w:rsid w:val="001D7682"/>
    <w:rsid w:val="001D7755"/>
    <w:rsid w:val="001E1E97"/>
    <w:rsid w:val="001E1FA3"/>
    <w:rsid w:val="001E3547"/>
    <w:rsid w:val="001E6550"/>
    <w:rsid w:val="001E7308"/>
    <w:rsid w:val="001F0E09"/>
    <w:rsid w:val="001F0EED"/>
    <w:rsid w:val="001F1691"/>
    <w:rsid w:val="001F2662"/>
    <w:rsid w:val="001F3276"/>
    <w:rsid w:val="001F5282"/>
    <w:rsid w:val="001F71FC"/>
    <w:rsid w:val="001F7BFD"/>
    <w:rsid w:val="00203648"/>
    <w:rsid w:val="002036AC"/>
    <w:rsid w:val="0020518C"/>
    <w:rsid w:val="002074D5"/>
    <w:rsid w:val="0021155F"/>
    <w:rsid w:val="0021199D"/>
    <w:rsid w:val="00211B7E"/>
    <w:rsid w:val="0021256A"/>
    <w:rsid w:val="002128D7"/>
    <w:rsid w:val="00212F11"/>
    <w:rsid w:val="00213842"/>
    <w:rsid w:val="00213F59"/>
    <w:rsid w:val="00214CDF"/>
    <w:rsid w:val="002150F1"/>
    <w:rsid w:val="002157D4"/>
    <w:rsid w:val="00216561"/>
    <w:rsid w:val="00217CC1"/>
    <w:rsid w:val="00220EE5"/>
    <w:rsid w:val="00222376"/>
    <w:rsid w:val="00222516"/>
    <w:rsid w:val="002227B5"/>
    <w:rsid w:val="0022283F"/>
    <w:rsid w:val="00222CB2"/>
    <w:rsid w:val="00223FB1"/>
    <w:rsid w:val="002276BA"/>
    <w:rsid w:val="002276F9"/>
    <w:rsid w:val="00230D50"/>
    <w:rsid w:val="0023131F"/>
    <w:rsid w:val="00231335"/>
    <w:rsid w:val="00231CE7"/>
    <w:rsid w:val="0023224F"/>
    <w:rsid w:val="00232623"/>
    <w:rsid w:val="00233EC7"/>
    <w:rsid w:val="00234E37"/>
    <w:rsid w:val="002359A2"/>
    <w:rsid w:val="00235E9C"/>
    <w:rsid w:val="0023702C"/>
    <w:rsid w:val="0024003C"/>
    <w:rsid w:val="00240B73"/>
    <w:rsid w:val="00241808"/>
    <w:rsid w:val="00242AB1"/>
    <w:rsid w:val="00242F2E"/>
    <w:rsid w:val="00245FF2"/>
    <w:rsid w:val="00246454"/>
    <w:rsid w:val="00246CCB"/>
    <w:rsid w:val="00247FF1"/>
    <w:rsid w:val="002510F5"/>
    <w:rsid w:val="00251600"/>
    <w:rsid w:val="00254A68"/>
    <w:rsid w:val="00256A38"/>
    <w:rsid w:val="0025747B"/>
    <w:rsid w:val="0026121F"/>
    <w:rsid w:val="002617A7"/>
    <w:rsid w:val="00262C97"/>
    <w:rsid w:val="002630B0"/>
    <w:rsid w:val="00264A08"/>
    <w:rsid w:val="002657A8"/>
    <w:rsid w:val="00266076"/>
    <w:rsid w:val="0026649A"/>
    <w:rsid w:val="00270224"/>
    <w:rsid w:val="00271224"/>
    <w:rsid w:val="00272001"/>
    <w:rsid w:val="0027365E"/>
    <w:rsid w:val="00273959"/>
    <w:rsid w:val="002751CF"/>
    <w:rsid w:val="002754B6"/>
    <w:rsid w:val="00275563"/>
    <w:rsid w:val="002758C2"/>
    <w:rsid w:val="00275BE8"/>
    <w:rsid w:val="00276279"/>
    <w:rsid w:val="00276AD2"/>
    <w:rsid w:val="0028247A"/>
    <w:rsid w:val="00282D1F"/>
    <w:rsid w:val="00283974"/>
    <w:rsid w:val="00284AB2"/>
    <w:rsid w:val="00285E95"/>
    <w:rsid w:val="00291BD3"/>
    <w:rsid w:val="00291C7F"/>
    <w:rsid w:val="00291DAA"/>
    <w:rsid w:val="00292387"/>
    <w:rsid w:val="00292800"/>
    <w:rsid w:val="0029280D"/>
    <w:rsid w:val="00292C6D"/>
    <w:rsid w:val="00293AA7"/>
    <w:rsid w:val="002945EC"/>
    <w:rsid w:val="00295B89"/>
    <w:rsid w:val="00297414"/>
    <w:rsid w:val="002A1FCD"/>
    <w:rsid w:val="002A30FD"/>
    <w:rsid w:val="002A5E75"/>
    <w:rsid w:val="002A6401"/>
    <w:rsid w:val="002A6FAE"/>
    <w:rsid w:val="002B165C"/>
    <w:rsid w:val="002B1A8A"/>
    <w:rsid w:val="002B39AC"/>
    <w:rsid w:val="002B450A"/>
    <w:rsid w:val="002B4FC8"/>
    <w:rsid w:val="002B60F2"/>
    <w:rsid w:val="002B6B4E"/>
    <w:rsid w:val="002C0D23"/>
    <w:rsid w:val="002C1135"/>
    <w:rsid w:val="002C16A0"/>
    <w:rsid w:val="002C6F2F"/>
    <w:rsid w:val="002C7EDB"/>
    <w:rsid w:val="002D2149"/>
    <w:rsid w:val="002D318C"/>
    <w:rsid w:val="002D3734"/>
    <w:rsid w:val="002D37A6"/>
    <w:rsid w:val="002D40B4"/>
    <w:rsid w:val="002D4857"/>
    <w:rsid w:val="002D4B6B"/>
    <w:rsid w:val="002D4E48"/>
    <w:rsid w:val="002D5A12"/>
    <w:rsid w:val="002D6D70"/>
    <w:rsid w:val="002D6F8B"/>
    <w:rsid w:val="002E1627"/>
    <w:rsid w:val="002E21CD"/>
    <w:rsid w:val="002E391C"/>
    <w:rsid w:val="002E3F30"/>
    <w:rsid w:val="002E4444"/>
    <w:rsid w:val="002E4F4B"/>
    <w:rsid w:val="002E597A"/>
    <w:rsid w:val="002E5D34"/>
    <w:rsid w:val="002E6318"/>
    <w:rsid w:val="002E6DA2"/>
    <w:rsid w:val="002E6DEE"/>
    <w:rsid w:val="002E7C63"/>
    <w:rsid w:val="002E7E9E"/>
    <w:rsid w:val="002F201E"/>
    <w:rsid w:val="002F2422"/>
    <w:rsid w:val="002F3165"/>
    <w:rsid w:val="002F4BEB"/>
    <w:rsid w:val="002F5A65"/>
    <w:rsid w:val="002F6B64"/>
    <w:rsid w:val="002F6EF3"/>
    <w:rsid w:val="002F6FEF"/>
    <w:rsid w:val="00300436"/>
    <w:rsid w:val="00300717"/>
    <w:rsid w:val="00300770"/>
    <w:rsid w:val="00302331"/>
    <w:rsid w:val="0030355C"/>
    <w:rsid w:val="003042E0"/>
    <w:rsid w:val="00304BC8"/>
    <w:rsid w:val="00304BD8"/>
    <w:rsid w:val="00304E17"/>
    <w:rsid w:val="0030628B"/>
    <w:rsid w:val="003103B2"/>
    <w:rsid w:val="00310F50"/>
    <w:rsid w:val="00311651"/>
    <w:rsid w:val="003131FB"/>
    <w:rsid w:val="00313651"/>
    <w:rsid w:val="00314386"/>
    <w:rsid w:val="00315916"/>
    <w:rsid w:val="00315E82"/>
    <w:rsid w:val="00316D47"/>
    <w:rsid w:val="00317A8C"/>
    <w:rsid w:val="00322BE5"/>
    <w:rsid w:val="00323084"/>
    <w:rsid w:val="00323136"/>
    <w:rsid w:val="003231D9"/>
    <w:rsid w:val="00323FCD"/>
    <w:rsid w:val="00324909"/>
    <w:rsid w:val="00324A83"/>
    <w:rsid w:val="00324C5E"/>
    <w:rsid w:val="0032572D"/>
    <w:rsid w:val="00326CF6"/>
    <w:rsid w:val="00327B12"/>
    <w:rsid w:val="0033056A"/>
    <w:rsid w:val="00331269"/>
    <w:rsid w:val="0033271C"/>
    <w:rsid w:val="003333BF"/>
    <w:rsid w:val="00333A52"/>
    <w:rsid w:val="003355BC"/>
    <w:rsid w:val="00335757"/>
    <w:rsid w:val="0033593D"/>
    <w:rsid w:val="00337F34"/>
    <w:rsid w:val="00340426"/>
    <w:rsid w:val="0034103B"/>
    <w:rsid w:val="00341041"/>
    <w:rsid w:val="00341209"/>
    <w:rsid w:val="00346329"/>
    <w:rsid w:val="003464E2"/>
    <w:rsid w:val="00346E4E"/>
    <w:rsid w:val="00351E5A"/>
    <w:rsid w:val="003530CB"/>
    <w:rsid w:val="00355840"/>
    <w:rsid w:val="003575CC"/>
    <w:rsid w:val="00361A97"/>
    <w:rsid w:val="0036235E"/>
    <w:rsid w:val="00362612"/>
    <w:rsid w:val="00362D54"/>
    <w:rsid w:val="00363174"/>
    <w:rsid w:val="00363B4C"/>
    <w:rsid w:val="00363ED2"/>
    <w:rsid w:val="00364035"/>
    <w:rsid w:val="00364C44"/>
    <w:rsid w:val="00365CD0"/>
    <w:rsid w:val="00366395"/>
    <w:rsid w:val="003671C0"/>
    <w:rsid w:val="00367564"/>
    <w:rsid w:val="00370BF4"/>
    <w:rsid w:val="00370E13"/>
    <w:rsid w:val="00371E96"/>
    <w:rsid w:val="0037208E"/>
    <w:rsid w:val="0037391C"/>
    <w:rsid w:val="00374F31"/>
    <w:rsid w:val="00377746"/>
    <w:rsid w:val="00380653"/>
    <w:rsid w:val="00382219"/>
    <w:rsid w:val="003835CD"/>
    <w:rsid w:val="00383BA4"/>
    <w:rsid w:val="00383D08"/>
    <w:rsid w:val="0038428B"/>
    <w:rsid w:val="003845CC"/>
    <w:rsid w:val="00384AD9"/>
    <w:rsid w:val="00386996"/>
    <w:rsid w:val="00386AB5"/>
    <w:rsid w:val="00387EE2"/>
    <w:rsid w:val="00390D5C"/>
    <w:rsid w:val="00393E42"/>
    <w:rsid w:val="00394F04"/>
    <w:rsid w:val="00395C73"/>
    <w:rsid w:val="00397A0D"/>
    <w:rsid w:val="003A0A01"/>
    <w:rsid w:val="003A12C1"/>
    <w:rsid w:val="003A5AC6"/>
    <w:rsid w:val="003A5B17"/>
    <w:rsid w:val="003A5C45"/>
    <w:rsid w:val="003A6116"/>
    <w:rsid w:val="003A7183"/>
    <w:rsid w:val="003A77B3"/>
    <w:rsid w:val="003B16EC"/>
    <w:rsid w:val="003B1825"/>
    <w:rsid w:val="003B2EDD"/>
    <w:rsid w:val="003B4C55"/>
    <w:rsid w:val="003B7448"/>
    <w:rsid w:val="003C03B2"/>
    <w:rsid w:val="003C171E"/>
    <w:rsid w:val="003C29B0"/>
    <w:rsid w:val="003C2EAB"/>
    <w:rsid w:val="003C3ED0"/>
    <w:rsid w:val="003C55F7"/>
    <w:rsid w:val="003D0313"/>
    <w:rsid w:val="003D2275"/>
    <w:rsid w:val="003D2F1B"/>
    <w:rsid w:val="003D3111"/>
    <w:rsid w:val="003D424E"/>
    <w:rsid w:val="003D483F"/>
    <w:rsid w:val="003D4D9F"/>
    <w:rsid w:val="003D51A5"/>
    <w:rsid w:val="003D5AC2"/>
    <w:rsid w:val="003D60D2"/>
    <w:rsid w:val="003D763C"/>
    <w:rsid w:val="003D7954"/>
    <w:rsid w:val="003E0B82"/>
    <w:rsid w:val="003E1088"/>
    <w:rsid w:val="003E2D5F"/>
    <w:rsid w:val="003E4346"/>
    <w:rsid w:val="003E4507"/>
    <w:rsid w:val="003E4835"/>
    <w:rsid w:val="003E525A"/>
    <w:rsid w:val="003E52B6"/>
    <w:rsid w:val="003E5C45"/>
    <w:rsid w:val="003E668C"/>
    <w:rsid w:val="003F014E"/>
    <w:rsid w:val="003F0898"/>
    <w:rsid w:val="003F2958"/>
    <w:rsid w:val="003F2AA1"/>
    <w:rsid w:val="003F3352"/>
    <w:rsid w:val="003F3759"/>
    <w:rsid w:val="003F4115"/>
    <w:rsid w:val="003F4668"/>
    <w:rsid w:val="003F5579"/>
    <w:rsid w:val="003F58C2"/>
    <w:rsid w:val="003F5D2F"/>
    <w:rsid w:val="003F5F86"/>
    <w:rsid w:val="00400769"/>
    <w:rsid w:val="00403E80"/>
    <w:rsid w:val="00403F1C"/>
    <w:rsid w:val="004055D6"/>
    <w:rsid w:val="004100B4"/>
    <w:rsid w:val="004104FA"/>
    <w:rsid w:val="0041149E"/>
    <w:rsid w:val="00411715"/>
    <w:rsid w:val="004119B6"/>
    <w:rsid w:val="00411E51"/>
    <w:rsid w:val="0041469D"/>
    <w:rsid w:val="004205C9"/>
    <w:rsid w:val="00420673"/>
    <w:rsid w:val="00421C67"/>
    <w:rsid w:val="00425681"/>
    <w:rsid w:val="00427D2F"/>
    <w:rsid w:val="00427F7C"/>
    <w:rsid w:val="0043160D"/>
    <w:rsid w:val="004354AB"/>
    <w:rsid w:val="00436294"/>
    <w:rsid w:val="00436814"/>
    <w:rsid w:val="00436D12"/>
    <w:rsid w:val="00436E49"/>
    <w:rsid w:val="004404D7"/>
    <w:rsid w:val="00440D54"/>
    <w:rsid w:val="00441445"/>
    <w:rsid w:val="0044159D"/>
    <w:rsid w:val="00442CB8"/>
    <w:rsid w:val="004434B7"/>
    <w:rsid w:val="0044385E"/>
    <w:rsid w:val="00443B70"/>
    <w:rsid w:val="00444C1A"/>
    <w:rsid w:val="0044659B"/>
    <w:rsid w:val="0044781B"/>
    <w:rsid w:val="00451AFF"/>
    <w:rsid w:val="00453414"/>
    <w:rsid w:val="00453F50"/>
    <w:rsid w:val="004541AA"/>
    <w:rsid w:val="00454B28"/>
    <w:rsid w:val="00454F17"/>
    <w:rsid w:val="00455322"/>
    <w:rsid w:val="004561EE"/>
    <w:rsid w:val="0045761A"/>
    <w:rsid w:val="004604FE"/>
    <w:rsid w:val="004610ED"/>
    <w:rsid w:val="004617C4"/>
    <w:rsid w:val="004632EE"/>
    <w:rsid w:val="00463322"/>
    <w:rsid w:val="00466630"/>
    <w:rsid w:val="004708F6"/>
    <w:rsid w:val="00470DB2"/>
    <w:rsid w:val="00471731"/>
    <w:rsid w:val="00474945"/>
    <w:rsid w:val="00475187"/>
    <w:rsid w:val="004779A2"/>
    <w:rsid w:val="00480956"/>
    <w:rsid w:val="00480EE1"/>
    <w:rsid w:val="00481747"/>
    <w:rsid w:val="0048191C"/>
    <w:rsid w:val="00482E49"/>
    <w:rsid w:val="004837FD"/>
    <w:rsid w:val="004838B0"/>
    <w:rsid w:val="004838C3"/>
    <w:rsid w:val="00486384"/>
    <w:rsid w:val="00493DE9"/>
    <w:rsid w:val="00494860"/>
    <w:rsid w:val="00494AAF"/>
    <w:rsid w:val="00495360"/>
    <w:rsid w:val="00497618"/>
    <w:rsid w:val="004A1209"/>
    <w:rsid w:val="004A4535"/>
    <w:rsid w:val="004A48EA"/>
    <w:rsid w:val="004A4F97"/>
    <w:rsid w:val="004A517E"/>
    <w:rsid w:val="004A5665"/>
    <w:rsid w:val="004A58EB"/>
    <w:rsid w:val="004A5CDA"/>
    <w:rsid w:val="004A619C"/>
    <w:rsid w:val="004A6698"/>
    <w:rsid w:val="004A680D"/>
    <w:rsid w:val="004A6D36"/>
    <w:rsid w:val="004B0FA4"/>
    <w:rsid w:val="004B1949"/>
    <w:rsid w:val="004B23D1"/>
    <w:rsid w:val="004B324F"/>
    <w:rsid w:val="004B4620"/>
    <w:rsid w:val="004B5BF9"/>
    <w:rsid w:val="004B6D0D"/>
    <w:rsid w:val="004C0066"/>
    <w:rsid w:val="004C31BA"/>
    <w:rsid w:val="004C333F"/>
    <w:rsid w:val="004C3CA8"/>
    <w:rsid w:val="004C3FF6"/>
    <w:rsid w:val="004C5024"/>
    <w:rsid w:val="004C5211"/>
    <w:rsid w:val="004C5EE2"/>
    <w:rsid w:val="004C60B4"/>
    <w:rsid w:val="004D0CD9"/>
    <w:rsid w:val="004D1D06"/>
    <w:rsid w:val="004D6CC1"/>
    <w:rsid w:val="004D70C8"/>
    <w:rsid w:val="004D730C"/>
    <w:rsid w:val="004D7A05"/>
    <w:rsid w:val="004E3B29"/>
    <w:rsid w:val="004E4C66"/>
    <w:rsid w:val="004E4F68"/>
    <w:rsid w:val="004E5309"/>
    <w:rsid w:val="004E55DA"/>
    <w:rsid w:val="004E6022"/>
    <w:rsid w:val="004E64FB"/>
    <w:rsid w:val="004E75A6"/>
    <w:rsid w:val="004F17C9"/>
    <w:rsid w:val="004F2C9E"/>
    <w:rsid w:val="004F2F58"/>
    <w:rsid w:val="004F37DD"/>
    <w:rsid w:val="004F4779"/>
    <w:rsid w:val="004F5AD6"/>
    <w:rsid w:val="004F5D7D"/>
    <w:rsid w:val="004F695D"/>
    <w:rsid w:val="005000A3"/>
    <w:rsid w:val="00501232"/>
    <w:rsid w:val="00501812"/>
    <w:rsid w:val="00501DE8"/>
    <w:rsid w:val="00502990"/>
    <w:rsid w:val="005034DF"/>
    <w:rsid w:val="005037A0"/>
    <w:rsid w:val="005049C1"/>
    <w:rsid w:val="005055E9"/>
    <w:rsid w:val="00506356"/>
    <w:rsid w:val="00507D89"/>
    <w:rsid w:val="0051036D"/>
    <w:rsid w:val="005116B0"/>
    <w:rsid w:val="0051232C"/>
    <w:rsid w:val="0051425C"/>
    <w:rsid w:val="0051513B"/>
    <w:rsid w:val="00516FCA"/>
    <w:rsid w:val="00520ADB"/>
    <w:rsid w:val="005211B0"/>
    <w:rsid w:val="00523212"/>
    <w:rsid w:val="005237BA"/>
    <w:rsid w:val="005237E6"/>
    <w:rsid w:val="005265B7"/>
    <w:rsid w:val="00526D93"/>
    <w:rsid w:val="00532C56"/>
    <w:rsid w:val="00532E0B"/>
    <w:rsid w:val="00535BFF"/>
    <w:rsid w:val="00536CBC"/>
    <w:rsid w:val="00536CCD"/>
    <w:rsid w:val="00537CF3"/>
    <w:rsid w:val="00542880"/>
    <w:rsid w:val="00542B1B"/>
    <w:rsid w:val="005433C0"/>
    <w:rsid w:val="00543409"/>
    <w:rsid w:val="00543A3E"/>
    <w:rsid w:val="005442DF"/>
    <w:rsid w:val="005468D2"/>
    <w:rsid w:val="00550F79"/>
    <w:rsid w:val="00551DB2"/>
    <w:rsid w:val="00551E3E"/>
    <w:rsid w:val="005526B2"/>
    <w:rsid w:val="00552A7D"/>
    <w:rsid w:val="005531CB"/>
    <w:rsid w:val="00553668"/>
    <w:rsid w:val="00553F78"/>
    <w:rsid w:val="005541A6"/>
    <w:rsid w:val="0055431C"/>
    <w:rsid w:val="0055467C"/>
    <w:rsid w:val="00554CC1"/>
    <w:rsid w:val="00557212"/>
    <w:rsid w:val="005615DD"/>
    <w:rsid w:val="00561665"/>
    <w:rsid w:val="005617FF"/>
    <w:rsid w:val="00564166"/>
    <w:rsid w:val="00564E9D"/>
    <w:rsid w:val="00566AC7"/>
    <w:rsid w:val="00567523"/>
    <w:rsid w:val="00570909"/>
    <w:rsid w:val="00570C61"/>
    <w:rsid w:val="00570C73"/>
    <w:rsid w:val="00572620"/>
    <w:rsid w:val="00572DC7"/>
    <w:rsid w:val="00575E19"/>
    <w:rsid w:val="00577DAD"/>
    <w:rsid w:val="00577F0D"/>
    <w:rsid w:val="00582BB7"/>
    <w:rsid w:val="005847A4"/>
    <w:rsid w:val="005858C1"/>
    <w:rsid w:val="0058637F"/>
    <w:rsid w:val="00586698"/>
    <w:rsid w:val="0059066C"/>
    <w:rsid w:val="005912CC"/>
    <w:rsid w:val="00592440"/>
    <w:rsid w:val="00592860"/>
    <w:rsid w:val="005928D1"/>
    <w:rsid w:val="0059312C"/>
    <w:rsid w:val="00593887"/>
    <w:rsid w:val="00593FCA"/>
    <w:rsid w:val="00595D75"/>
    <w:rsid w:val="005A0473"/>
    <w:rsid w:val="005A18E1"/>
    <w:rsid w:val="005A1941"/>
    <w:rsid w:val="005A2B63"/>
    <w:rsid w:val="005A2BDF"/>
    <w:rsid w:val="005A30B2"/>
    <w:rsid w:val="005A4A12"/>
    <w:rsid w:val="005A5778"/>
    <w:rsid w:val="005A75C2"/>
    <w:rsid w:val="005A7DE0"/>
    <w:rsid w:val="005A7FE5"/>
    <w:rsid w:val="005B1703"/>
    <w:rsid w:val="005B23F1"/>
    <w:rsid w:val="005B2FD9"/>
    <w:rsid w:val="005B3540"/>
    <w:rsid w:val="005B3541"/>
    <w:rsid w:val="005B366F"/>
    <w:rsid w:val="005B3B03"/>
    <w:rsid w:val="005B5E51"/>
    <w:rsid w:val="005B6181"/>
    <w:rsid w:val="005B63C3"/>
    <w:rsid w:val="005B7257"/>
    <w:rsid w:val="005B7E58"/>
    <w:rsid w:val="005C0382"/>
    <w:rsid w:val="005C302C"/>
    <w:rsid w:val="005C4895"/>
    <w:rsid w:val="005C5137"/>
    <w:rsid w:val="005C51FD"/>
    <w:rsid w:val="005C5DBA"/>
    <w:rsid w:val="005C5F7E"/>
    <w:rsid w:val="005C60A1"/>
    <w:rsid w:val="005C6355"/>
    <w:rsid w:val="005C6487"/>
    <w:rsid w:val="005C6676"/>
    <w:rsid w:val="005D18C0"/>
    <w:rsid w:val="005D2938"/>
    <w:rsid w:val="005D353C"/>
    <w:rsid w:val="005D3CE2"/>
    <w:rsid w:val="005D3DBA"/>
    <w:rsid w:val="005D4E77"/>
    <w:rsid w:val="005D57A0"/>
    <w:rsid w:val="005D5CF5"/>
    <w:rsid w:val="005D5FA3"/>
    <w:rsid w:val="005D63FE"/>
    <w:rsid w:val="005E0F76"/>
    <w:rsid w:val="005E3B40"/>
    <w:rsid w:val="005E5934"/>
    <w:rsid w:val="005E6B21"/>
    <w:rsid w:val="005E6EA6"/>
    <w:rsid w:val="005E70E8"/>
    <w:rsid w:val="005F0D3B"/>
    <w:rsid w:val="005F0FD9"/>
    <w:rsid w:val="005F1361"/>
    <w:rsid w:val="005F25BD"/>
    <w:rsid w:val="005F3476"/>
    <w:rsid w:val="005F4F4F"/>
    <w:rsid w:val="00600505"/>
    <w:rsid w:val="0060090F"/>
    <w:rsid w:val="00600A1D"/>
    <w:rsid w:val="00600A5F"/>
    <w:rsid w:val="00600AA4"/>
    <w:rsid w:val="00600E37"/>
    <w:rsid w:val="006016D8"/>
    <w:rsid w:val="006020E8"/>
    <w:rsid w:val="00603A60"/>
    <w:rsid w:val="00605499"/>
    <w:rsid w:val="00605BD8"/>
    <w:rsid w:val="00606269"/>
    <w:rsid w:val="00606B8F"/>
    <w:rsid w:val="00607A6C"/>
    <w:rsid w:val="0061179B"/>
    <w:rsid w:val="00611AFF"/>
    <w:rsid w:val="00612774"/>
    <w:rsid w:val="006130C9"/>
    <w:rsid w:val="006133AB"/>
    <w:rsid w:val="0061348C"/>
    <w:rsid w:val="006139C4"/>
    <w:rsid w:val="00613A9B"/>
    <w:rsid w:val="00614E89"/>
    <w:rsid w:val="00614EE3"/>
    <w:rsid w:val="00615288"/>
    <w:rsid w:val="00616880"/>
    <w:rsid w:val="00617504"/>
    <w:rsid w:val="00620A2C"/>
    <w:rsid w:val="00620C05"/>
    <w:rsid w:val="0062201B"/>
    <w:rsid w:val="00622F22"/>
    <w:rsid w:val="00624DB2"/>
    <w:rsid w:val="00625075"/>
    <w:rsid w:val="006258DE"/>
    <w:rsid w:val="006277E5"/>
    <w:rsid w:val="00630420"/>
    <w:rsid w:val="00632B74"/>
    <w:rsid w:val="00632E08"/>
    <w:rsid w:val="0063430D"/>
    <w:rsid w:val="0063633C"/>
    <w:rsid w:val="006368C3"/>
    <w:rsid w:val="00636F46"/>
    <w:rsid w:val="006372BF"/>
    <w:rsid w:val="00640317"/>
    <w:rsid w:val="006413E3"/>
    <w:rsid w:val="006426EF"/>
    <w:rsid w:val="00642830"/>
    <w:rsid w:val="00643B2B"/>
    <w:rsid w:val="006449E1"/>
    <w:rsid w:val="00645C56"/>
    <w:rsid w:val="00646E38"/>
    <w:rsid w:val="0064718A"/>
    <w:rsid w:val="00650DF5"/>
    <w:rsid w:val="00651558"/>
    <w:rsid w:val="00652DC3"/>
    <w:rsid w:val="00653FD1"/>
    <w:rsid w:val="00655F63"/>
    <w:rsid w:val="0065674B"/>
    <w:rsid w:val="00657361"/>
    <w:rsid w:val="00657534"/>
    <w:rsid w:val="0065777D"/>
    <w:rsid w:val="00660212"/>
    <w:rsid w:val="00660557"/>
    <w:rsid w:val="00660E8F"/>
    <w:rsid w:val="006638FA"/>
    <w:rsid w:val="0066530A"/>
    <w:rsid w:val="006672BE"/>
    <w:rsid w:val="00667701"/>
    <w:rsid w:val="00670542"/>
    <w:rsid w:val="00670D0A"/>
    <w:rsid w:val="00674B06"/>
    <w:rsid w:val="00675E6A"/>
    <w:rsid w:val="00675ECC"/>
    <w:rsid w:val="0067645C"/>
    <w:rsid w:val="00676559"/>
    <w:rsid w:val="00676B3A"/>
    <w:rsid w:val="006776A7"/>
    <w:rsid w:val="0068661E"/>
    <w:rsid w:val="006909C1"/>
    <w:rsid w:val="0069102B"/>
    <w:rsid w:val="00692401"/>
    <w:rsid w:val="006925B5"/>
    <w:rsid w:val="00692DFB"/>
    <w:rsid w:val="00692F69"/>
    <w:rsid w:val="0069303D"/>
    <w:rsid w:val="00693C39"/>
    <w:rsid w:val="0069465F"/>
    <w:rsid w:val="00694CFC"/>
    <w:rsid w:val="00696006"/>
    <w:rsid w:val="00696F9D"/>
    <w:rsid w:val="006977D2"/>
    <w:rsid w:val="006A08BF"/>
    <w:rsid w:val="006A0B6D"/>
    <w:rsid w:val="006A14DD"/>
    <w:rsid w:val="006A24E3"/>
    <w:rsid w:val="006A2B05"/>
    <w:rsid w:val="006A3A79"/>
    <w:rsid w:val="006A4470"/>
    <w:rsid w:val="006A4593"/>
    <w:rsid w:val="006A535D"/>
    <w:rsid w:val="006A553E"/>
    <w:rsid w:val="006A5EC4"/>
    <w:rsid w:val="006A5F63"/>
    <w:rsid w:val="006A7A64"/>
    <w:rsid w:val="006A7BDB"/>
    <w:rsid w:val="006B16EF"/>
    <w:rsid w:val="006B20A8"/>
    <w:rsid w:val="006B231D"/>
    <w:rsid w:val="006B3DC0"/>
    <w:rsid w:val="006B3E64"/>
    <w:rsid w:val="006B5748"/>
    <w:rsid w:val="006B5FAB"/>
    <w:rsid w:val="006B645F"/>
    <w:rsid w:val="006B6D56"/>
    <w:rsid w:val="006C2916"/>
    <w:rsid w:val="006C3D02"/>
    <w:rsid w:val="006C5BAB"/>
    <w:rsid w:val="006C65E9"/>
    <w:rsid w:val="006C68A9"/>
    <w:rsid w:val="006C7274"/>
    <w:rsid w:val="006C7352"/>
    <w:rsid w:val="006C7913"/>
    <w:rsid w:val="006D0070"/>
    <w:rsid w:val="006D0474"/>
    <w:rsid w:val="006D1970"/>
    <w:rsid w:val="006D2921"/>
    <w:rsid w:val="006D6579"/>
    <w:rsid w:val="006D6C47"/>
    <w:rsid w:val="006D7AEF"/>
    <w:rsid w:val="006D7F18"/>
    <w:rsid w:val="006E0022"/>
    <w:rsid w:val="006E1704"/>
    <w:rsid w:val="006E1904"/>
    <w:rsid w:val="006E1F5F"/>
    <w:rsid w:val="006E22E2"/>
    <w:rsid w:val="006E2408"/>
    <w:rsid w:val="006E2FB0"/>
    <w:rsid w:val="006E5560"/>
    <w:rsid w:val="006E5D11"/>
    <w:rsid w:val="006E7167"/>
    <w:rsid w:val="006E7888"/>
    <w:rsid w:val="006F005F"/>
    <w:rsid w:val="006F0E33"/>
    <w:rsid w:val="006F2D4D"/>
    <w:rsid w:val="006F380E"/>
    <w:rsid w:val="006F4CF2"/>
    <w:rsid w:val="006F694C"/>
    <w:rsid w:val="006F6F15"/>
    <w:rsid w:val="006F76BD"/>
    <w:rsid w:val="00700312"/>
    <w:rsid w:val="0070040C"/>
    <w:rsid w:val="00700871"/>
    <w:rsid w:val="00700DDB"/>
    <w:rsid w:val="00701972"/>
    <w:rsid w:val="007019C8"/>
    <w:rsid w:val="007033B4"/>
    <w:rsid w:val="007074CB"/>
    <w:rsid w:val="007076CD"/>
    <w:rsid w:val="00710382"/>
    <w:rsid w:val="00711021"/>
    <w:rsid w:val="0071119A"/>
    <w:rsid w:val="007114EF"/>
    <w:rsid w:val="007123C1"/>
    <w:rsid w:val="00713477"/>
    <w:rsid w:val="00715087"/>
    <w:rsid w:val="00715730"/>
    <w:rsid w:val="0071622F"/>
    <w:rsid w:val="0071751A"/>
    <w:rsid w:val="00720CAF"/>
    <w:rsid w:val="007217D7"/>
    <w:rsid w:val="007238A1"/>
    <w:rsid w:val="007245B9"/>
    <w:rsid w:val="00725066"/>
    <w:rsid w:val="007254FB"/>
    <w:rsid w:val="00726319"/>
    <w:rsid w:val="00726CC8"/>
    <w:rsid w:val="007307AB"/>
    <w:rsid w:val="0073167C"/>
    <w:rsid w:val="00734B32"/>
    <w:rsid w:val="0073500F"/>
    <w:rsid w:val="0073565E"/>
    <w:rsid w:val="0074010C"/>
    <w:rsid w:val="00741589"/>
    <w:rsid w:val="00741986"/>
    <w:rsid w:val="007423ED"/>
    <w:rsid w:val="0074494F"/>
    <w:rsid w:val="00745955"/>
    <w:rsid w:val="0075038F"/>
    <w:rsid w:val="00750D43"/>
    <w:rsid w:val="007518BE"/>
    <w:rsid w:val="00751EC0"/>
    <w:rsid w:val="00752C7A"/>
    <w:rsid w:val="00755AF3"/>
    <w:rsid w:val="00756C5D"/>
    <w:rsid w:val="00756E8D"/>
    <w:rsid w:val="007604E4"/>
    <w:rsid w:val="0076147A"/>
    <w:rsid w:val="00761730"/>
    <w:rsid w:val="0076296C"/>
    <w:rsid w:val="00762BD8"/>
    <w:rsid w:val="00763000"/>
    <w:rsid w:val="007644B6"/>
    <w:rsid w:val="007704FC"/>
    <w:rsid w:val="00770899"/>
    <w:rsid w:val="00772472"/>
    <w:rsid w:val="00772D51"/>
    <w:rsid w:val="00772FD8"/>
    <w:rsid w:val="0077379D"/>
    <w:rsid w:val="00780876"/>
    <w:rsid w:val="00781498"/>
    <w:rsid w:val="007817DC"/>
    <w:rsid w:val="00781D41"/>
    <w:rsid w:val="007868C1"/>
    <w:rsid w:val="00787D07"/>
    <w:rsid w:val="00790B81"/>
    <w:rsid w:val="00791469"/>
    <w:rsid w:val="007931E6"/>
    <w:rsid w:val="007947B6"/>
    <w:rsid w:val="00794CFF"/>
    <w:rsid w:val="0079534A"/>
    <w:rsid w:val="00795404"/>
    <w:rsid w:val="007954D6"/>
    <w:rsid w:val="0079611D"/>
    <w:rsid w:val="00796296"/>
    <w:rsid w:val="007A0523"/>
    <w:rsid w:val="007A074B"/>
    <w:rsid w:val="007A0D0C"/>
    <w:rsid w:val="007A1EDD"/>
    <w:rsid w:val="007A2C20"/>
    <w:rsid w:val="007A2E74"/>
    <w:rsid w:val="007A3557"/>
    <w:rsid w:val="007A3EE6"/>
    <w:rsid w:val="007A444D"/>
    <w:rsid w:val="007A4BF1"/>
    <w:rsid w:val="007A52FC"/>
    <w:rsid w:val="007A5A99"/>
    <w:rsid w:val="007A6132"/>
    <w:rsid w:val="007A622F"/>
    <w:rsid w:val="007A62B5"/>
    <w:rsid w:val="007A67E2"/>
    <w:rsid w:val="007A7ACA"/>
    <w:rsid w:val="007B01C4"/>
    <w:rsid w:val="007B2DAE"/>
    <w:rsid w:val="007B3035"/>
    <w:rsid w:val="007B3DAA"/>
    <w:rsid w:val="007B4630"/>
    <w:rsid w:val="007B53C3"/>
    <w:rsid w:val="007B574C"/>
    <w:rsid w:val="007B6033"/>
    <w:rsid w:val="007B684B"/>
    <w:rsid w:val="007B6EEF"/>
    <w:rsid w:val="007B748C"/>
    <w:rsid w:val="007C1BA8"/>
    <w:rsid w:val="007C2108"/>
    <w:rsid w:val="007C2150"/>
    <w:rsid w:val="007C3573"/>
    <w:rsid w:val="007C36FA"/>
    <w:rsid w:val="007C44D1"/>
    <w:rsid w:val="007C5B18"/>
    <w:rsid w:val="007C5E46"/>
    <w:rsid w:val="007C730A"/>
    <w:rsid w:val="007D0470"/>
    <w:rsid w:val="007D3750"/>
    <w:rsid w:val="007D4700"/>
    <w:rsid w:val="007D5718"/>
    <w:rsid w:val="007D6243"/>
    <w:rsid w:val="007D772A"/>
    <w:rsid w:val="007E0260"/>
    <w:rsid w:val="007E071A"/>
    <w:rsid w:val="007E19E8"/>
    <w:rsid w:val="007E2292"/>
    <w:rsid w:val="007E2C17"/>
    <w:rsid w:val="007E316D"/>
    <w:rsid w:val="007E3E7E"/>
    <w:rsid w:val="007F134F"/>
    <w:rsid w:val="007F1BD5"/>
    <w:rsid w:val="007F2482"/>
    <w:rsid w:val="007F32E1"/>
    <w:rsid w:val="007F3A36"/>
    <w:rsid w:val="007F5FD0"/>
    <w:rsid w:val="007F623E"/>
    <w:rsid w:val="007F6267"/>
    <w:rsid w:val="007F7811"/>
    <w:rsid w:val="008029C3"/>
    <w:rsid w:val="00802D61"/>
    <w:rsid w:val="00802DB6"/>
    <w:rsid w:val="00805403"/>
    <w:rsid w:val="00806A09"/>
    <w:rsid w:val="00806B71"/>
    <w:rsid w:val="00807FA6"/>
    <w:rsid w:val="00810299"/>
    <w:rsid w:val="008110EB"/>
    <w:rsid w:val="008118C8"/>
    <w:rsid w:val="00811EAF"/>
    <w:rsid w:val="008128BA"/>
    <w:rsid w:val="00813E74"/>
    <w:rsid w:val="00813EA7"/>
    <w:rsid w:val="00815B26"/>
    <w:rsid w:val="00815B61"/>
    <w:rsid w:val="00815B85"/>
    <w:rsid w:val="008165AA"/>
    <w:rsid w:val="008201AB"/>
    <w:rsid w:val="00822282"/>
    <w:rsid w:val="00822383"/>
    <w:rsid w:val="008231F7"/>
    <w:rsid w:val="0082364D"/>
    <w:rsid w:val="00823CCD"/>
    <w:rsid w:val="008267ED"/>
    <w:rsid w:val="00830601"/>
    <w:rsid w:val="00830B8F"/>
    <w:rsid w:val="00831769"/>
    <w:rsid w:val="00831ED0"/>
    <w:rsid w:val="0083214F"/>
    <w:rsid w:val="008326B0"/>
    <w:rsid w:val="008327C6"/>
    <w:rsid w:val="008333F6"/>
    <w:rsid w:val="008351D7"/>
    <w:rsid w:val="00835243"/>
    <w:rsid w:val="00835851"/>
    <w:rsid w:val="008358B4"/>
    <w:rsid w:val="00835CF0"/>
    <w:rsid w:val="008363E2"/>
    <w:rsid w:val="008366FB"/>
    <w:rsid w:val="00837882"/>
    <w:rsid w:val="00837E72"/>
    <w:rsid w:val="008408DF"/>
    <w:rsid w:val="008431E3"/>
    <w:rsid w:val="00843987"/>
    <w:rsid w:val="00843A08"/>
    <w:rsid w:val="0084454F"/>
    <w:rsid w:val="00844FE3"/>
    <w:rsid w:val="0084542B"/>
    <w:rsid w:val="00847D42"/>
    <w:rsid w:val="0085066D"/>
    <w:rsid w:val="00850C43"/>
    <w:rsid w:val="00851986"/>
    <w:rsid w:val="00851EEA"/>
    <w:rsid w:val="008551E9"/>
    <w:rsid w:val="00857090"/>
    <w:rsid w:val="008650BB"/>
    <w:rsid w:val="0086571C"/>
    <w:rsid w:val="0086589D"/>
    <w:rsid w:val="00867A43"/>
    <w:rsid w:val="00871AFC"/>
    <w:rsid w:val="00874401"/>
    <w:rsid w:val="008754B4"/>
    <w:rsid w:val="00876114"/>
    <w:rsid w:val="0087752F"/>
    <w:rsid w:val="00877C46"/>
    <w:rsid w:val="00877F99"/>
    <w:rsid w:val="00880B2D"/>
    <w:rsid w:val="00881C05"/>
    <w:rsid w:val="00881EB3"/>
    <w:rsid w:val="00882429"/>
    <w:rsid w:val="008834FF"/>
    <w:rsid w:val="0088369B"/>
    <w:rsid w:val="00883867"/>
    <w:rsid w:val="0088415F"/>
    <w:rsid w:val="00884336"/>
    <w:rsid w:val="0088457B"/>
    <w:rsid w:val="008858C7"/>
    <w:rsid w:val="00885DDA"/>
    <w:rsid w:val="00890A83"/>
    <w:rsid w:val="00891750"/>
    <w:rsid w:val="0089382C"/>
    <w:rsid w:val="008959EB"/>
    <w:rsid w:val="00895C60"/>
    <w:rsid w:val="00896A4E"/>
    <w:rsid w:val="00896C04"/>
    <w:rsid w:val="00896F60"/>
    <w:rsid w:val="00897744"/>
    <w:rsid w:val="008A09ED"/>
    <w:rsid w:val="008A1814"/>
    <w:rsid w:val="008A1CF6"/>
    <w:rsid w:val="008A1D56"/>
    <w:rsid w:val="008A202F"/>
    <w:rsid w:val="008A37DF"/>
    <w:rsid w:val="008A4268"/>
    <w:rsid w:val="008A47ED"/>
    <w:rsid w:val="008A5F45"/>
    <w:rsid w:val="008A630C"/>
    <w:rsid w:val="008A7715"/>
    <w:rsid w:val="008B03B4"/>
    <w:rsid w:val="008B1640"/>
    <w:rsid w:val="008B25C4"/>
    <w:rsid w:val="008B2811"/>
    <w:rsid w:val="008B3F20"/>
    <w:rsid w:val="008B4878"/>
    <w:rsid w:val="008B5D61"/>
    <w:rsid w:val="008B617D"/>
    <w:rsid w:val="008B6661"/>
    <w:rsid w:val="008C29EF"/>
    <w:rsid w:val="008C32D7"/>
    <w:rsid w:val="008C4FC7"/>
    <w:rsid w:val="008C5FD1"/>
    <w:rsid w:val="008C6574"/>
    <w:rsid w:val="008C6A0C"/>
    <w:rsid w:val="008C6CF9"/>
    <w:rsid w:val="008C7119"/>
    <w:rsid w:val="008C730D"/>
    <w:rsid w:val="008C773F"/>
    <w:rsid w:val="008D1FAA"/>
    <w:rsid w:val="008D2C63"/>
    <w:rsid w:val="008D4934"/>
    <w:rsid w:val="008D4948"/>
    <w:rsid w:val="008D5E68"/>
    <w:rsid w:val="008D6400"/>
    <w:rsid w:val="008D723E"/>
    <w:rsid w:val="008E05AC"/>
    <w:rsid w:val="008E1077"/>
    <w:rsid w:val="008E23E6"/>
    <w:rsid w:val="008E6A10"/>
    <w:rsid w:val="008F2179"/>
    <w:rsid w:val="008F2210"/>
    <w:rsid w:val="008F2B7F"/>
    <w:rsid w:val="008F52F4"/>
    <w:rsid w:val="008F71A0"/>
    <w:rsid w:val="0090017C"/>
    <w:rsid w:val="00902768"/>
    <w:rsid w:val="00904BF1"/>
    <w:rsid w:val="00905802"/>
    <w:rsid w:val="00905C68"/>
    <w:rsid w:val="00907638"/>
    <w:rsid w:val="0091004D"/>
    <w:rsid w:val="00910205"/>
    <w:rsid w:val="009107B7"/>
    <w:rsid w:val="009124A8"/>
    <w:rsid w:val="00913FD4"/>
    <w:rsid w:val="00915699"/>
    <w:rsid w:val="00915845"/>
    <w:rsid w:val="00917871"/>
    <w:rsid w:val="0092091F"/>
    <w:rsid w:val="00920C1F"/>
    <w:rsid w:val="00921241"/>
    <w:rsid w:val="009212F6"/>
    <w:rsid w:val="00921D76"/>
    <w:rsid w:val="009227ED"/>
    <w:rsid w:val="009235C3"/>
    <w:rsid w:val="00923B15"/>
    <w:rsid w:val="00923BAE"/>
    <w:rsid w:val="00924740"/>
    <w:rsid w:val="009249F4"/>
    <w:rsid w:val="00924BB7"/>
    <w:rsid w:val="009257D2"/>
    <w:rsid w:val="00925F60"/>
    <w:rsid w:val="00925F98"/>
    <w:rsid w:val="00927FCB"/>
    <w:rsid w:val="0093000C"/>
    <w:rsid w:val="00930097"/>
    <w:rsid w:val="00930CDE"/>
    <w:rsid w:val="00931415"/>
    <w:rsid w:val="009317D2"/>
    <w:rsid w:val="00932438"/>
    <w:rsid w:val="0093299A"/>
    <w:rsid w:val="009332EC"/>
    <w:rsid w:val="00934456"/>
    <w:rsid w:val="00934997"/>
    <w:rsid w:val="00935CED"/>
    <w:rsid w:val="00936567"/>
    <w:rsid w:val="0093692B"/>
    <w:rsid w:val="00937929"/>
    <w:rsid w:val="0093797E"/>
    <w:rsid w:val="0094221F"/>
    <w:rsid w:val="009434A6"/>
    <w:rsid w:val="00943858"/>
    <w:rsid w:val="00943935"/>
    <w:rsid w:val="009443E8"/>
    <w:rsid w:val="00944AF7"/>
    <w:rsid w:val="00944BC1"/>
    <w:rsid w:val="00944EAA"/>
    <w:rsid w:val="009474D6"/>
    <w:rsid w:val="00951654"/>
    <w:rsid w:val="00951A1A"/>
    <w:rsid w:val="00953489"/>
    <w:rsid w:val="00953BA9"/>
    <w:rsid w:val="0095727E"/>
    <w:rsid w:val="00957FCA"/>
    <w:rsid w:val="00960457"/>
    <w:rsid w:val="0096053E"/>
    <w:rsid w:val="00960812"/>
    <w:rsid w:val="00960A9B"/>
    <w:rsid w:val="00961106"/>
    <w:rsid w:val="00961DC7"/>
    <w:rsid w:val="00962753"/>
    <w:rsid w:val="00963B2E"/>
    <w:rsid w:val="0096446E"/>
    <w:rsid w:val="00964497"/>
    <w:rsid w:val="00964CEA"/>
    <w:rsid w:val="009665EA"/>
    <w:rsid w:val="00967BA0"/>
    <w:rsid w:val="00970518"/>
    <w:rsid w:val="009709C7"/>
    <w:rsid w:val="009715D0"/>
    <w:rsid w:val="00971A51"/>
    <w:rsid w:val="0097224F"/>
    <w:rsid w:val="009724C3"/>
    <w:rsid w:val="00973059"/>
    <w:rsid w:val="00973CA0"/>
    <w:rsid w:val="0097504F"/>
    <w:rsid w:val="0097559E"/>
    <w:rsid w:val="009758AB"/>
    <w:rsid w:val="00975C52"/>
    <w:rsid w:val="009779B6"/>
    <w:rsid w:val="00977B7B"/>
    <w:rsid w:val="00981568"/>
    <w:rsid w:val="00981A55"/>
    <w:rsid w:val="00981D53"/>
    <w:rsid w:val="00983926"/>
    <w:rsid w:val="00984415"/>
    <w:rsid w:val="00984917"/>
    <w:rsid w:val="00985215"/>
    <w:rsid w:val="00986B17"/>
    <w:rsid w:val="00987849"/>
    <w:rsid w:val="0098795C"/>
    <w:rsid w:val="0098796A"/>
    <w:rsid w:val="00991478"/>
    <w:rsid w:val="009915D0"/>
    <w:rsid w:val="00991836"/>
    <w:rsid w:val="00991935"/>
    <w:rsid w:val="00991C01"/>
    <w:rsid w:val="009931A2"/>
    <w:rsid w:val="009941CC"/>
    <w:rsid w:val="00994516"/>
    <w:rsid w:val="009951E5"/>
    <w:rsid w:val="00995BC4"/>
    <w:rsid w:val="009970EE"/>
    <w:rsid w:val="00997AC8"/>
    <w:rsid w:val="009A0196"/>
    <w:rsid w:val="009A3A66"/>
    <w:rsid w:val="009A3F8C"/>
    <w:rsid w:val="009A5111"/>
    <w:rsid w:val="009A5BAF"/>
    <w:rsid w:val="009A6C7A"/>
    <w:rsid w:val="009A7AB0"/>
    <w:rsid w:val="009B05CC"/>
    <w:rsid w:val="009B092E"/>
    <w:rsid w:val="009B1A65"/>
    <w:rsid w:val="009B3F48"/>
    <w:rsid w:val="009B6C09"/>
    <w:rsid w:val="009B7BF5"/>
    <w:rsid w:val="009C0237"/>
    <w:rsid w:val="009C06C6"/>
    <w:rsid w:val="009C2E9B"/>
    <w:rsid w:val="009C3042"/>
    <w:rsid w:val="009C3492"/>
    <w:rsid w:val="009C3703"/>
    <w:rsid w:val="009C42B1"/>
    <w:rsid w:val="009C459F"/>
    <w:rsid w:val="009C5E44"/>
    <w:rsid w:val="009C6480"/>
    <w:rsid w:val="009D146E"/>
    <w:rsid w:val="009D2013"/>
    <w:rsid w:val="009D4171"/>
    <w:rsid w:val="009E06B3"/>
    <w:rsid w:val="009E0BD4"/>
    <w:rsid w:val="009E26E0"/>
    <w:rsid w:val="009E2AC3"/>
    <w:rsid w:val="009E2E5D"/>
    <w:rsid w:val="009E49FC"/>
    <w:rsid w:val="009E4CE6"/>
    <w:rsid w:val="009E4D8E"/>
    <w:rsid w:val="009E6541"/>
    <w:rsid w:val="009E7A88"/>
    <w:rsid w:val="009F00B2"/>
    <w:rsid w:val="009F1C93"/>
    <w:rsid w:val="009F2B52"/>
    <w:rsid w:val="009F4371"/>
    <w:rsid w:val="009F6147"/>
    <w:rsid w:val="009F6597"/>
    <w:rsid w:val="009F65C7"/>
    <w:rsid w:val="009F6C7A"/>
    <w:rsid w:val="009F7D57"/>
    <w:rsid w:val="00A00354"/>
    <w:rsid w:val="00A02091"/>
    <w:rsid w:val="00A02757"/>
    <w:rsid w:val="00A03B2B"/>
    <w:rsid w:val="00A03BD9"/>
    <w:rsid w:val="00A05EAA"/>
    <w:rsid w:val="00A067E7"/>
    <w:rsid w:val="00A0793E"/>
    <w:rsid w:val="00A079EB"/>
    <w:rsid w:val="00A103B6"/>
    <w:rsid w:val="00A1055D"/>
    <w:rsid w:val="00A10938"/>
    <w:rsid w:val="00A133A9"/>
    <w:rsid w:val="00A139DF"/>
    <w:rsid w:val="00A140AA"/>
    <w:rsid w:val="00A14C19"/>
    <w:rsid w:val="00A15C17"/>
    <w:rsid w:val="00A22AB5"/>
    <w:rsid w:val="00A23297"/>
    <w:rsid w:val="00A26E55"/>
    <w:rsid w:val="00A305D7"/>
    <w:rsid w:val="00A32C0B"/>
    <w:rsid w:val="00A335D8"/>
    <w:rsid w:val="00A3560B"/>
    <w:rsid w:val="00A35674"/>
    <w:rsid w:val="00A358C5"/>
    <w:rsid w:val="00A36F7C"/>
    <w:rsid w:val="00A370E6"/>
    <w:rsid w:val="00A372F5"/>
    <w:rsid w:val="00A37525"/>
    <w:rsid w:val="00A375E9"/>
    <w:rsid w:val="00A401A9"/>
    <w:rsid w:val="00A4073A"/>
    <w:rsid w:val="00A41069"/>
    <w:rsid w:val="00A423E7"/>
    <w:rsid w:val="00A42E72"/>
    <w:rsid w:val="00A43D57"/>
    <w:rsid w:val="00A44986"/>
    <w:rsid w:val="00A44AE3"/>
    <w:rsid w:val="00A4629D"/>
    <w:rsid w:val="00A46466"/>
    <w:rsid w:val="00A4650C"/>
    <w:rsid w:val="00A46541"/>
    <w:rsid w:val="00A50F09"/>
    <w:rsid w:val="00A512BC"/>
    <w:rsid w:val="00A536EF"/>
    <w:rsid w:val="00A53B84"/>
    <w:rsid w:val="00A54FBE"/>
    <w:rsid w:val="00A55613"/>
    <w:rsid w:val="00A55E79"/>
    <w:rsid w:val="00A560C2"/>
    <w:rsid w:val="00A5691E"/>
    <w:rsid w:val="00A576C9"/>
    <w:rsid w:val="00A606A0"/>
    <w:rsid w:val="00A619D6"/>
    <w:rsid w:val="00A627A3"/>
    <w:rsid w:val="00A63293"/>
    <w:rsid w:val="00A63A7E"/>
    <w:rsid w:val="00A64532"/>
    <w:rsid w:val="00A656CA"/>
    <w:rsid w:val="00A6653A"/>
    <w:rsid w:val="00A66B6E"/>
    <w:rsid w:val="00A673C9"/>
    <w:rsid w:val="00A6742B"/>
    <w:rsid w:val="00A67623"/>
    <w:rsid w:val="00A70A7C"/>
    <w:rsid w:val="00A73175"/>
    <w:rsid w:val="00A73A4F"/>
    <w:rsid w:val="00A73B54"/>
    <w:rsid w:val="00A74663"/>
    <w:rsid w:val="00A761CF"/>
    <w:rsid w:val="00A76339"/>
    <w:rsid w:val="00A76DBD"/>
    <w:rsid w:val="00A77433"/>
    <w:rsid w:val="00A820D9"/>
    <w:rsid w:val="00A82BB9"/>
    <w:rsid w:val="00A84256"/>
    <w:rsid w:val="00A84F78"/>
    <w:rsid w:val="00A855E9"/>
    <w:rsid w:val="00A8579D"/>
    <w:rsid w:val="00A906DF"/>
    <w:rsid w:val="00A90ADE"/>
    <w:rsid w:val="00A9118A"/>
    <w:rsid w:val="00A919E9"/>
    <w:rsid w:val="00A92B1D"/>
    <w:rsid w:val="00A93243"/>
    <w:rsid w:val="00A9512F"/>
    <w:rsid w:val="00A9513B"/>
    <w:rsid w:val="00A95A29"/>
    <w:rsid w:val="00A9672A"/>
    <w:rsid w:val="00AA01F5"/>
    <w:rsid w:val="00AA0924"/>
    <w:rsid w:val="00AA17BF"/>
    <w:rsid w:val="00AA1BC6"/>
    <w:rsid w:val="00AA229B"/>
    <w:rsid w:val="00AA408E"/>
    <w:rsid w:val="00AA4425"/>
    <w:rsid w:val="00AA476A"/>
    <w:rsid w:val="00AA5BD9"/>
    <w:rsid w:val="00AA5EBB"/>
    <w:rsid w:val="00AA67A9"/>
    <w:rsid w:val="00AA6CD4"/>
    <w:rsid w:val="00AA71A7"/>
    <w:rsid w:val="00AB14BF"/>
    <w:rsid w:val="00AB1F3A"/>
    <w:rsid w:val="00AB2475"/>
    <w:rsid w:val="00AB28D4"/>
    <w:rsid w:val="00AB2A61"/>
    <w:rsid w:val="00AB3D82"/>
    <w:rsid w:val="00AB5111"/>
    <w:rsid w:val="00AB6141"/>
    <w:rsid w:val="00AB656F"/>
    <w:rsid w:val="00AB671B"/>
    <w:rsid w:val="00AB73CC"/>
    <w:rsid w:val="00AC03DF"/>
    <w:rsid w:val="00AC0621"/>
    <w:rsid w:val="00AC1A66"/>
    <w:rsid w:val="00AC2796"/>
    <w:rsid w:val="00AC3891"/>
    <w:rsid w:val="00AC3926"/>
    <w:rsid w:val="00AC4761"/>
    <w:rsid w:val="00AC55D0"/>
    <w:rsid w:val="00AC5FC8"/>
    <w:rsid w:val="00AC61E1"/>
    <w:rsid w:val="00AC62AA"/>
    <w:rsid w:val="00AC68E3"/>
    <w:rsid w:val="00AC7057"/>
    <w:rsid w:val="00AC7DED"/>
    <w:rsid w:val="00AD08CA"/>
    <w:rsid w:val="00AD1F3E"/>
    <w:rsid w:val="00AD1F7B"/>
    <w:rsid w:val="00AD497E"/>
    <w:rsid w:val="00AD62C4"/>
    <w:rsid w:val="00AD66CB"/>
    <w:rsid w:val="00AD6C7C"/>
    <w:rsid w:val="00AD7382"/>
    <w:rsid w:val="00AD7483"/>
    <w:rsid w:val="00AD7EE3"/>
    <w:rsid w:val="00AE0A20"/>
    <w:rsid w:val="00AE1589"/>
    <w:rsid w:val="00AE183D"/>
    <w:rsid w:val="00AE20D5"/>
    <w:rsid w:val="00AE25B5"/>
    <w:rsid w:val="00AE2CEF"/>
    <w:rsid w:val="00AE4BEB"/>
    <w:rsid w:val="00AE4DB6"/>
    <w:rsid w:val="00AF02CD"/>
    <w:rsid w:val="00AF0320"/>
    <w:rsid w:val="00AF176E"/>
    <w:rsid w:val="00AF1A8E"/>
    <w:rsid w:val="00AF23A2"/>
    <w:rsid w:val="00AF23B0"/>
    <w:rsid w:val="00AF3075"/>
    <w:rsid w:val="00AF3573"/>
    <w:rsid w:val="00AF487B"/>
    <w:rsid w:val="00AF489E"/>
    <w:rsid w:val="00AF52D6"/>
    <w:rsid w:val="00AF7E1C"/>
    <w:rsid w:val="00B00570"/>
    <w:rsid w:val="00B058E7"/>
    <w:rsid w:val="00B106D8"/>
    <w:rsid w:val="00B10B94"/>
    <w:rsid w:val="00B11238"/>
    <w:rsid w:val="00B128DC"/>
    <w:rsid w:val="00B12E3F"/>
    <w:rsid w:val="00B1360E"/>
    <w:rsid w:val="00B14AE4"/>
    <w:rsid w:val="00B15E01"/>
    <w:rsid w:val="00B20C4B"/>
    <w:rsid w:val="00B20FE5"/>
    <w:rsid w:val="00B21671"/>
    <w:rsid w:val="00B23DB6"/>
    <w:rsid w:val="00B269F9"/>
    <w:rsid w:val="00B302B6"/>
    <w:rsid w:val="00B3140B"/>
    <w:rsid w:val="00B31BC8"/>
    <w:rsid w:val="00B32255"/>
    <w:rsid w:val="00B3353B"/>
    <w:rsid w:val="00B3439B"/>
    <w:rsid w:val="00B358C2"/>
    <w:rsid w:val="00B36662"/>
    <w:rsid w:val="00B36968"/>
    <w:rsid w:val="00B40727"/>
    <w:rsid w:val="00B4102B"/>
    <w:rsid w:val="00B41EC6"/>
    <w:rsid w:val="00B421D7"/>
    <w:rsid w:val="00B42263"/>
    <w:rsid w:val="00B43941"/>
    <w:rsid w:val="00B44570"/>
    <w:rsid w:val="00B45730"/>
    <w:rsid w:val="00B45B07"/>
    <w:rsid w:val="00B501BD"/>
    <w:rsid w:val="00B50D0C"/>
    <w:rsid w:val="00B515A9"/>
    <w:rsid w:val="00B53BB8"/>
    <w:rsid w:val="00B55A57"/>
    <w:rsid w:val="00B566D5"/>
    <w:rsid w:val="00B57022"/>
    <w:rsid w:val="00B603E4"/>
    <w:rsid w:val="00B60D88"/>
    <w:rsid w:val="00B61107"/>
    <w:rsid w:val="00B6153F"/>
    <w:rsid w:val="00B62668"/>
    <w:rsid w:val="00B62708"/>
    <w:rsid w:val="00B630C3"/>
    <w:rsid w:val="00B63283"/>
    <w:rsid w:val="00B63908"/>
    <w:rsid w:val="00B63914"/>
    <w:rsid w:val="00B647ED"/>
    <w:rsid w:val="00B64C96"/>
    <w:rsid w:val="00B65953"/>
    <w:rsid w:val="00B664B2"/>
    <w:rsid w:val="00B66807"/>
    <w:rsid w:val="00B67547"/>
    <w:rsid w:val="00B6775D"/>
    <w:rsid w:val="00B701F3"/>
    <w:rsid w:val="00B7023B"/>
    <w:rsid w:val="00B713BE"/>
    <w:rsid w:val="00B7287D"/>
    <w:rsid w:val="00B74CEF"/>
    <w:rsid w:val="00B74D33"/>
    <w:rsid w:val="00B764FA"/>
    <w:rsid w:val="00B76D0B"/>
    <w:rsid w:val="00B77AE4"/>
    <w:rsid w:val="00B77FD2"/>
    <w:rsid w:val="00B8093C"/>
    <w:rsid w:val="00B8173B"/>
    <w:rsid w:val="00B8218F"/>
    <w:rsid w:val="00B82486"/>
    <w:rsid w:val="00B826D0"/>
    <w:rsid w:val="00B82BAE"/>
    <w:rsid w:val="00B84BE6"/>
    <w:rsid w:val="00B85856"/>
    <w:rsid w:val="00B86914"/>
    <w:rsid w:val="00B90C54"/>
    <w:rsid w:val="00B91709"/>
    <w:rsid w:val="00B936D7"/>
    <w:rsid w:val="00B94F30"/>
    <w:rsid w:val="00BA07E9"/>
    <w:rsid w:val="00BA2D47"/>
    <w:rsid w:val="00BA406D"/>
    <w:rsid w:val="00BA44BF"/>
    <w:rsid w:val="00BA573A"/>
    <w:rsid w:val="00BA661E"/>
    <w:rsid w:val="00BA6647"/>
    <w:rsid w:val="00BA68F2"/>
    <w:rsid w:val="00BB0578"/>
    <w:rsid w:val="00BB0BF2"/>
    <w:rsid w:val="00BB14B1"/>
    <w:rsid w:val="00BB3196"/>
    <w:rsid w:val="00BB3B0C"/>
    <w:rsid w:val="00BB53C1"/>
    <w:rsid w:val="00BB7380"/>
    <w:rsid w:val="00BB75EC"/>
    <w:rsid w:val="00BB7FB3"/>
    <w:rsid w:val="00BC1FD6"/>
    <w:rsid w:val="00BC4627"/>
    <w:rsid w:val="00BC4BFA"/>
    <w:rsid w:val="00BC6605"/>
    <w:rsid w:val="00BC6686"/>
    <w:rsid w:val="00BC6F8C"/>
    <w:rsid w:val="00BC757E"/>
    <w:rsid w:val="00BD037D"/>
    <w:rsid w:val="00BD04D2"/>
    <w:rsid w:val="00BD0A10"/>
    <w:rsid w:val="00BD168E"/>
    <w:rsid w:val="00BD1821"/>
    <w:rsid w:val="00BD23A1"/>
    <w:rsid w:val="00BD29CD"/>
    <w:rsid w:val="00BD2E84"/>
    <w:rsid w:val="00BD2F54"/>
    <w:rsid w:val="00BD41F1"/>
    <w:rsid w:val="00BD44EA"/>
    <w:rsid w:val="00BD4B95"/>
    <w:rsid w:val="00BD665E"/>
    <w:rsid w:val="00BD701C"/>
    <w:rsid w:val="00BE0099"/>
    <w:rsid w:val="00BE12CC"/>
    <w:rsid w:val="00BE21E6"/>
    <w:rsid w:val="00BE288E"/>
    <w:rsid w:val="00BE47EF"/>
    <w:rsid w:val="00BE57E7"/>
    <w:rsid w:val="00BE6A00"/>
    <w:rsid w:val="00BE77BE"/>
    <w:rsid w:val="00BE7CBB"/>
    <w:rsid w:val="00BF429B"/>
    <w:rsid w:val="00BF7A45"/>
    <w:rsid w:val="00C0016B"/>
    <w:rsid w:val="00C010B0"/>
    <w:rsid w:val="00C01698"/>
    <w:rsid w:val="00C02C4E"/>
    <w:rsid w:val="00C034F5"/>
    <w:rsid w:val="00C043C1"/>
    <w:rsid w:val="00C046BD"/>
    <w:rsid w:val="00C05A01"/>
    <w:rsid w:val="00C06423"/>
    <w:rsid w:val="00C102E7"/>
    <w:rsid w:val="00C129D0"/>
    <w:rsid w:val="00C13989"/>
    <w:rsid w:val="00C150D3"/>
    <w:rsid w:val="00C15746"/>
    <w:rsid w:val="00C1638C"/>
    <w:rsid w:val="00C16AEB"/>
    <w:rsid w:val="00C2112E"/>
    <w:rsid w:val="00C217B1"/>
    <w:rsid w:val="00C21B72"/>
    <w:rsid w:val="00C242F1"/>
    <w:rsid w:val="00C24987"/>
    <w:rsid w:val="00C24A06"/>
    <w:rsid w:val="00C256A9"/>
    <w:rsid w:val="00C25AF3"/>
    <w:rsid w:val="00C25FCA"/>
    <w:rsid w:val="00C26338"/>
    <w:rsid w:val="00C2656A"/>
    <w:rsid w:val="00C27A94"/>
    <w:rsid w:val="00C27D6C"/>
    <w:rsid w:val="00C30C36"/>
    <w:rsid w:val="00C30FB8"/>
    <w:rsid w:val="00C3135F"/>
    <w:rsid w:val="00C315E4"/>
    <w:rsid w:val="00C317FD"/>
    <w:rsid w:val="00C33DA1"/>
    <w:rsid w:val="00C3465D"/>
    <w:rsid w:val="00C34DDA"/>
    <w:rsid w:val="00C34EE0"/>
    <w:rsid w:val="00C3595F"/>
    <w:rsid w:val="00C35B30"/>
    <w:rsid w:val="00C37C95"/>
    <w:rsid w:val="00C40B8C"/>
    <w:rsid w:val="00C42560"/>
    <w:rsid w:val="00C425DC"/>
    <w:rsid w:val="00C431E1"/>
    <w:rsid w:val="00C4373C"/>
    <w:rsid w:val="00C43FA6"/>
    <w:rsid w:val="00C442D5"/>
    <w:rsid w:val="00C446EF"/>
    <w:rsid w:val="00C4770C"/>
    <w:rsid w:val="00C4783F"/>
    <w:rsid w:val="00C50219"/>
    <w:rsid w:val="00C50D2C"/>
    <w:rsid w:val="00C5197D"/>
    <w:rsid w:val="00C52A30"/>
    <w:rsid w:val="00C542B0"/>
    <w:rsid w:val="00C5526E"/>
    <w:rsid w:val="00C570B1"/>
    <w:rsid w:val="00C57A40"/>
    <w:rsid w:val="00C57D63"/>
    <w:rsid w:val="00C60482"/>
    <w:rsid w:val="00C609B2"/>
    <w:rsid w:val="00C60D42"/>
    <w:rsid w:val="00C6127C"/>
    <w:rsid w:val="00C620B0"/>
    <w:rsid w:val="00C630CE"/>
    <w:rsid w:val="00C636C8"/>
    <w:rsid w:val="00C647AC"/>
    <w:rsid w:val="00C64DA2"/>
    <w:rsid w:val="00C674B7"/>
    <w:rsid w:val="00C67A7E"/>
    <w:rsid w:val="00C70D7C"/>
    <w:rsid w:val="00C70ED6"/>
    <w:rsid w:val="00C71086"/>
    <w:rsid w:val="00C71973"/>
    <w:rsid w:val="00C71A9C"/>
    <w:rsid w:val="00C71C30"/>
    <w:rsid w:val="00C71DE1"/>
    <w:rsid w:val="00C7361E"/>
    <w:rsid w:val="00C737C1"/>
    <w:rsid w:val="00C739B7"/>
    <w:rsid w:val="00C73F89"/>
    <w:rsid w:val="00C7458A"/>
    <w:rsid w:val="00C755CD"/>
    <w:rsid w:val="00C7604C"/>
    <w:rsid w:val="00C769CD"/>
    <w:rsid w:val="00C76DFB"/>
    <w:rsid w:val="00C8169B"/>
    <w:rsid w:val="00C84330"/>
    <w:rsid w:val="00C8598D"/>
    <w:rsid w:val="00C85DAD"/>
    <w:rsid w:val="00C85F55"/>
    <w:rsid w:val="00C85F6C"/>
    <w:rsid w:val="00C86347"/>
    <w:rsid w:val="00C86671"/>
    <w:rsid w:val="00C902B3"/>
    <w:rsid w:val="00C904D2"/>
    <w:rsid w:val="00C9055B"/>
    <w:rsid w:val="00C91582"/>
    <w:rsid w:val="00C91DB8"/>
    <w:rsid w:val="00C92820"/>
    <w:rsid w:val="00C92F7F"/>
    <w:rsid w:val="00C94271"/>
    <w:rsid w:val="00C9585C"/>
    <w:rsid w:val="00C95B31"/>
    <w:rsid w:val="00C97958"/>
    <w:rsid w:val="00CA20B2"/>
    <w:rsid w:val="00CA3185"/>
    <w:rsid w:val="00CA489D"/>
    <w:rsid w:val="00CA4CAE"/>
    <w:rsid w:val="00CA5686"/>
    <w:rsid w:val="00CA5737"/>
    <w:rsid w:val="00CA66DE"/>
    <w:rsid w:val="00CA6EBB"/>
    <w:rsid w:val="00CB0BF9"/>
    <w:rsid w:val="00CB1A3B"/>
    <w:rsid w:val="00CB1B78"/>
    <w:rsid w:val="00CB50A2"/>
    <w:rsid w:val="00CB5CEB"/>
    <w:rsid w:val="00CB6538"/>
    <w:rsid w:val="00CB67FC"/>
    <w:rsid w:val="00CB7070"/>
    <w:rsid w:val="00CB7408"/>
    <w:rsid w:val="00CB76A5"/>
    <w:rsid w:val="00CC22A9"/>
    <w:rsid w:val="00CC23C8"/>
    <w:rsid w:val="00CC2C9F"/>
    <w:rsid w:val="00CC3555"/>
    <w:rsid w:val="00CC3D9C"/>
    <w:rsid w:val="00CC464F"/>
    <w:rsid w:val="00CC58E9"/>
    <w:rsid w:val="00CC793C"/>
    <w:rsid w:val="00CC7B05"/>
    <w:rsid w:val="00CC7D7F"/>
    <w:rsid w:val="00CD091E"/>
    <w:rsid w:val="00CD14FE"/>
    <w:rsid w:val="00CD205A"/>
    <w:rsid w:val="00CD2CFC"/>
    <w:rsid w:val="00CD3965"/>
    <w:rsid w:val="00CD56E8"/>
    <w:rsid w:val="00CD5B80"/>
    <w:rsid w:val="00CE0216"/>
    <w:rsid w:val="00CE0812"/>
    <w:rsid w:val="00CE0F30"/>
    <w:rsid w:val="00CE1E17"/>
    <w:rsid w:val="00CE1E64"/>
    <w:rsid w:val="00CE233F"/>
    <w:rsid w:val="00CE477C"/>
    <w:rsid w:val="00CE5EE4"/>
    <w:rsid w:val="00CE6782"/>
    <w:rsid w:val="00CE6C54"/>
    <w:rsid w:val="00CF2BCE"/>
    <w:rsid w:val="00CF350A"/>
    <w:rsid w:val="00CF3D65"/>
    <w:rsid w:val="00CF524A"/>
    <w:rsid w:val="00CF58CA"/>
    <w:rsid w:val="00CF6641"/>
    <w:rsid w:val="00CF6AAF"/>
    <w:rsid w:val="00CF73D5"/>
    <w:rsid w:val="00CF75DC"/>
    <w:rsid w:val="00CF7982"/>
    <w:rsid w:val="00D0260E"/>
    <w:rsid w:val="00D03793"/>
    <w:rsid w:val="00D03D26"/>
    <w:rsid w:val="00D051E5"/>
    <w:rsid w:val="00D05E84"/>
    <w:rsid w:val="00D074E9"/>
    <w:rsid w:val="00D07CD7"/>
    <w:rsid w:val="00D10639"/>
    <w:rsid w:val="00D11A60"/>
    <w:rsid w:val="00D1239F"/>
    <w:rsid w:val="00D126F9"/>
    <w:rsid w:val="00D12BB3"/>
    <w:rsid w:val="00D14D61"/>
    <w:rsid w:val="00D174A2"/>
    <w:rsid w:val="00D21D8C"/>
    <w:rsid w:val="00D25385"/>
    <w:rsid w:val="00D25419"/>
    <w:rsid w:val="00D255C1"/>
    <w:rsid w:val="00D25DDC"/>
    <w:rsid w:val="00D2717B"/>
    <w:rsid w:val="00D27482"/>
    <w:rsid w:val="00D311CF"/>
    <w:rsid w:val="00D322A9"/>
    <w:rsid w:val="00D32FD5"/>
    <w:rsid w:val="00D338E2"/>
    <w:rsid w:val="00D353B2"/>
    <w:rsid w:val="00D3579D"/>
    <w:rsid w:val="00D35A73"/>
    <w:rsid w:val="00D410D5"/>
    <w:rsid w:val="00D419D9"/>
    <w:rsid w:val="00D41F1C"/>
    <w:rsid w:val="00D4365E"/>
    <w:rsid w:val="00D44077"/>
    <w:rsid w:val="00D45709"/>
    <w:rsid w:val="00D50627"/>
    <w:rsid w:val="00D50F4D"/>
    <w:rsid w:val="00D5109A"/>
    <w:rsid w:val="00D519C4"/>
    <w:rsid w:val="00D525B7"/>
    <w:rsid w:val="00D53045"/>
    <w:rsid w:val="00D5463A"/>
    <w:rsid w:val="00D547B9"/>
    <w:rsid w:val="00D54A3E"/>
    <w:rsid w:val="00D55249"/>
    <w:rsid w:val="00D56166"/>
    <w:rsid w:val="00D56C47"/>
    <w:rsid w:val="00D62A64"/>
    <w:rsid w:val="00D64C25"/>
    <w:rsid w:val="00D64C8F"/>
    <w:rsid w:val="00D6586D"/>
    <w:rsid w:val="00D672C0"/>
    <w:rsid w:val="00D70035"/>
    <w:rsid w:val="00D709CC"/>
    <w:rsid w:val="00D71755"/>
    <w:rsid w:val="00D71D35"/>
    <w:rsid w:val="00D72082"/>
    <w:rsid w:val="00D745A5"/>
    <w:rsid w:val="00D7480B"/>
    <w:rsid w:val="00D752AF"/>
    <w:rsid w:val="00D76656"/>
    <w:rsid w:val="00D76DA4"/>
    <w:rsid w:val="00D77B51"/>
    <w:rsid w:val="00D805A4"/>
    <w:rsid w:val="00D805EF"/>
    <w:rsid w:val="00D806EC"/>
    <w:rsid w:val="00D814E1"/>
    <w:rsid w:val="00D82AEB"/>
    <w:rsid w:val="00D83B42"/>
    <w:rsid w:val="00D85B63"/>
    <w:rsid w:val="00D85C42"/>
    <w:rsid w:val="00D85E92"/>
    <w:rsid w:val="00D869A7"/>
    <w:rsid w:val="00D91D87"/>
    <w:rsid w:val="00D92514"/>
    <w:rsid w:val="00D933D2"/>
    <w:rsid w:val="00D939C9"/>
    <w:rsid w:val="00D95AF7"/>
    <w:rsid w:val="00D96B52"/>
    <w:rsid w:val="00D97345"/>
    <w:rsid w:val="00D97CF5"/>
    <w:rsid w:val="00DA03AE"/>
    <w:rsid w:val="00DA0DC0"/>
    <w:rsid w:val="00DA18B8"/>
    <w:rsid w:val="00DA29B9"/>
    <w:rsid w:val="00DA2DD2"/>
    <w:rsid w:val="00DA3B2C"/>
    <w:rsid w:val="00DA5CAC"/>
    <w:rsid w:val="00DA6608"/>
    <w:rsid w:val="00DA668A"/>
    <w:rsid w:val="00DA6B8D"/>
    <w:rsid w:val="00DA6DF7"/>
    <w:rsid w:val="00DA729A"/>
    <w:rsid w:val="00DA7495"/>
    <w:rsid w:val="00DA7CA3"/>
    <w:rsid w:val="00DB0392"/>
    <w:rsid w:val="00DB0F01"/>
    <w:rsid w:val="00DB1328"/>
    <w:rsid w:val="00DB13E2"/>
    <w:rsid w:val="00DB272F"/>
    <w:rsid w:val="00DB3FAD"/>
    <w:rsid w:val="00DB65FA"/>
    <w:rsid w:val="00DB6E98"/>
    <w:rsid w:val="00DB7349"/>
    <w:rsid w:val="00DB7AE2"/>
    <w:rsid w:val="00DB7BE9"/>
    <w:rsid w:val="00DC0F76"/>
    <w:rsid w:val="00DC162C"/>
    <w:rsid w:val="00DC19DA"/>
    <w:rsid w:val="00DC264C"/>
    <w:rsid w:val="00DC29AA"/>
    <w:rsid w:val="00DC2D46"/>
    <w:rsid w:val="00DC4565"/>
    <w:rsid w:val="00DC467A"/>
    <w:rsid w:val="00DC6B43"/>
    <w:rsid w:val="00DC6E02"/>
    <w:rsid w:val="00DC7283"/>
    <w:rsid w:val="00DD0925"/>
    <w:rsid w:val="00DD1C76"/>
    <w:rsid w:val="00DD2E25"/>
    <w:rsid w:val="00DD372E"/>
    <w:rsid w:val="00DE0C5C"/>
    <w:rsid w:val="00DE0CF9"/>
    <w:rsid w:val="00DE1EC8"/>
    <w:rsid w:val="00DE2BE7"/>
    <w:rsid w:val="00DE389F"/>
    <w:rsid w:val="00DE40D1"/>
    <w:rsid w:val="00DE4D89"/>
    <w:rsid w:val="00DE5879"/>
    <w:rsid w:val="00DE61C5"/>
    <w:rsid w:val="00DF035C"/>
    <w:rsid w:val="00DF0609"/>
    <w:rsid w:val="00DF098D"/>
    <w:rsid w:val="00DF0F16"/>
    <w:rsid w:val="00DF4EBB"/>
    <w:rsid w:val="00DF717D"/>
    <w:rsid w:val="00E004EB"/>
    <w:rsid w:val="00E00EA2"/>
    <w:rsid w:val="00E01094"/>
    <w:rsid w:val="00E01704"/>
    <w:rsid w:val="00E0226C"/>
    <w:rsid w:val="00E027D8"/>
    <w:rsid w:val="00E038D1"/>
    <w:rsid w:val="00E05108"/>
    <w:rsid w:val="00E05CE4"/>
    <w:rsid w:val="00E076CF"/>
    <w:rsid w:val="00E10EBA"/>
    <w:rsid w:val="00E12515"/>
    <w:rsid w:val="00E129F5"/>
    <w:rsid w:val="00E13EE1"/>
    <w:rsid w:val="00E1481B"/>
    <w:rsid w:val="00E161CB"/>
    <w:rsid w:val="00E16259"/>
    <w:rsid w:val="00E164B3"/>
    <w:rsid w:val="00E167D4"/>
    <w:rsid w:val="00E16843"/>
    <w:rsid w:val="00E16BC5"/>
    <w:rsid w:val="00E21147"/>
    <w:rsid w:val="00E214CA"/>
    <w:rsid w:val="00E219A1"/>
    <w:rsid w:val="00E23129"/>
    <w:rsid w:val="00E23E7E"/>
    <w:rsid w:val="00E23F40"/>
    <w:rsid w:val="00E241D2"/>
    <w:rsid w:val="00E26434"/>
    <w:rsid w:val="00E275C8"/>
    <w:rsid w:val="00E31932"/>
    <w:rsid w:val="00E321BA"/>
    <w:rsid w:val="00E325A9"/>
    <w:rsid w:val="00E32993"/>
    <w:rsid w:val="00E336E6"/>
    <w:rsid w:val="00E3390A"/>
    <w:rsid w:val="00E34AD5"/>
    <w:rsid w:val="00E3612E"/>
    <w:rsid w:val="00E37B2D"/>
    <w:rsid w:val="00E37D52"/>
    <w:rsid w:val="00E40662"/>
    <w:rsid w:val="00E43BC4"/>
    <w:rsid w:val="00E43DC5"/>
    <w:rsid w:val="00E43F4D"/>
    <w:rsid w:val="00E44A7C"/>
    <w:rsid w:val="00E45BF4"/>
    <w:rsid w:val="00E45EBD"/>
    <w:rsid w:val="00E47776"/>
    <w:rsid w:val="00E51120"/>
    <w:rsid w:val="00E522F3"/>
    <w:rsid w:val="00E530E3"/>
    <w:rsid w:val="00E53121"/>
    <w:rsid w:val="00E53B8D"/>
    <w:rsid w:val="00E54D2F"/>
    <w:rsid w:val="00E55027"/>
    <w:rsid w:val="00E562E1"/>
    <w:rsid w:val="00E563F6"/>
    <w:rsid w:val="00E565E2"/>
    <w:rsid w:val="00E57AE2"/>
    <w:rsid w:val="00E57D20"/>
    <w:rsid w:val="00E60817"/>
    <w:rsid w:val="00E611EB"/>
    <w:rsid w:val="00E62431"/>
    <w:rsid w:val="00E62469"/>
    <w:rsid w:val="00E62869"/>
    <w:rsid w:val="00E6483B"/>
    <w:rsid w:val="00E655B5"/>
    <w:rsid w:val="00E662FA"/>
    <w:rsid w:val="00E665DC"/>
    <w:rsid w:val="00E678E7"/>
    <w:rsid w:val="00E71306"/>
    <w:rsid w:val="00E7180A"/>
    <w:rsid w:val="00E72232"/>
    <w:rsid w:val="00E73506"/>
    <w:rsid w:val="00E736A8"/>
    <w:rsid w:val="00E7400D"/>
    <w:rsid w:val="00E74128"/>
    <w:rsid w:val="00E74AE8"/>
    <w:rsid w:val="00E74BA5"/>
    <w:rsid w:val="00E74D47"/>
    <w:rsid w:val="00E75086"/>
    <w:rsid w:val="00E7591E"/>
    <w:rsid w:val="00E75BE2"/>
    <w:rsid w:val="00E76B7C"/>
    <w:rsid w:val="00E77783"/>
    <w:rsid w:val="00E80DE8"/>
    <w:rsid w:val="00E81032"/>
    <w:rsid w:val="00E816BA"/>
    <w:rsid w:val="00E825CF"/>
    <w:rsid w:val="00E82F37"/>
    <w:rsid w:val="00E832D5"/>
    <w:rsid w:val="00E8525E"/>
    <w:rsid w:val="00E8541E"/>
    <w:rsid w:val="00E8667D"/>
    <w:rsid w:val="00E8726A"/>
    <w:rsid w:val="00E90310"/>
    <w:rsid w:val="00E9062A"/>
    <w:rsid w:val="00E90D09"/>
    <w:rsid w:val="00E92737"/>
    <w:rsid w:val="00E95A54"/>
    <w:rsid w:val="00E960E4"/>
    <w:rsid w:val="00E9621B"/>
    <w:rsid w:val="00E977E4"/>
    <w:rsid w:val="00EA0357"/>
    <w:rsid w:val="00EA1859"/>
    <w:rsid w:val="00EA1D80"/>
    <w:rsid w:val="00EA27B9"/>
    <w:rsid w:val="00EA2C55"/>
    <w:rsid w:val="00EA33DB"/>
    <w:rsid w:val="00EA4D66"/>
    <w:rsid w:val="00EA531E"/>
    <w:rsid w:val="00EA728A"/>
    <w:rsid w:val="00EA78A7"/>
    <w:rsid w:val="00EB02A1"/>
    <w:rsid w:val="00EB0C13"/>
    <w:rsid w:val="00EB0FFD"/>
    <w:rsid w:val="00EB20A8"/>
    <w:rsid w:val="00EB3072"/>
    <w:rsid w:val="00EB33C9"/>
    <w:rsid w:val="00EB4C86"/>
    <w:rsid w:val="00EB740F"/>
    <w:rsid w:val="00EB776E"/>
    <w:rsid w:val="00EC00A6"/>
    <w:rsid w:val="00EC0562"/>
    <w:rsid w:val="00EC09D8"/>
    <w:rsid w:val="00EC1CBC"/>
    <w:rsid w:val="00EC2A7C"/>
    <w:rsid w:val="00EC2EA1"/>
    <w:rsid w:val="00EC2F42"/>
    <w:rsid w:val="00EC571B"/>
    <w:rsid w:val="00EC76A2"/>
    <w:rsid w:val="00ED0AF2"/>
    <w:rsid w:val="00ED213B"/>
    <w:rsid w:val="00ED2DD8"/>
    <w:rsid w:val="00ED3D1A"/>
    <w:rsid w:val="00ED4780"/>
    <w:rsid w:val="00ED5064"/>
    <w:rsid w:val="00ED50B1"/>
    <w:rsid w:val="00ED64B3"/>
    <w:rsid w:val="00ED673D"/>
    <w:rsid w:val="00ED681F"/>
    <w:rsid w:val="00ED7FF6"/>
    <w:rsid w:val="00EE09EB"/>
    <w:rsid w:val="00EE2E99"/>
    <w:rsid w:val="00EE5E1C"/>
    <w:rsid w:val="00EE7768"/>
    <w:rsid w:val="00EE7E09"/>
    <w:rsid w:val="00EE7F47"/>
    <w:rsid w:val="00EF0CAD"/>
    <w:rsid w:val="00EF3195"/>
    <w:rsid w:val="00EF4914"/>
    <w:rsid w:val="00EF6DB8"/>
    <w:rsid w:val="00EF7319"/>
    <w:rsid w:val="00EF75D9"/>
    <w:rsid w:val="00EF7916"/>
    <w:rsid w:val="00EF7D11"/>
    <w:rsid w:val="00EF7E40"/>
    <w:rsid w:val="00F021E7"/>
    <w:rsid w:val="00F02280"/>
    <w:rsid w:val="00F022FF"/>
    <w:rsid w:val="00F02698"/>
    <w:rsid w:val="00F03406"/>
    <w:rsid w:val="00F06BF4"/>
    <w:rsid w:val="00F06EFA"/>
    <w:rsid w:val="00F10080"/>
    <w:rsid w:val="00F100B8"/>
    <w:rsid w:val="00F10507"/>
    <w:rsid w:val="00F10E78"/>
    <w:rsid w:val="00F135E9"/>
    <w:rsid w:val="00F1492B"/>
    <w:rsid w:val="00F15E3B"/>
    <w:rsid w:val="00F15E3F"/>
    <w:rsid w:val="00F16A9E"/>
    <w:rsid w:val="00F20546"/>
    <w:rsid w:val="00F214DC"/>
    <w:rsid w:val="00F23280"/>
    <w:rsid w:val="00F23336"/>
    <w:rsid w:val="00F233F7"/>
    <w:rsid w:val="00F243B6"/>
    <w:rsid w:val="00F249D9"/>
    <w:rsid w:val="00F2608C"/>
    <w:rsid w:val="00F26701"/>
    <w:rsid w:val="00F271FD"/>
    <w:rsid w:val="00F274E1"/>
    <w:rsid w:val="00F27B0A"/>
    <w:rsid w:val="00F33FDA"/>
    <w:rsid w:val="00F344CE"/>
    <w:rsid w:val="00F36468"/>
    <w:rsid w:val="00F415AA"/>
    <w:rsid w:val="00F41A94"/>
    <w:rsid w:val="00F41FA7"/>
    <w:rsid w:val="00F44B95"/>
    <w:rsid w:val="00F44D38"/>
    <w:rsid w:val="00F4613D"/>
    <w:rsid w:val="00F472F9"/>
    <w:rsid w:val="00F47EB4"/>
    <w:rsid w:val="00F52E77"/>
    <w:rsid w:val="00F541D8"/>
    <w:rsid w:val="00F5777F"/>
    <w:rsid w:val="00F57997"/>
    <w:rsid w:val="00F602FF"/>
    <w:rsid w:val="00F60908"/>
    <w:rsid w:val="00F60D4C"/>
    <w:rsid w:val="00F60FE6"/>
    <w:rsid w:val="00F623CA"/>
    <w:rsid w:val="00F63337"/>
    <w:rsid w:val="00F63794"/>
    <w:rsid w:val="00F63AB4"/>
    <w:rsid w:val="00F63CAF"/>
    <w:rsid w:val="00F6556B"/>
    <w:rsid w:val="00F66012"/>
    <w:rsid w:val="00F66538"/>
    <w:rsid w:val="00F6772F"/>
    <w:rsid w:val="00F71858"/>
    <w:rsid w:val="00F71892"/>
    <w:rsid w:val="00F71AB5"/>
    <w:rsid w:val="00F720CD"/>
    <w:rsid w:val="00F74B76"/>
    <w:rsid w:val="00F7717F"/>
    <w:rsid w:val="00F77253"/>
    <w:rsid w:val="00F80D48"/>
    <w:rsid w:val="00F812D1"/>
    <w:rsid w:val="00F82A78"/>
    <w:rsid w:val="00F83E07"/>
    <w:rsid w:val="00F90AAD"/>
    <w:rsid w:val="00F90AD5"/>
    <w:rsid w:val="00F90EB2"/>
    <w:rsid w:val="00F9159D"/>
    <w:rsid w:val="00F91A05"/>
    <w:rsid w:val="00F92FBA"/>
    <w:rsid w:val="00F933A2"/>
    <w:rsid w:val="00F94427"/>
    <w:rsid w:val="00F94C26"/>
    <w:rsid w:val="00F94EC6"/>
    <w:rsid w:val="00F95096"/>
    <w:rsid w:val="00F958BC"/>
    <w:rsid w:val="00F96DCD"/>
    <w:rsid w:val="00F97241"/>
    <w:rsid w:val="00F97A44"/>
    <w:rsid w:val="00F97FBC"/>
    <w:rsid w:val="00FA02F3"/>
    <w:rsid w:val="00FA109A"/>
    <w:rsid w:val="00FA178D"/>
    <w:rsid w:val="00FA18CE"/>
    <w:rsid w:val="00FA1DCC"/>
    <w:rsid w:val="00FA279F"/>
    <w:rsid w:val="00FA46B8"/>
    <w:rsid w:val="00FA59F3"/>
    <w:rsid w:val="00FA6381"/>
    <w:rsid w:val="00FA7464"/>
    <w:rsid w:val="00FB0B53"/>
    <w:rsid w:val="00FB1B29"/>
    <w:rsid w:val="00FB2AC7"/>
    <w:rsid w:val="00FB39DD"/>
    <w:rsid w:val="00FB3F4B"/>
    <w:rsid w:val="00FB694B"/>
    <w:rsid w:val="00FB71DF"/>
    <w:rsid w:val="00FC0DC0"/>
    <w:rsid w:val="00FC328F"/>
    <w:rsid w:val="00FC3DF6"/>
    <w:rsid w:val="00FC6105"/>
    <w:rsid w:val="00FC6E8A"/>
    <w:rsid w:val="00FC78D4"/>
    <w:rsid w:val="00FD2342"/>
    <w:rsid w:val="00FD3676"/>
    <w:rsid w:val="00FD497C"/>
    <w:rsid w:val="00FD5AD1"/>
    <w:rsid w:val="00FD79B5"/>
    <w:rsid w:val="00FE056F"/>
    <w:rsid w:val="00FE0CBD"/>
    <w:rsid w:val="00FE1831"/>
    <w:rsid w:val="00FE221D"/>
    <w:rsid w:val="00FE22E8"/>
    <w:rsid w:val="00FE296D"/>
    <w:rsid w:val="00FE2E02"/>
    <w:rsid w:val="00FE3818"/>
    <w:rsid w:val="00FE3C97"/>
    <w:rsid w:val="00FE404C"/>
    <w:rsid w:val="00FE40AF"/>
    <w:rsid w:val="00FE55E1"/>
    <w:rsid w:val="00FE5A47"/>
    <w:rsid w:val="00FE5C55"/>
    <w:rsid w:val="00FE62EB"/>
    <w:rsid w:val="00FE6A04"/>
    <w:rsid w:val="00FE6DBC"/>
    <w:rsid w:val="00FE6ECA"/>
    <w:rsid w:val="00FE702D"/>
    <w:rsid w:val="00FF1D2B"/>
    <w:rsid w:val="00FF1DA3"/>
    <w:rsid w:val="00FF2CB7"/>
    <w:rsid w:val="00FF40ED"/>
    <w:rsid w:val="00FF4EC4"/>
    <w:rsid w:val="00FF525B"/>
    <w:rsid w:val="00FF6156"/>
    <w:rsid w:val="010C4E65"/>
    <w:rsid w:val="01C28164"/>
    <w:rsid w:val="01DF71AD"/>
    <w:rsid w:val="037A10A8"/>
    <w:rsid w:val="03CE7C6E"/>
    <w:rsid w:val="03FA3566"/>
    <w:rsid w:val="05362E01"/>
    <w:rsid w:val="053A388C"/>
    <w:rsid w:val="06C47307"/>
    <w:rsid w:val="06C4CCB5"/>
    <w:rsid w:val="0752AC31"/>
    <w:rsid w:val="0796F9CA"/>
    <w:rsid w:val="08A01AFC"/>
    <w:rsid w:val="097C9F23"/>
    <w:rsid w:val="0982F8C9"/>
    <w:rsid w:val="0A700AAF"/>
    <w:rsid w:val="0CDB334A"/>
    <w:rsid w:val="0D02399F"/>
    <w:rsid w:val="0D4F7E62"/>
    <w:rsid w:val="0EABB10B"/>
    <w:rsid w:val="0FF63B12"/>
    <w:rsid w:val="104E359E"/>
    <w:rsid w:val="105646DC"/>
    <w:rsid w:val="115C287B"/>
    <w:rsid w:val="127E7C91"/>
    <w:rsid w:val="12CE14F8"/>
    <w:rsid w:val="136F0E37"/>
    <w:rsid w:val="13A928BD"/>
    <w:rsid w:val="14285961"/>
    <w:rsid w:val="14774FE9"/>
    <w:rsid w:val="1490CD80"/>
    <w:rsid w:val="14F646B6"/>
    <w:rsid w:val="15E1DDC5"/>
    <w:rsid w:val="16C2B7B5"/>
    <w:rsid w:val="16FE84E5"/>
    <w:rsid w:val="179D90CB"/>
    <w:rsid w:val="1808F7F0"/>
    <w:rsid w:val="198BF139"/>
    <w:rsid w:val="1A8C2566"/>
    <w:rsid w:val="1AD81951"/>
    <w:rsid w:val="1BB66805"/>
    <w:rsid w:val="1C13E6BC"/>
    <w:rsid w:val="1C6A4FF4"/>
    <w:rsid w:val="1D343C4C"/>
    <w:rsid w:val="1D4071A3"/>
    <w:rsid w:val="1E891178"/>
    <w:rsid w:val="1F285751"/>
    <w:rsid w:val="211DF4F5"/>
    <w:rsid w:val="215CD3DE"/>
    <w:rsid w:val="22178C95"/>
    <w:rsid w:val="22D12F30"/>
    <w:rsid w:val="2345A2CF"/>
    <w:rsid w:val="239529BC"/>
    <w:rsid w:val="23CAEB5A"/>
    <w:rsid w:val="240B0715"/>
    <w:rsid w:val="24A29A09"/>
    <w:rsid w:val="256F4B23"/>
    <w:rsid w:val="262D85DA"/>
    <w:rsid w:val="26585FB6"/>
    <w:rsid w:val="26B131DC"/>
    <w:rsid w:val="273C3847"/>
    <w:rsid w:val="27D5BEAC"/>
    <w:rsid w:val="291E98E6"/>
    <w:rsid w:val="29355F66"/>
    <w:rsid w:val="294E72A3"/>
    <w:rsid w:val="29B2D82E"/>
    <w:rsid w:val="29DF6CF7"/>
    <w:rsid w:val="2B0C3C74"/>
    <w:rsid w:val="2B35F159"/>
    <w:rsid w:val="2BA63C11"/>
    <w:rsid w:val="2CB04A24"/>
    <w:rsid w:val="2D73486F"/>
    <w:rsid w:val="2DB64873"/>
    <w:rsid w:val="2E337E83"/>
    <w:rsid w:val="30B6F0A2"/>
    <w:rsid w:val="314EAD32"/>
    <w:rsid w:val="31E4B2B7"/>
    <w:rsid w:val="326DACA6"/>
    <w:rsid w:val="3318E831"/>
    <w:rsid w:val="3364686B"/>
    <w:rsid w:val="33AB6613"/>
    <w:rsid w:val="33C03BFD"/>
    <w:rsid w:val="347E7080"/>
    <w:rsid w:val="3507B007"/>
    <w:rsid w:val="35108AFA"/>
    <w:rsid w:val="352CC038"/>
    <w:rsid w:val="368A13F4"/>
    <w:rsid w:val="36BBF8A6"/>
    <w:rsid w:val="37067FDC"/>
    <w:rsid w:val="37832383"/>
    <w:rsid w:val="37F79651"/>
    <w:rsid w:val="38AE42DB"/>
    <w:rsid w:val="3924A0AC"/>
    <w:rsid w:val="39DD9994"/>
    <w:rsid w:val="3A017462"/>
    <w:rsid w:val="3A0893C8"/>
    <w:rsid w:val="3B855ADC"/>
    <w:rsid w:val="3BFFB552"/>
    <w:rsid w:val="3C317C33"/>
    <w:rsid w:val="3DA3D210"/>
    <w:rsid w:val="3DC44252"/>
    <w:rsid w:val="3DD19C4B"/>
    <w:rsid w:val="3E93CE81"/>
    <w:rsid w:val="3E97AA95"/>
    <w:rsid w:val="3EC33709"/>
    <w:rsid w:val="3EC4D5E8"/>
    <w:rsid w:val="4178CD6D"/>
    <w:rsid w:val="41E0F96B"/>
    <w:rsid w:val="41FD4014"/>
    <w:rsid w:val="43E68C2E"/>
    <w:rsid w:val="4554B013"/>
    <w:rsid w:val="475D7389"/>
    <w:rsid w:val="480BE1FC"/>
    <w:rsid w:val="48390A25"/>
    <w:rsid w:val="495424FA"/>
    <w:rsid w:val="4A902EED"/>
    <w:rsid w:val="4B84F054"/>
    <w:rsid w:val="4CD61DA2"/>
    <w:rsid w:val="4CF199E1"/>
    <w:rsid w:val="4D24C327"/>
    <w:rsid w:val="4D4416F1"/>
    <w:rsid w:val="4E613D92"/>
    <w:rsid w:val="4EAB035B"/>
    <w:rsid w:val="4EB81ED3"/>
    <w:rsid w:val="4F568560"/>
    <w:rsid w:val="5101383B"/>
    <w:rsid w:val="51E4D04F"/>
    <w:rsid w:val="521DC000"/>
    <w:rsid w:val="52421FB7"/>
    <w:rsid w:val="52701C21"/>
    <w:rsid w:val="54086758"/>
    <w:rsid w:val="54652AD7"/>
    <w:rsid w:val="549B94D2"/>
    <w:rsid w:val="54C0DC2A"/>
    <w:rsid w:val="550DC08A"/>
    <w:rsid w:val="5575208D"/>
    <w:rsid w:val="589058AC"/>
    <w:rsid w:val="5BB676D7"/>
    <w:rsid w:val="5C44F003"/>
    <w:rsid w:val="5CB17E6C"/>
    <w:rsid w:val="5D37A51E"/>
    <w:rsid w:val="5D5CD260"/>
    <w:rsid w:val="5F265DF4"/>
    <w:rsid w:val="5F9435A9"/>
    <w:rsid w:val="5FFE3B33"/>
    <w:rsid w:val="605FBB28"/>
    <w:rsid w:val="60850A06"/>
    <w:rsid w:val="610B76F8"/>
    <w:rsid w:val="614C22FB"/>
    <w:rsid w:val="61CCE19A"/>
    <w:rsid w:val="625E0AC1"/>
    <w:rsid w:val="63596E2E"/>
    <w:rsid w:val="63B1A42D"/>
    <w:rsid w:val="642B58B8"/>
    <w:rsid w:val="6464A679"/>
    <w:rsid w:val="64FF64F8"/>
    <w:rsid w:val="655D0C9F"/>
    <w:rsid w:val="6574E6BC"/>
    <w:rsid w:val="65D4A99A"/>
    <w:rsid w:val="670F82E8"/>
    <w:rsid w:val="6717EC02"/>
    <w:rsid w:val="68F7D062"/>
    <w:rsid w:val="69BD2793"/>
    <w:rsid w:val="69C6C604"/>
    <w:rsid w:val="6C35C271"/>
    <w:rsid w:val="6C383408"/>
    <w:rsid w:val="6C6D5343"/>
    <w:rsid w:val="6E0772CE"/>
    <w:rsid w:val="6E4AA4F5"/>
    <w:rsid w:val="6E7FF74A"/>
    <w:rsid w:val="6F5AAA10"/>
    <w:rsid w:val="6F695109"/>
    <w:rsid w:val="6FC49D7F"/>
    <w:rsid w:val="712F219A"/>
    <w:rsid w:val="7198BEAC"/>
    <w:rsid w:val="728E886F"/>
    <w:rsid w:val="73AC646C"/>
    <w:rsid w:val="73C1B458"/>
    <w:rsid w:val="765030CB"/>
    <w:rsid w:val="7685583A"/>
    <w:rsid w:val="773FB327"/>
    <w:rsid w:val="774B0BED"/>
    <w:rsid w:val="77BE5831"/>
    <w:rsid w:val="780405A4"/>
    <w:rsid w:val="787A2101"/>
    <w:rsid w:val="78A30198"/>
    <w:rsid w:val="78A3EB36"/>
    <w:rsid w:val="78FE13D1"/>
    <w:rsid w:val="79C03308"/>
    <w:rsid w:val="79E1B4E4"/>
    <w:rsid w:val="7B413298"/>
    <w:rsid w:val="7BE574E9"/>
    <w:rsid w:val="7C0737C2"/>
    <w:rsid w:val="7C221278"/>
    <w:rsid w:val="7C96A21E"/>
    <w:rsid w:val="7D309C93"/>
    <w:rsid w:val="7DA544A5"/>
    <w:rsid w:val="7EB29061"/>
    <w:rsid w:val="7FBCBF4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81FC5"/>
  <w15:chartTrackingRefBased/>
  <w15:docId w15:val="{4D7188DA-968E-4FC3-9F45-E85997483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483"/>
  </w:style>
  <w:style w:type="paragraph" w:styleId="Heading1">
    <w:name w:val="heading 1"/>
    <w:basedOn w:val="Normal"/>
    <w:next w:val="Normal"/>
    <w:link w:val="Heading1Char"/>
    <w:uiPriority w:val="9"/>
    <w:qFormat/>
    <w:rsid w:val="00156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6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6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6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6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6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56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349"/>
    <w:rPr>
      <w:rFonts w:eastAsiaTheme="majorEastAsia" w:cstheme="majorBidi"/>
      <w:color w:val="272727" w:themeColor="text1" w:themeTint="D8"/>
    </w:rPr>
  </w:style>
  <w:style w:type="paragraph" w:styleId="Title">
    <w:name w:val="Title"/>
    <w:basedOn w:val="Normal"/>
    <w:next w:val="Normal"/>
    <w:link w:val="TitleChar"/>
    <w:uiPriority w:val="10"/>
    <w:qFormat/>
    <w:rsid w:val="00156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349"/>
    <w:pPr>
      <w:spacing w:before="160"/>
      <w:jc w:val="center"/>
    </w:pPr>
    <w:rPr>
      <w:i/>
      <w:iCs/>
      <w:color w:val="404040" w:themeColor="text1" w:themeTint="BF"/>
    </w:rPr>
  </w:style>
  <w:style w:type="character" w:customStyle="1" w:styleId="QuoteChar">
    <w:name w:val="Quote Char"/>
    <w:basedOn w:val="DefaultParagraphFont"/>
    <w:link w:val="Quote"/>
    <w:uiPriority w:val="29"/>
    <w:rsid w:val="00156349"/>
    <w:rPr>
      <w:i/>
      <w:iCs/>
      <w:color w:val="404040" w:themeColor="text1" w:themeTint="BF"/>
    </w:rPr>
  </w:style>
  <w:style w:type="paragraph" w:styleId="ListParagraph">
    <w:name w:val="List Paragraph"/>
    <w:basedOn w:val="Normal"/>
    <w:uiPriority w:val="34"/>
    <w:qFormat/>
    <w:rsid w:val="00156349"/>
    <w:pPr>
      <w:ind w:left="720"/>
      <w:contextualSpacing/>
    </w:pPr>
  </w:style>
  <w:style w:type="character" w:styleId="IntenseEmphasis">
    <w:name w:val="Intense Emphasis"/>
    <w:basedOn w:val="DefaultParagraphFont"/>
    <w:uiPriority w:val="21"/>
    <w:qFormat/>
    <w:rsid w:val="00156349"/>
    <w:rPr>
      <w:i/>
      <w:iCs/>
      <w:color w:val="0F4761" w:themeColor="accent1" w:themeShade="BF"/>
    </w:rPr>
  </w:style>
  <w:style w:type="paragraph" w:styleId="IntenseQuote">
    <w:name w:val="Intense Quote"/>
    <w:basedOn w:val="Normal"/>
    <w:next w:val="Normal"/>
    <w:link w:val="IntenseQuoteChar"/>
    <w:uiPriority w:val="30"/>
    <w:qFormat/>
    <w:rsid w:val="00156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349"/>
    <w:rPr>
      <w:i/>
      <w:iCs/>
      <w:color w:val="0F4761" w:themeColor="accent1" w:themeShade="BF"/>
    </w:rPr>
  </w:style>
  <w:style w:type="character" w:styleId="IntenseReference">
    <w:name w:val="Intense Reference"/>
    <w:basedOn w:val="DefaultParagraphFont"/>
    <w:uiPriority w:val="32"/>
    <w:qFormat/>
    <w:rsid w:val="00156349"/>
    <w:rPr>
      <w:b/>
      <w:bCs/>
      <w:smallCaps/>
      <w:color w:val="0F4761" w:themeColor="accent1" w:themeShade="BF"/>
      <w:spacing w:val="5"/>
    </w:rPr>
  </w:style>
  <w:style w:type="paragraph" w:styleId="Header">
    <w:name w:val="header"/>
    <w:basedOn w:val="Normal"/>
    <w:link w:val="HeaderChar"/>
    <w:uiPriority w:val="99"/>
    <w:unhideWhenUsed/>
    <w:rsid w:val="00676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59"/>
  </w:style>
  <w:style w:type="paragraph" w:styleId="Footer">
    <w:name w:val="footer"/>
    <w:basedOn w:val="Normal"/>
    <w:link w:val="FooterChar"/>
    <w:uiPriority w:val="99"/>
    <w:unhideWhenUsed/>
    <w:rsid w:val="00676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59"/>
  </w:style>
  <w:style w:type="table" w:styleId="TableGrid">
    <w:name w:val="Table Grid"/>
    <w:basedOn w:val="TableNormal"/>
    <w:uiPriority w:val="39"/>
    <w:rsid w:val="00592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747B"/>
    <w:rPr>
      <w:sz w:val="16"/>
      <w:szCs w:val="16"/>
    </w:rPr>
  </w:style>
  <w:style w:type="paragraph" w:styleId="CommentText">
    <w:name w:val="annotation text"/>
    <w:basedOn w:val="Normal"/>
    <w:link w:val="CommentTextChar"/>
    <w:uiPriority w:val="99"/>
    <w:unhideWhenUsed/>
    <w:rsid w:val="0025747B"/>
    <w:pPr>
      <w:spacing w:line="240" w:lineRule="auto"/>
    </w:pPr>
    <w:rPr>
      <w:sz w:val="20"/>
      <w:szCs w:val="20"/>
    </w:rPr>
  </w:style>
  <w:style w:type="character" w:customStyle="1" w:styleId="CommentTextChar">
    <w:name w:val="Comment Text Char"/>
    <w:basedOn w:val="DefaultParagraphFont"/>
    <w:link w:val="CommentText"/>
    <w:uiPriority w:val="99"/>
    <w:rsid w:val="0025747B"/>
    <w:rPr>
      <w:sz w:val="20"/>
      <w:szCs w:val="20"/>
    </w:rPr>
  </w:style>
  <w:style w:type="character" w:styleId="Hyperlink">
    <w:name w:val="Hyperlink"/>
    <w:basedOn w:val="DefaultParagraphFont"/>
    <w:uiPriority w:val="99"/>
    <w:unhideWhenUsed/>
    <w:rsid w:val="0025747B"/>
    <w:rPr>
      <w:color w:val="467886" w:themeColor="hyperlink"/>
      <w:u w:val="single"/>
    </w:rPr>
  </w:style>
  <w:style w:type="character" w:styleId="UnresolvedMention">
    <w:name w:val="Unresolved Mention"/>
    <w:basedOn w:val="DefaultParagraphFont"/>
    <w:uiPriority w:val="99"/>
    <w:semiHidden/>
    <w:unhideWhenUsed/>
    <w:rsid w:val="0079611D"/>
    <w:rPr>
      <w:color w:val="605E5C"/>
      <w:shd w:val="clear" w:color="auto" w:fill="E1DFDD"/>
    </w:rPr>
  </w:style>
  <w:style w:type="character" w:styleId="FollowedHyperlink">
    <w:name w:val="FollowedHyperlink"/>
    <w:basedOn w:val="DefaultParagraphFont"/>
    <w:uiPriority w:val="99"/>
    <w:semiHidden/>
    <w:unhideWhenUsed/>
    <w:rsid w:val="0079611D"/>
    <w:rPr>
      <w:color w:val="96607D" w:themeColor="followedHyperlink"/>
      <w:u w:val="single"/>
    </w:rPr>
  </w:style>
  <w:style w:type="paragraph" w:styleId="CommentSubject">
    <w:name w:val="annotation subject"/>
    <w:basedOn w:val="CommentText"/>
    <w:next w:val="CommentText"/>
    <w:link w:val="CommentSubjectChar"/>
    <w:uiPriority w:val="99"/>
    <w:semiHidden/>
    <w:unhideWhenUsed/>
    <w:rsid w:val="00B57022"/>
    <w:rPr>
      <w:b/>
      <w:bCs/>
    </w:rPr>
  </w:style>
  <w:style w:type="character" w:customStyle="1" w:styleId="CommentSubjectChar">
    <w:name w:val="Comment Subject Char"/>
    <w:basedOn w:val="CommentTextChar"/>
    <w:link w:val="CommentSubject"/>
    <w:uiPriority w:val="99"/>
    <w:semiHidden/>
    <w:rsid w:val="00B57022"/>
    <w:rPr>
      <w:b/>
      <w:bCs/>
      <w:sz w:val="20"/>
      <w:szCs w:val="20"/>
    </w:rPr>
  </w:style>
  <w:style w:type="character" w:styleId="PageNumber">
    <w:name w:val="page number"/>
    <w:basedOn w:val="DefaultParagraphFont"/>
    <w:uiPriority w:val="99"/>
    <w:semiHidden/>
    <w:unhideWhenUsed/>
    <w:rsid w:val="00B31BC8"/>
  </w:style>
  <w:style w:type="character" w:customStyle="1" w:styleId="normaltextrun">
    <w:name w:val="normaltextrun"/>
    <w:basedOn w:val="DefaultParagraphFont"/>
    <w:rsid w:val="00C9585C"/>
  </w:style>
  <w:style w:type="paragraph" w:styleId="FootnoteText">
    <w:name w:val="footnote text"/>
    <w:basedOn w:val="Normal"/>
    <w:link w:val="FootnoteTextChar"/>
    <w:uiPriority w:val="99"/>
    <w:semiHidden/>
    <w:unhideWhenUsed/>
    <w:rsid w:val="00C9585C"/>
    <w:pPr>
      <w:spacing w:after="0" w:line="240" w:lineRule="auto"/>
      <w:jc w:val="both"/>
      <w:textAlignment w:val="baseline"/>
    </w:pPr>
    <w:rPr>
      <w:rFonts w:ascii="Aptos" w:eastAsia="Times New Roman" w:hAnsi="Aptos" w:cs="Segoe UI"/>
      <w:color w:val="000000"/>
      <w:kern w:val="0"/>
      <w:sz w:val="20"/>
      <w:szCs w:val="20"/>
      <w:lang w:val="en-GB" w:eastAsia="en-AU"/>
      <w14:ligatures w14:val="none"/>
    </w:rPr>
  </w:style>
  <w:style w:type="character" w:customStyle="1" w:styleId="FootnoteTextChar">
    <w:name w:val="Footnote Text Char"/>
    <w:basedOn w:val="DefaultParagraphFont"/>
    <w:link w:val="FootnoteText"/>
    <w:uiPriority w:val="99"/>
    <w:semiHidden/>
    <w:rsid w:val="00C9585C"/>
    <w:rPr>
      <w:rFonts w:ascii="Aptos" w:eastAsia="Times New Roman" w:hAnsi="Aptos" w:cs="Segoe UI"/>
      <w:color w:val="000000"/>
      <w:kern w:val="0"/>
      <w:sz w:val="20"/>
      <w:szCs w:val="20"/>
      <w:lang w:val="en-GB" w:eastAsia="en-AU"/>
      <w14:ligatures w14:val="none"/>
    </w:rPr>
  </w:style>
  <w:style w:type="character" w:styleId="FootnoteReference">
    <w:name w:val="footnote reference"/>
    <w:basedOn w:val="DefaultParagraphFont"/>
    <w:uiPriority w:val="99"/>
    <w:semiHidden/>
    <w:unhideWhenUsed/>
    <w:rsid w:val="00C9585C"/>
    <w:rPr>
      <w:vertAlign w:val="superscript"/>
    </w:rPr>
  </w:style>
  <w:style w:type="table" w:customStyle="1" w:styleId="TableGrid1">
    <w:name w:val="Table Grid1"/>
    <w:basedOn w:val="TableNormal"/>
    <w:next w:val="TableGrid"/>
    <w:uiPriority w:val="39"/>
    <w:rsid w:val="00B36968"/>
    <w:pPr>
      <w:spacing w:after="0" w:line="240" w:lineRule="auto"/>
    </w:pPr>
    <w:rPr>
      <w:szCs w:val="30"/>
      <w:lang w:val="en-AU"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54B28"/>
    <w:pPr>
      <w:spacing w:after="0" w:line="240" w:lineRule="auto"/>
    </w:pPr>
    <w:rPr>
      <w:szCs w:val="30"/>
      <w:lang w:val="en-AU" w:bidi="th-TH"/>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542880"/>
    <w:pPr>
      <w:spacing w:after="0" w:line="240" w:lineRule="auto"/>
    </w:pPr>
  </w:style>
  <w:style w:type="paragraph" w:styleId="NormalWeb">
    <w:name w:val="Normal (Web)"/>
    <w:basedOn w:val="Normal"/>
    <w:uiPriority w:val="99"/>
    <w:semiHidden/>
    <w:unhideWhenUsed/>
    <w:rsid w:val="00542880"/>
    <w:rPr>
      <w:rFonts w:ascii="Times New Roman" w:hAnsi="Times New Roman" w:cs="Times New Roman"/>
    </w:rPr>
  </w:style>
  <w:style w:type="paragraph" w:customStyle="1" w:styleId="paragraph">
    <w:name w:val="paragraph"/>
    <w:basedOn w:val="Normal"/>
    <w:rsid w:val="00F243B6"/>
    <w:pPr>
      <w:spacing w:before="100" w:beforeAutospacing="1" w:after="100" w:afterAutospacing="1" w:line="240" w:lineRule="auto"/>
    </w:pPr>
    <w:rPr>
      <w:rFonts w:ascii="Times New Roman" w:eastAsia="Times New Roman" w:hAnsi="Times New Roman" w:cs="Times New Roman"/>
      <w:kern w:val="0"/>
      <w:lang w:val="en-AU" w:eastAsia="en-AU"/>
      <w14:ligatures w14:val="none"/>
    </w:rPr>
  </w:style>
  <w:style w:type="character" w:customStyle="1" w:styleId="eop">
    <w:name w:val="eop"/>
    <w:basedOn w:val="DefaultParagraphFont"/>
    <w:rsid w:val="00F243B6"/>
  </w:style>
  <w:style w:type="table" w:customStyle="1" w:styleId="TableGrid2">
    <w:name w:val="Table Grid2"/>
    <w:basedOn w:val="TableNormal"/>
    <w:next w:val="TableGrid"/>
    <w:uiPriority w:val="39"/>
    <w:rsid w:val="00D869A7"/>
    <w:pPr>
      <w:spacing w:after="0" w:line="240" w:lineRule="auto"/>
    </w:pPr>
    <w:rPr>
      <w:szCs w:val="30"/>
      <w:lang w:val="en-AU"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375">
      <w:bodyDiv w:val="1"/>
      <w:marLeft w:val="0"/>
      <w:marRight w:val="0"/>
      <w:marTop w:val="0"/>
      <w:marBottom w:val="0"/>
      <w:divBdr>
        <w:top w:val="none" w:sz="0" w:space="0" w:color="auto"/>
        <w:left w:val="none" w:sz="0" w:space="0" w:color="auto"/>
        <w:bottom w:val="none" w:sz="0" w:space="0" w:color="auto"/>
        <w:right w:val="none" w:sz="0" w:space="0" w:color="auto"/>
      </w:divBdr>
    </w:div>
    <w:div w:id="2973761">
      <w:bodyDiv w:val="1"/>
      <w:marLeft w:val="0"/>
      <w:marRight w:val="0"/>
      <w:marTop w:val="0"/>
      <w:marBottom w:val="0"/>
      <w:divBdr>
        <w:top w:val="none" w:sz="0" w:space="0" w:color="auto"/>
        <w:left w:val="none" w:sz="0" w:space="0" w:color="auto"/>
        <w:bottom w:val="none" w:sz="0" w:space="0" w:color="auto"/>
        <w:right w:val="none" w:sz="0" w:space="0" w:color="auto"/>
      </w:divBdr>
      <w:divsChild>
        <w:div w:id="498279730">
          <w:marLeft w:val="0"/>
          <w:marRight w:val="0"/>
          <w:marTop w:val="0"/>
          <w:marBottom w:val="0"/>
          <w:divBdr>
            <w:top w:val="none" w:sz="0" w:space="0" w:color="auto"/>
            <w:left w:val="none" w:sz="0" w:space="0" w:color="auto"/>
            <w:bottom w:val="none" w:sz="0" w:space="0" w:color="auto"/>
            <w:right w:val="none" w:sz="0" w:space="0" w:color="auto"/>
          </w:divBdr>
        </w:div>
        <w:div w:id="1101267605">
          <w:marLeft w:val="0"/>
          <w:marRight w:val="0"/>
          <w:marTop w:val="0"/>
          <w:marBottom w:val="0"/>
          <w:divBdr>
            <w:top w:val="none" w:sz="0" w:space="0" w:color="auto"/>
            <w:left w:val="none" w:sz="0" w:space="0" w:color="auto"/>
            <w:bottom w:val="none" w:sz="0" w:space="0" w:color="auto"/>
            <w:right w:val="none" w:sz="0" w:space="0" w:color="auto"/>
          </w:divBdr>
        </w:div>
        <w:div w:id="1284384245">
          <w:marLeft w:val="0"/>
          <w:marRight w:val="0"/>
          <w:marTop w:val="0"/>
          <w:marBottom w:val="0"/>
          <w:divBdr>
            <w:top w:val="none" w:sz="0" w:space="0" w:color="auto"/>
            <w:left w:val="none" w:sz="0" w:space="0" w:color="auto"/>
            <w:bottom w:val="none" w:sz="0" w:space="0" w:color="auto"/>
            <w:right w:val="none" w:sz="0" w:space="0" w:color="auto"/>
          </w:divBdr>
        </w:div>
        <w:div w:id="2138258732">
          <w:marLeft w:val="0"/>
          <w:marRight w:val="0"/>
          <w:marTop w:val="0"/>
          <w:marBottom w:val="0"/>
          <w:divBdr>
            <w:top w:val="none" w:sz="0" w:space="0" w:color="auto"/>
            <w:left w:val="none" w:sz="0" w:space="0" w:color="auto"/>
            <w:bottom w:val="none" w:sz="0" w:space="0" w:color="auto"/>
            <w:right w:val="none" w:sz="0" w:space="0" w:color="auto"/>
          </w:divBdr>
        </w:div>
      </w:divsChild>
    </w:div>
    <w:div w:id="13456756">
      <w:bodyDiv w:val="1"/>
      <w:marLeft w:val="0"/>
      <w:marRight w:val="0"/>
      <w:marTop w:val="0"/>
      <w:marBottom w:val="0"/>
      <w:divBdr>
        <w:top w:val="none" w:sz="0" w:space="0" w:color="auto"/>
        <w:left w:val="none" w:sz="0" w:space="0" w:color="auto"/>
        <w:bottom w:val="none" w:sz="0" w:space="0" w:color="auto"/>
        <w:right w:val="none" w:sz="0" w:space="0" w:color="auto"/>
      </w:divBdr>
    </w:div>
    <w:div w:id="23672161">
      <w:bodyDiv w:val="1"/>
      <w:marLeft w:val="0"/>
      <w:marRight w:val="0"/>
      <w:marTop w:val="0"/>
      <w:marBottom w:val="0"/>
      <w:divBdr>
        <w:top w:val="none" w:sz="0" w:space="0" w:color="auto"/>
        <w:left w:val="none" w:sz="0" w:space="0" w:color="auto"/>
        <w:bottom w:val="none" w:sz="0" w:space="0" w:color="auto"/>
        <w:right w:val="none" w:sz="0" w:space="0" w:color="auto"/>
      </w:divBdr>
      <w:divsChild>
        <w:div w:id="73673749">
          <w:marLeft w:val="0"/>
          <w:marRight w:val="0"/>
          <w:marTop w:val="0"/>
          <w:marBottom w:val="0"/>
          <w:divBdr>
            <w:top w:val="none" w:sz="0" w:space="0" w:color="auto"/>
            <w:left w:val="none" w:sz="0" w:space="0" w:color="auto"/>
            <w:bottom w:val="none" w:sz="0" w:space="0" w:color="auto"/>
            <w:right w:val="none" w:sz="0" w:space="0" w:color="auto"/>
          </w:divBdr>
        </w:div>
        <w:div w:id="423653374">
          <w:marLeft w:val="0"/>
          <w:marRight w:val="0"/>
          <w:marTop w:val="0"/>
          <w:marBottom w:val="0"/>
          <w:divBdr>
            <w:top w:val="none" w:sz="0" w:space="0" w:color="auto"/>
            <w:left w:val="none" w:sz="0" w:space="0" w:color="auto"/>
            <w:bottom w:val="none" w:sz="0" w:space="0" w:color="auto"/>
            <w:right w:val="none" w:sz="0" w:space="0" w:color="auto"/>
          </w:divBdr>
        </w:div>
        <w:div w:id="726075530">
          <w:marLeft w:val="0"/>
          <w:marRight w:val="0"/>
          <w:marTop w:val="0"/>
          <w:marBottom w:val="0"/>
          <w:divBdr>
            <w:top w:val="none" w:sz="0" w:space="0" w:color="auto"/>
            <w:left w:val="none" w:sz="0" w:space="0" w:color="auto"/>
            <w:bottom w:val="none" w:sz="0" w:space="0" w:color="auto"/>
            <w:right w:val="none" w:sz="0" w:space="0" w:color="auto"/>
          </w:divBdr>
        </w:div>
        <w:div w:id="1165435685">
          <w:marLeft w:val="0"/>
          <w:marRight w:val="0"/>
          <w:marTop w:val="0"/>
          <w:marBottom w:val="0"/>
          <w:divBdr>
            <w:top w:val="none" w:sz="0" w:space="0" w:color="auto"/>
            <w:left w:val="none" w:sz="0" w:space="0" w:color="auto"/>
            <w:bottom w:val="none" w:sz="0" w:space="0" w:color="auto"/>
            <w:right w:val="none" w:sz="0" w:space="0" w:color="auto"/>
          </w:divBdr>
        </w:div>
        <w:div w:id="1352293703">
          <w:marLeft w:val="0"/>
          <w:marRight w:val="0"/>
          <w:marTop w:val="0"/>
          <w:marBottom w:val="0"/>
          <w:divBdr>
            <w:top w:val="none" w:sz="0" w:space="0" w:color="auto"/>
            <w:left w:val="none" w:sz="0" w:space="0" w:color="auto"/>
            <w:bottom w:val="none" w:sz="0" w:space="0" w:color="auto"/>
            <w:right w:val="none" w:sz="0" w:space="0" w:color="auto"/>
          </w:divBdr>
        </w:div>
      </w:divsChild>
    </w:div>
    <w:div w:id="27068340">
      <w:bodyDiv w:val="1"/>
      <w:marLeft w:val="0"/>
      <w:marRight w:val="0"/>
      <w:marTop w:val="0"/>
      <w:marBottom w:val="0"/>
      <w:divBdr>
        <w:top w:val="none" w:sz="0" w:space="0" w:color="auto"/>
        <w:left w:val="none" w:sz="0" w:space="0" w:color="auto"/>
        <w:bottom w:val="none" w:sz="0" w:space="0" w:color="auto"/>
        <w:right w:val="none" w:sz="0" w:space="0" w:color="auto"/>
      </w:divBdr>
    </w:div>
    <w:div w:id="50926899">
      <w:bodyDiv w:val="1"/>
      <w:marLeft w:val="0"/>
      <w:marRight w:val="0"/>
      <w:marTop w:val="0"/>
      <w:marBottom w:val="0"/>
      <w:divBdr>
        <w:top w:val="none" w:sz="0" w:space="0" w:color="auto"/>
        <w:left w:val="none" w:sz="0" w:space="0" w:color="auto"/>
        <w:bottom w:val="none" w:sz="0" w:space="0" w:color="auto"/>
        <w:right w:val="none" w:sz="0" w:space="0" w:color="auto"/>
      </w:divBdr>
    </w:div>
    <w:div w:id="80639553">
      <w:bodyDiv w:val="1"/>
      <w:marLeft w:val="0"/>
      <w:marRight w:val="0"/>
      <w:marTop w:val="0"/>
      <w:marBottom w:val="0"/>
      <w:divBdr>
        <w:top w:val="none" w:sz="0" w:space="0" w:color="auto"/>
        <w:left w:val="none" w:sz="0" w:space="0" w:color="auto"/>
        <w:bottom w:val="none" w:sz="0" w:space="0" w:color="auto"/>
        <w:right w:val="none" w:sz="0" w:space="0" w:color="auto"/>
      </w:divBdr>
      <w:divsChild>
        <w:div w:id="339506792">
          <w:marLeft w:val="0"/>
          <w:marRight w:val="0"/>
          <w:marTop w:val="0"/>
          <w:marBottom w:val="0"/>
          <w:divBdr>
            <w:top w:val="none" w:sz="0" w:space="0" w:color="auto"/>
            <w:left w:val="none" w:sz="0" w:space="0" w:color="auto"/>
            <w:bottom w:val="none" w:sz="0" w:space="0" w:color="auto"/>
            <w:right w:val="none" w:sz="0" w:space="0" w:color="auto"/>
          </w:divBdr>
        </w:div>
        <w:div w:id="538516137">
          <w:marLeft w:val="0"/>
          <w:marRight w:val="0"/>
          <w:marTop w:val="0"/>
          <w:marBottom w:val="0"/>
          <w:divBdr>
            <w:top w:val="none" w:sz="0" w:space="0" w:color="auto"/>
            <w:left w:val="none" w:sz="0" w:space="0" w:color="auto"/>
            <w:bottom w:val="none" w:sz="0" w:space="0" w:color="auto"/>
            <w:right w:val="none" w:sz="0" w:space="0" w:color="auto"/>
          </w:divBdr>
        </w:div>
        <w:div w:id="597443980">
          <w:marLeft w:val="0"/>
          <w:marRight w:val="0"/>
          <w:marTop w:val="0"/>
          <w:marBottom w:val="0"/>
          <w:divBdr>
            <w:top w:val="none" w:sz="0" w:space="0" w:color="auto"/>
            <w:left w:val="none" w:sz="0" w:space="0" w:color="auto"/>
            <w:bottom w:val="none" w:sz="0" w:space="0" w:color="auto"/>
            <w:right w:val="none" w:sz="0" w:space="0" w:color="auto"/>
          </w:divBdr>
        </w:div>
        <w:div w:id="1238520463">
          <w:marLeft w:val="0"/>
          <w:marRight w:val="0"/>
          <w:marTop w:val="0"/>
          <w:marBottom w:val="0"/>
          <w:divBdr>
            <w:top w:val="none" w:sz="0" w:space="0" w:color="auto"/>
            <w:left w:val="none" w:sz="0" w:space="0" w:color="auto"/>
            <w:bottom w:val="none" w:sz="0" w:space="0" w:color="auto"/>
            <w:right w:val="none" w:sz="0" w:space="0" w:color="auto"/>
          </w:divBdr>
        </w:div>
        <w:div w:id="1285304647">
          <w:marLeft w:val="0"/>
          <w:marRight w:val="0"/>
          <w:marTop w:val="0"/>
          <w:marBottom w:val="0"/>
          <w:divBdr>
            <w:top w:val="none" w:sz="0" w:space="0" w:color="auto"/>
            <w:left w:val="none" w:sz="0" w:space="0" w:color="auto"/>
            <w:bottom w:val="none" w:sz="0" w:space="0" w:color="auto"/>
            <w:right w:val="none" w:sz="0" w:space="0" w:color="auto"/>
          </w:divBdr>
        </w:div>
      </w:divsChild>
    </w:div>
    <w:div w:id="109203227">
      <w:bodyDiv w:val="1"/>
      <w:marLeft w:val="0"/>
      <w:marRight w:val="0"/>
      <w:marTop w:val="0"/>
      <w:marBottom w:val="0"/>
      <w:divBdr>
        <w:top w:val="none" w:sz="0" w:space="0" w:color="auto"/>
        <w:left w:val="none" w:sz="0" w:space="0" w:color="auto"/>
        <w:bottom w:val="none" w:sz="0" w:space="0" w:color="auto"/>
        <w:right w:val="none" w:sz="0" w:space="0" w:color="auto"/>
      </w:divBdr>
    </w:div>
    <w:div w:id="121653057">
      <w:bodyDiv w:val="1"/>
      <w:marLeft w:val="0"/>
      <w:marRight w:val="0"/>
      <w:marTop w:val="0"/>
      <w:marBottom w:val="0"/>
      <w:divBdr>
        <w:top w:val="none" w:sz="0" w:space="0" w:color="auto"/>
        <w:left w:val="none" w:sz="0" w:space="0" w:color="auto"/>
        <w:bottom w:val="none" w:sz="0" w:space="0" w:color="auto"/>
        <w:right w:val="none" w:sz="0" w:space="0" w:color="auto"/>
      </w:divBdr>
    </w:div>
    <w:div w:id="140393472">
      <w:bodyDiv w:val="1"/>
      <w:marLeft w:val="0"/>
      <w:marRight w:val="0"/>
      <w:marTop w:val="0"/>
      <w:marBottom w:val="0"/>
      <w:divBdr>
        <w:top w:val="none" w:sz="0" w:space="0" w:color="auto"/>
        <w:left w:val="none" w:sz="0" w:space="0" w:color="auto"/>
        <w:bottom w:val="none" w:sz="0" w:space="0" w:color="auto"/>
        <w:right w:val="none" w:sz="0" w:space="0" w:color="auto"/>
      </w:divBdr>
      <w:divsChild>
        <w:div w:id="258294857">
          <w:marLeft w:val="0"/>
          <w:marRight w:val="0"/>
          <w:marTop w:val="0"/>
          <w:marBottom w:val="0"/>
          <w:divBdr>
            <w:top w:val="none" w:sz="0" w:space="0" w:color="auto"/>
            <w:left w:val="none" w:sz="0" w:space="0" w:color="auto"/>
            <w:bottom w:val="none" w:sz="0" w:space="0" w:color="auto"/>
            <w:right w:val="none" w:sz="0" w:space="0" w:color="auto"/>
          </w:divBdr>
        </w:div>
        <w:div w:id="849759584">
          <w:marLeft w:val="0"/>
          <w:marRight w:val="0"/>
          <w:marTop w:val="0"/>
          <w:marBottom w:val="0"/>
          <w:divBdr>
            <w:top w:val="none" w:sz="0" w:space="0" w:color="auto"/>
            <w:left w:val="none" w:sz="0" w:space="0" w:color="auto"/>
            <w:bottom w:val="none" w:sz="0" w:space="0" w:color="auto"/>
            <w:right w:val="none" w:sz="0" w:space="0" w:color="auto"/>
          </w:divBdr>
        </w:div>
        <w:div w:id="898126330">
          <w:marLeft w:val="0"/>
          <w:marRight w:val="0"/>
          <w:marTop w:val="0"/>
          <w:marBottom w:val="0"/>
          <w:divBdr>
            <w:top w:val="none" w:sz="0" w:space="0" w:color="auto"/>
            <w:left w:val="none" w:sz="0" w:space="0" w:color="auto"/>
            <w:bottom w:val="none" w:sz="0" w:space="0" w:color="auto"/>
            <w:right w:val="none" w:sz="0" w:space="0" w:color="auto"/>
          </w:divBdr>
        </w:div>
        <w:div w:id="1890261274">
          <w:marLeft w:val="0"/>
          <w:marRight w:val="0"/>
          <w:marTop w:val="0"/>
          <w:marBottom w:val="0"/>
          <w:divBdr>
            <w:top w:val="none" w:sz="0" w:space="0" w:color="auto"/>
            <w:left w:val="none" w:sz="0" w:space="0" w:color="auto"/>
            <w:bottom w:val="none" w:sz="0" w:space="0" w:color="auto"/>
            <w:right w:val="none" w:sz="0" w:space="0" w:color="auto"/>
          </w:divBdr>
        </w:div>
      </w:divsChild>
    </w:div>
    <w:div w:id="143205223">
      <w:bodyDiv w:val="1"/>
      <w:marLeft w:val="0"/>
      <w:marRight w:val="0"/>
      <w:marTop w:val="0"/>
      <w:marBottom w:val="0"/>
      <w:divBdr>
        <w:top w:val="none" w:sz="0" w:space="0" w:color="auto"/>
        <w:left w:val="none" w:sz="0" w:space="0" w:color="auto"/>
        <w:bottom w:val="none" w:sz="0" w:space="0" w:color="auto"/>
        <w:right w:val="none" w:sz="0" w:space="0" w:color="auto"/>
      </w:divBdr>
    </w:div>
    <w:div w:id="165289423">
      <w:bodyDiv w:val="1"/>
      <w:marLeft w:val="0"/>
      <w:marRight w:val="0"/>
      <w:marTop w:val="0"/>
      <w:marBottom w:val="0"/>
      <w:divBdr>
        <w:top w:val="none" w:sz="0" w:space="0" w:color="auto"/>
        <w:left w:val="none" w:sz="0" w:space="0" w:color="auto"/>
        <w:bottom w:val="none" w:sz="0" w:space="0" w:color="auto"/>
        <w:right w:val="none" w:sz="0" w:space="0" w:color="auto"/>
      </w:divBdr>
    </w:div>
    <w:div w:id="174731442">
      <w:bodyDiv w:val="1"/>
      <w:marLeft w:val="0"/>
      <w:marRight w:val="0"/>
      <w:marTop w:val="0"/>
      <w:marBottom w:val="0"/>
      <w:divBdr>
        <w:top w:val="none" w:sz="0" w:space="0" w:color="auto"/>
        <w:left w:val="none" w:sz="0" w:space="0" w:color="auto"/>
        <w:bottom w:val="none" w:sz="0" w:space="0" w:color="auto"/>
        <w:right w:val="none" w:sz="0" w:space="0" w:color="auto"/>
      </w:divBdr>
    </w:div>
    <w:div w:id="208227553">
      <w:bodyDiv w:val="1"/>
      <w:marLeft w:val="0"/>
      <w:marRight w:val="0"/>
      <w:marTop w:val="0"/>
      <w:marBottom w:val="0"/>
      <w:divBdr>
        <w:top w:val="none" w:sz="0" w:space="0" w:color="auto"/>
        <w:left w:val="none" w:sz="0" w:space="0" w:color="auto"/>
        <w:bottom w:val="none" w:sz="0" w:space="0" w:color="auto"/>
        <w:right w:val="none" w:sz="0" w:space="0" w:color="auto"/>
      </w:divBdr>
    </w:div>
    <w:div w:id="221067341">
      <w:bodyDiv w:val="1"/>
      <w:marLeft w:val="0"/>
      <w:marRight w:val="0"/>
      <w:marTop w:val="0"/>
      <w:marBottom w:val="0"/>
      <w:divBdr>
        <w:top w:val="none" w:sz="0" w:space="0" w:color="auto"/>
        <w:left w:val="none" w:sz="0" w:space="0" w:color="auto"/>
        <w:bottom w:val="none" w:sz="0" w:space="0" w:color="auto"/>
        <w:right w:val="none" w:sz="0" w:space="0" w:color="auto"/>
      </w:divBdr>
    </w:div>
    <w:div w:id="234821345">
      <w:bodyDiv w:val="1"/>
      <w:marLeft w:val="0"/>
      <w:marRight w:val="0"/>
      <w:marTop w:val="0"/>
      <w:marBottom w:val="0"/>
      <w:divBdr>
        <w:top w:val="none" w:sz="0" w:space="0" w:color="auto"/>
        <w:left w:val="none" w:sz="0" w:space="0" w:color="auto"/>
        <w:bottom w:val="none" w:sz="0" w:space="0" w:color="auto"/>
        <w:right w:val="none" w:sz="0" w:space="0" w:color="auto"/>
      </w:divBdr>
    </w:div>
    <w:div w:id="256408995">
      <w:bodyDiv w:val="1"/>
      <w:marLeft w:val="0"/>
      <w:marRight w:val="0"/>
      <w:marTop w:val="0"/>
      <w:marBottom w:val="0"/>
      <w:divBdr>
        <w:top w:val="none" w:sz="0" w:space="0" w:color="auto"/>
        <w:left w:val="none" w:sz="0" w:space="0" w:color="auto"/>
        <w:bottom w:val="none" w:sz="0" w:space="0" w:color="auto"/>
        <w:right w:val="none" w:sz="0" w:space="0" w:color="auto"/>
      </w:divBdr>
    </w:div>
    <w:div w:id="298611112">
      <w:bodyDiv w:val="1"/>
      <w:marLeft w:val="0"/>
      <w:marRight w:val="0"/>
      <w:marTop w:val="0"/>
      <w:marBottom w:val="0"/>
      <w:divBdr>
        <w:top w:val="none" w:sz="0" w:space="0" w:color="auto"/>
        <w:left w:val="none" w:sz="0" w:space="0" w:color="auto"/>
        <w:bottom w:val="none" w:sz="0" w:space="0" w:color="auto"/>
        <w:right w:val="none" w:sz="0" w:space="0" w:color="auto"/>
      </w:divBdr>
    </w:div>
    <w:div w:id="325210428">
      <w:bodyDiv w:val="1"/>
      <w:marLeft w:val="0"/>
      <w:marRight w:val="0"/>
      <w:marTop w:val="0"/>
      <w:marBottom w:val="0"/>
      <w:divBdr>
        <w:top w:val="none" w:sz="0" w:space="0" w:color="auto"/>
        <w:left w:val="none" w:sz="0" w:space="0" w:color="auto"/>
        <w:bottom w:val="none" w:sz="0" w:space="0" w:color="auto"/>
        <w:right w:val="none" w:sz="0" w:space="0" w:color="auto"/>
      </w:divBdr>
    </w:div>
    <w:div w:id="361638592">
      <w:bodyDiv w:val="1"/>
      <w:marLeft w:val="0"/>
      <w:marRight w:val="0"/>
      <w:marTop w:val="0"/>
      <w:marBottom w:val="0"/>
      <w:divBdr>
        <w:top w:val="none" w:sz="0" w:space="0" w:color="auto"/>
        <w:left w:val="none" w:sz="0" w:space="0" w:color="auto"/>
        <w:bottom w:val="none" w:sz="0" w:space="0" w:color="auto"/>
        <w:right w:val="none" w:sz="0" w:space="0" w:color="auto"/>
      </w:divBdr>
    </w:div>
    <w:div w:id="414207184">
      <w:bodyDiv w:val="1"/>
      <w:marLeft w:val="0"/>
      <w:marRight w:val="0"/>
      <w:marTop w:val="0"/>
      <w:marBottom w:val="0"/>
      <w:divBdr>
        <w:top w:val="none" w:sz="0" w:space="0" w:color="auto"/>
        <w:left w:val="none" w:sz="0" w:space="0" w:color="auto"/>
        <w:bottom w:val="none" w:sz="0" w:space="0" w:color="auto"/>
        <w:right w:val="none" w:sz="0" w:space="0" w:color="auto"/>
      </w:divBdr>
    </w:div>
    <w:div w:id="432946415">
      <w:bodyDiv w:val="1"/>
      <w:marLeft w:val="0"/>
      <w:marRight w:val="0"/>
      <w:marTop w:val="0"/>
      <w:marBottom w:val="0"/>
      <w:divBdr>
        <w:top w:val="none" w:sz="0" w:space="0" w:color="auto"/>
        <w:left w:val="none" w:sz="0" w:space="0" w:color="auto"/>
        <w:bottom w:val="none" w:sz="0" w:space="0" w:color="auto"/>
        <w:right w:val="none" w:sz="0" w:space="0" w:color="auto"/>
      </w:divBdr>
    </w:div>
    <w:div w:id="433090228">
      <w:bodyDiv w:val="1"/>
      <w:marLeft w:val="0"/>
      <w:marRight w:val="0"/>
      <w:marTop w:val="0"/>
      <w:marBottom w:val="0"/>
      <w:divBdr>
        <w:top w:val="none" w:sz="0" w:space="0" w:color="auto"/>
        <w:left w:val="none" w:sz="0" w:space="0" w:color="auto"/>
        <w:bottom w:val="none" w:sz="0" w:space="0" w:color="auto"/>
        <w:right w:val="none" w:sz="0" w:space="0" w:color="auto"/>
      </w:divBdr>
    </w:div>
    <w:div w:id="436607975">
      <w:bodyDiv w:val="1"/>
      <w:marLeft w:val="0"/>
      <w:marRight w:val="0"/>
      <w:marTop w:val="0"/>
      <w:marBottom w:val="0"/>
      <w:divBdr>
        <w:top w:val="none" w:sz="0" w:space="0" w:color="auto"/>
        <w:left w:val="none" w:sz="0" w:space="0" w:color="auto"/>
        <w:bottom w:val="none" w:sz="0" w:space="0" w:color="auto"/>
        <w:right w:val="none" w:sz="0" w:space="0" w:color="auto"/>
      </w:divBdr>
    </w:div>
    <w:div w:id="461768950">
      <w:bodyDiv w:val="1"/>
      <w:marLeft w:val="0"/>
      <w:marRight w:val="0"/>
      <w:marTop w:val="0"/>
      <w:marBottom w:val="0"/>
      <w:divBdr>
        <w:top w:val="none" w:sz="0" w:space="0" w:color="auto"/>
        <w:left w:val="none" w:sz="0" w:space="0" w:color="auto"/>
        <w:bottom w:val="none" w:sz="0" w:space="0" w:color="auto"/>
        <w:right w:val="none" w:sz="0" w:space="0" w:color="auto"/>
      </w:divBdr>
    </w:div>
    <w:div w:id="482546638">
      <w:bodyDiv w:val="1"/>
      <w:marLeft w:val="0"/>
      <w:marRight w:val="0"/>
      <w:marTop w:val="0"/>
      <w:marBottom w:val="0"/>
      <w:divBdr>
        <w:top w:val="none" w:sz="0" w:space="0" w:color="auto"/>
        <w:left w:val="none" w:sz="0" w:space="0" w:color="auto"/>
        <w:bottom w:val="none" w:sz="0" w:space="0" w:color="auto"/>
        <w:right w:val="none" w:sz="0" w:space="0" w:color="auto"/>
      </w:divBdr>
      <w:divsChild>
        <w:div w:id="19405641">
          <w:marLeft w:val="0"/>
          <w:marRight w:val="0"/>
          <w:marTop w:val="0"/>
          <w:marBottom w:val="0"/>
          <w:divBdr>
            <w:top w:val="none" w:sz="0" w:space="0" w:color="auto"/>
            <w:left w:val="none" w:sz="0" w:space="0" w:color="auto"/>
            <w:bottom w:val="none" w:sz="0" w:space="0" w:color="auto"/>
            <w:right w:val="none" w:sz="0" w:space="0" w:color="auto"/>
          </w:divBdr>
        </w:div>
        <w:div w:id="79064166">
          <w:marLeft w:val="0"/>
          <w:marRight w:val="0"/>
          <w:marTop w:val="0"/>
          <w:marBottom w:val="0"/>
          <w:divBdr>
            <w:top w:val="none" w:sz="0" w:space="0" w:color="auto"/>
            <w:left w:val="none" w:sz="0" w:space="0" w:color="auto"/>
            <w:bottom w:val="none" w:sz="0" w:space="0" w:color="auto"/>
            <w:right w:val="none" w:sz="0" w:space="0" w:color="auto"/>
          </w:divBdr>
        </w:div>
        <w:div w:id="111675088">
          <w:marLeft w:val="0"/>
          <w:marRight w:val="0"/>
          <w:marTop w:val="0"/>
          <w:marBottom w:val="0"/>
          <w:divBdr>
            <w:top w:val="none" w:sz="0" w:space="0" w:color="auto"/>
            <w:left w:val="none" w:sz="0" w:space="0" w:color="auto"/>
            <w:bottom w:val="none" w:sz="0" w:space="0" w:color="auto"/>
            <w:right w:val="none" w:sz="0" w:space="0" w:color="auto"/>
          </w:divBdr>
        </w:div>
        <w:div w:id="318927879">
          <w:marLeft w:val="0"/>
          <w:marRight w:val="0"/>
          <w:marTop w:val="0"/>
          <w:marBottom w:val="0"/>
          <w:divBdr>
            <w:top w:val="none" w:sz="0" w:space="0" w:color="auto"/>
            <w:left w:val="none" w:sz="0" w:space="0" w:color="auto"/>
            <w:bottom w:val="none" w:sz="0" w:space="0" w:color="auto"/>
            <w:right w:val="none" w:sz="0" w:space="0" w:color="auto"/>
          </w:divBdr>
        </w:div>
        <w:div w:id="437454855">
          <w:marLeft w:val="0"/>
          <w:marRight w:val="0"/>
          <w:marTop w:val="0"/>
          <w:marBottom w:val="0"/>
          <w:divBdr>
            <w:top w:val="none" w:sz="0" w:space="0" w:color="auto"/>
            <w:left w:val="none" w:sz="0" w:space="0" w:color="auto"/>
            <w:bottom w:val="none" w:sz="0" w:space="0" w:color="auto"/>
            <w:right w:val="none" w:sz="0" w:space="0" w:color="auto"/>
          </w:divBdr>
        </w:div>
        <w:div w:id="984815962">
          <w:marLeft w:val="0"/>
          <w:marRight w:val="0"/>
          <w:marTop w:val="0"/>
          <w:marBottom w:val="0"/>
          <w:divBdr>
            <w:top w:val="none" w:sz="0" w:space="0" w:color="auto"/>
            <w:left w:val="none" w:sz="0" w:space="0" w:color="auto"/>
            <w:bottom w:val="none" w:sz="0" w:space="0" w:color="auto"/>
            <w:right w:val="none" w:sz="0" w:space="0" w:color="auto"/>
          </w:divBdr>
        </w:div>
        <w:div w:id="1221018575">
          <w:marLeft w:val="0"/>
          <w:marRight w:val="0"/>
          <w:marTop w:val="0"/>
          <w:marBottom w:val="0"/>
          <w:divBdr>
            <w:top w:val="none" w:sz="0" w:space="0" w:color="auto"/>
            <w:left w:val="none" w:sz="0" w:space="0" w:color="auto"/>
            <w:bottom w:val="none" w:sz="0" w:space="0" w:color="auto"/>
            <w:right w:val="none" w:sz="0" w:space="0" w:color="auto"/>
          </w:divBdr>
        </w:div>
        <w:div w:id="1257402095">
          <w:marLeft w:val="0"/>
          <w:marRight w:val="0"/>
          <w:marTop w:val="0"/>
          <w:marBottom w:val="0"/>
          <w:divBdr>
            <w:top w:val="none" w:sz="0" w:space="0" w:color="auto"/>
            <w:left w:val="none" w:sz="0" w:space="0" w:color="auto"/>
            <w:bottom w:val="none" w:sz="0" w:space="0" w:color="auto"/>
            <w:right w:val="none" w:sz="0" w:space="0" w:color="auto"/>
          </w:divBdr>
        </w:div>
        <w:div w:id="1498496948">
          <w:marLeft w:val="0"/>
          <w:marRight w:val="0"/>
          <w:marTop w:val="0"/>
          <w:marBottom w:val="0"/>
          <w:divBdr>
            <w:top w:val="none" w:sz="0" w:space="0" w:color="auto"/>
            <w:left w:val="none" w:sz="0" w:space="0" w:color="auto"/>
            <w:bottom w:val="none" w:sz="0" w:space="0" w:color="auto"/>
            <w:right w:val="none" w:sz="0" w:space="0" w:color="auto"/>
          </w:divBdr>
        </w:div>
        <w:div w:id="1512839186">
          <w:marLeft w:val="0"/>
          <w:marRight w:val="0"/>
          <w:marTop w:val="0"/>
          <w:marBottom w:val="0"/>
          <w:divBdr>
            <w:top w:val="none" w:sz="0" w:space="0" w:color="auto"/>
            <w:left w:val="none" w:sz="0" w:space="0" w:color="auto"/>
            <w:bottom w:val="none" w:sz="0" w:space="0" w:color="auto"/>
            <w:right w:val="none" w:sz="0" w:space="0" w:color="auto"/>
          </w:divBdr>
        </w:div>
        <w:div w:id="1674838460">
          <w:marLeft w:val="0"/>
          <w:marRight w:val="0"/>
          <w:marTop w:val="0"/>
          <w:marBottom w:val="0"/>
          <w:divBdr>
            <w:top w:val="none" w:sz="0" w:space="0" w:color="auto"/>
            <w:left w:val="none" w:sz="0" w:space="0" w:color="auto"/>
            <w:bottom w:val="none" w:sz="0" w:space="0" w:color="auto"/>
            <w:right w:val="none" w:sz="0" w:space="0" w:color="auto"/>
          </w:divBdr>
        </w:div>
        <w:div w:id="1789616213">
          <w:marLeft w:val="0"/>
          <w:marRight w:val="0"/>
          <w:marTop w:val="0"/>
          <w:marBottom w:val="0"/>
          <w:divBdr>
            <w:top w:val="none" w:sz="0" w:space="0" w:color="auto"/>
            <w:left w:val="none" w:sz="0" w:space="0" w:color="auto"/>
            <w:bottom w:val="none" w:sz="0" w:space="0" w:color="auto"/>
            <w:right w:val="none" w:sz="0" w:space="0" w:color="auto"/>
          </w:divBdr>
        </w:div>
        <w:div w:id="1821774585">
          <w:marLeft w:val="0"/>
          <w:marRight w:val="0"/>
          <w:marTop w:val="0"/>
          <w:marBottom w:val="0"/>
          <w:divBdr>
            <w:top w:val="none" w:sz="0" w:space="0" w:color="auto"/>
            <w:left w:val="none" w:sz="0" w:space="0" w:color="auto"/>
            <w:bottom w:val="none" w:sz="0" w:space="0" w:color="auto"/>
            <w:right w:val="none" w:sz="0" w:space="0" w:color="auto"/>
          </w:divBdr>
        </w:div>
        <w:div w:id="2059939031">
          <w:marLeft w:val="0"/>
          <w:marRight w:val="0"/>
          <w:marTop w:val="0"/>
          <w:marBottom w:val="0"/>
          <w:divBdr>
            <w:top w:val="none" w:sz="0" w:space="0" w:color="auto"/>
            <w:left w:val="none" w:sz="0" w:space="0" w:color="auto"/>
            <w:bottom w:val="none" w:sz="0" w:space="0" w:color="auto"/>
            <w:right w:val="none" w:sz="0" w:space="0" w:color="auto"/>
          </w:divBdr>
        </w:div>
      </w:divsChild>
    </w:div>
    <w:div w:id="511993947">
      <w:bodyDiv w:val="1"/>
      <w:marLeft w:val="0"/>
      <w:marRight w:val="0"/>
      <w:marTop w:val="0"/>
      <w:marBottom w:val="0"/>
      <w:divBdr>
        <w:top w:val="none" w:sz="0" w:space="0" w:color="auto"/>
        <w:left w:val="none" w:sz="0" w:space="0" w:color="auto"/>
        <w:bottom w:val="none" w:sz="0" w:space="0" w:color="auto"/>
        <w:right w:val="none" w:sz="0" w:space="0" w:color="auto"/>
      </w:divBdr>
    </w:div>
    <w:div w:id="522670611">
      <w:bodyDiv w:val="1"/>
      <w:marLeft w:val="0"/>
      <w:marRight w:val="0"/>
      <w:marTop w:val="0"/>
      <w:marBottom w:val="0"/>
      <w:divBdr>
        <w:top w:val="none" w:sz="0" w:space="0" w:color="auto"/>
        <w:left w:val="none" w:sz="0" w:space="0" w:color="auto"/>
        <w:bottom w:val="none" w:sz="0" w:space="0" w:color="auto"/>
        <w:right w:val="none" w:sz="0" w:space="0" w:color="auto"/>
      </w:divBdr>
      <w:divsChild>
        <w:div w:id="267277615">
          <w:marLeft w:val="0"/>
          <w:marRight w:val="0"/>
          <w:marTop w:val="0"/>
          <w:marBottom w:val="0"/>
          <w:divBdr>
            <w:top w:val="none" w:sz="0" w:space="0" w:color="auto"/>
            <w:left w:val="none" w:sz="0" w:space="0" w:color="auto"/>
            <w:bottom w:val="none" w:sz="0" w:space="0" w:color="auto"/>
            <w:right w:val="none" w:sz="0" w:space="0" w:color="auto"/>
          </w:divBdr>
        </w:div>
        <w:div w:id="776218114">
          <w:marLeft w:val="0"/>
          <w:marRight w:val="0"/>
          <w:marTop w:val="0"/>
          <w:marBottom w:val="0"/>
          <w:divBdr>
            <w:top w:val="none" w:sz="0" w:space="0" w:color="auto"/>
            <w:left w:val="none" w:sz="0" w:space="0" w:color="auto"/>
            <w:bottom w:val="none" w:sz="0" w:space="0" w:color="auto"/>
            <w:right w:val="none" w:sz="0" w:space="0" w:color="auto"/>
          </w:divBdr>
        </w:div>
        <w:div w:id="1083183735">
          <w:marLeft w:val="0"/>
          <w:marRight w:val="0"/>
          <w:marTop w:val="0"/>
          <w:marBottom w:val="0"/>
          <w:divBdr>
            <w:top w:val="none" w:sz="0" w:space="0" w:color="auto"/>
            <w:left w:val="none" w:sz="0" w:space="0" w:color="auto"/>
            <w:bottom w:val="none" w:sz="0" w:space="0" w:color="auto"/>
            <w:right w:val="none" w:sz="0" w:space="0" w:color="auto"/>
          </w:divBdr>
        </w:div>
        <w:div w:id="1424646725">
          <w:marLeft w:val="0"/>
          <w:marRight w:val="0"/>
          <w:marTop w:val="0"/>
          <w:marBottom w:val="0"/>
          <w:divBdr>
            <w:top w:val="none" w:sz="0" w:space="0" w:color="auto"/>
            <w:left w:val="none" w:sz="0" w:space="0" w:color="auto"/>
            <w:bottom w:val="none" w:sz="0" w:space="0" w:color="auto"/>
            <w:right w:val="none" w:sz="0" w:space="0" w:color="auto"/>
          </w:divBdr>
        </w:div>
        <w:div w:id="2010016704">
          <w:marLeft w:val="0"/>
          <w:marRight w:val="0"/>
          <w:marTop w:val="0"/>
          <w:marBottom w:val="0"/>
          <w:divBdr>
            <w:top w:val="none" w:sz="0" w:space="0" w:color="auto"/>
            <w:left w:val="none" w:sz="0" w:space="0" w:color="auto"/>
            <w:bottom w:val="none" w:sz="0" w:space="0" w:color="auto"/>
            <w:right w:val="none" w:sz="0" w:space="0" w:color="auto"/>
          </w:divBdr>
        </w:div>
      </w:divsChild>
    </w:div>
    <w:div w:id="537931044">
      <w:bodyDiv w:val="1"/>
      <w:marLeft w:val="0"/>
      <w:marRight w:val="0"/>
      <w:marTop w:val="0"/>
      <w:marBottom w:val="0"/>
      <w:divBdr>
        <w:top w:val="none" w:sz="0" w:space="0" w:color="auto"/>
        <w:left w:val="none" w:sz="0" w:space="0" w:color="auto"/>
        <w:bottom w:val="none" w:sz="0" w:space="0" w:color="auto"/>
        <w:right w:val="none" w:sz="0" w:space="0" w:color="auto"/>
      </w:divBdr>
      <w:divsChild>
        <w:div w:id="231745106">
          <w:marLeft w:val="0"/>
          <w:marRight w:val="0"/>
          <w:marTop w:val="0"/>
          <w:marBottom w:val="0"/>
          <w:divBdr>
            <w:top w:val="none" w:sz="0" w:space="0" w:color="auto"/>
            <w:left w:val="none" w:sz="0" w:space="0" w:color="auto"/>
            <w:bottom w:val="none" w:sz="0" w:space="0" w:color="auto"/>
            <w:right w:val="none" w:sz="0" w:space="0" w:color="auto"/>
          </w:divBdr>
        </w:div>
        <w:div w:id="809857308">
          <w:marLeft w:val="0"/>
          <w:marRight w:val="0"/>
          <w:marTop w:val="0"/>
          <w:marBottom w:val="0"/>
          <w:divBdr>
            <w:top w:val="none" w:sz="0" w:space="0" w:color="auto"/>
            <w:left w:val="none" w:sz="0" w:space="0" w:color="auto"/>
            <w:bottom w:val="none" w:sz="0" w:space="0" w:color="auto"/>
            <w:right w:val="none" w:sz="0" w:space="0" w:color="auto"/>
          </w:divBdr>
        </w:div>
        <w:div w:id="1777410584">
          <w:marLeft w:val="0"/>
          <w:marRight w:val="0"/>
          <w:marTop w:val="0"/>
          <w:marBottom w:val="0"/>
          <w:divBdr>
            <w:top w:val="none" w:sz="0" w:space="0" w:color="auto"/>
            <w:left w:val="none" w:sz="0" w:space="0" w:color="auto"/>
            <w:bottom w:val="none" w:sz="0" w:space="0" w:color="auto"/>
            <w:right w:val="none" w:sz="0" w:space="0" w:color="auto"/>
          </w:divBdr>
        </w:div>
      </w:divsChild>
    </w:div>
    <w:div w:id="545216337">
      <w:bodyDiv w:val="1"/>
      <w:marLeft w:val="0"/>
      <w:marRight w:val="0"/>
      <w:marTop w:val="0"/>
      <w:marBottom w:val="0"/>
      <w:divBdr>
        <w:top w:val="none" w:sz="0" w:space="0" w:color="auto"/>
        <w:left w:val="none" w:sz="0" w:space="0" w:color="auto"/>
        <w:bottom w:val="none" w:sz="0" w:space="0" w:color="auto"/>
        <w:right w:val="none" w:sz="0" w:space="0" w:color="auto"/>
      </w:divBdr>
    </w:div>
    <w:div w:id="547449093">
      <w:bodyDiv w:val="1"/>
      <w:marLeft w:val="0"/>
      <w:marRight w:val="0"/>
      <w:marTop w:val="0"/>
      <w:marBottom w:val="0"/>
      <w:divBdr>
        <w:top w:val="none" w:sz="0" w:space="0" w:color="auto"/>
        <w:left w:val="none" w:sz="0" w:space="0" w:color="auto"/>
        <w:bottom w:val="none" w:sz="0" w:space="0" w:color="auto"/>
        <w:right w:val="none" w:sz="0" w:space="0" w:color="auto"/>
      </w:divBdr>
    </w:div>
    <w:div w:id="568729980">
      <w:bodyDiv w:val="1"/>
      <w:marLeft w:val="0"/>
      <w:marRight w:val="0"/>
      <w:marTop w:val="0"/>
      <w:marBottom w:val="0"/>
      <w:divBdr>
        <w:top w:val="none" w:sz="0" w:space="0" w:color="auto"/>
        <w:left w:val="none" w:sz="0" w:space="0" w:color="auto"/>
        <w:bottom w:val="none" w:sz="0" w:space="0" w:color="auto"/>
        <w:right w:val="none" w:sz="0" w:space="0" w:color="auto"/>
      </w:divBdr>
    </w:div>
    <w:div w:id="649792286">
      <w:bodyDiv w:val="1"/>
      <w:marLeft w:val="0"/>
      <w:marRight w:val="0"/>
      <w:marTop w:val="0"/>
      <w:marBottom w:val="0"/>
      <w:divBdr>
        <w:top w:val="none" w:sz="0" w:space="0" w:color="auto"/>
        <w:left w:val="none" w:sz="0" w:space="0" w:color="auto"/>
        <w:bottom w:val="none" w:sz="0" w:space="0" w:color="auto"/>
        <w:right w:val="none" w:sz="0" w:space="0" w:color="auto"/>
      </w:divBdr>
      <w:divsChild>
        <w:div w:id="176313141">
          <w:marLeft w:val="0"/>
          <w:marRight w:val="0"/>
          <w:marTop w:val="0"/>
          <w:marBottom w:val="0"/>
          <w:divBdr>
            <w:top w:val="none" w:sz="0" w:space="0" w:color="auto"/>
            <w:left w:val="none" w:sz="0" w:space="0" w:color="auto"/>
            <w:bottom w:val="none" w:sz="0" w:space="0" w:color="auto"/>
            <w:right w:val="none" w:sz="0" w:space="0" w:color="auto"/>
          </w:divBdr>
        </w:div>
        <w:div w:id="1171682099">
          <w:marLeft w:val="0"/>
          <w:marRight w:val="0"/>
          <w:marTop w:val="0"/>
          <w:marBottom w:val="0"/>
          <w:divBdr>
            <w:top w:val="none" w:sz="0" w:space="0" w:color="auto"/>
            <w:left w:val="none" w:sz="0" w:space="0" w:color="auto"/>
            <w:bottom w:val="none" w:sz="0" w:space="0" w:color="auto"/>
            <w:right w:val="none" w:sz="0" w:space="0" w:color="auto"/>
          </w:divBdr>
        </w:div>
        <w:div w:id="1707173998">
          <w:marLeft w:val="0"/>
          <w:marRight w:val="0"/>
          <w:marTop w:val="0"/>
          <w:marBottom w:val="0"/>
          <w:divBdr>
            <w:top w:val="none" w:sz="0" w:space="0" w:color="auto"/>
            <w:left w:val="none" w:sz="0" w:space="0" w:color="auto"/>
            <w:bottom w:val="none" w:sz="0" w:space="0" w:color="auto"/>
            <w:right w:val="none" w:sz="0" w:space="0" w:color="auto"/>
          </w:divBdr>
        </w:div>
        <w:div w:id="2073888261">
          <w:marLeft w:val="0"/>
          <w:marRight w:val="0"/>
          <w:marTop w:val="0"/>
          <w:marBottom w:val="0"/>
          <w:divBdr>
            <w:top w:val="none" w:sz="0" w:space="0" w:color="auto"/>
            <w:left w:val="none" w:sz="0" w:space="0" w:color="auto"/>
            <w:bottom w:val="none" w:sz="0" w:space="0" w:color="auto"/>
            <w:right w:val="none" w:sz="0" w:space="0" w:color="auto"/>
          </w:divBdr>
        </w:div>
        <w:div w:id="2073889959">
          <w:marLeft w:val="0"/>
          <w:marRight w:val="0"/>
          <w:marTop w:val="0"/>
          <w:marBottom w:val="0"/>
          <w:divBdr>
            <w:top w:val="none" w:sz="0" w:space="0" w:color="auto"/>
            <w:left w:val="none" w:sz="0" w:space="0" w:color="auto"/>
            <w:bottom w:val="none" w:sz="0" w:space="0" w:color="auto"/>
            <w:right w:val="none" w:sz="0" w:space="0" w:color="auto"/>
          </w:divBdr>
        </w:div>
      </w:divsChild>
    </w:div>
    <w:div w:id="733889508">
      <w:bodyDiv w:val="1"/>
      <w:marLeft w:val="0"/>
      <w:marRight w:val="0"/>
      <w:marTop w:val="0"/>
      <w:marBottom w:val="0"/>
      <w:divBdr>
        <w:top w:val="none" w:sz="0" w:space="0" w:color="auto"/>
        <w:left w:val="none" w:sz="0" w:space="0" w:color="auto"/>
        <w:bottom w:val="none" w:sz="0" w:space="0" w:color="auto"/>
        <w:right w:val="none" w:sz="0" w:space="0" w:color="auto"/>
      </w:divBdr>
      <w:divsChild>
        <w:div w:id="300382608">
          <w:marLeft w:val="0"/>
          <w:marRight w:val="0"/>
          <w:marTop w:val="0"/>
          <w:marBottom w:val="0"/>
          <w:divBdr>
            <w:top w:val="none" w:sz="0" w:space="0" w:color="auto"/>
            <w:left w:val="none" w:sz="0" w:space="0" w:color="auto"/>
            <w:bottom w:val="none" w:sz="0" w:space="0" w:color="auto"/>
            <w:right w:val="none" w:sz="0" w:space="0" w:color="auto"/>
          </w:divBdr>
        </w:div>
        <w:div w:id="866333033">
          <w:marLeft w:val="0"/>
          <w:marRight w:val="0"/>
          <w:marTop w:val="0"/>
          <w:marBottom w:val="0"/>
          <w:divBdr>
            <w:top w:val="none" w:sz="0" w:space="0" w:color="auto"/>
            <w:left w:val="none" w:sz="0" w:space="0" w:color="auto"/>
            <w:bottom w:val="none" w:sz="0" w:space="0" w:color="auto"/>
            <w:right w:val="none" w:sz="0" w:space="0" w:color="auto"/>
          </w:divBdr>
        </w:div>
        <w:div w:id="1173958781">
          <w:marLeft w:val="0"/>
          <w:marRight w:val="0"/>
          <w:marTop w:val="0"/>
          <w:marBottom w:val="0"/>
          <w:divBdr>
            <w:top w:val="none" w:sz="0" w:space="0" w:color="auto"/>
            <w:left w:val="none" w:sz="0" w:space="0" w:color="auto"/>
            <w:bottom w:val="none" w:sz="0" w:space="0" w:color="auto"/>
            <w:right w:val="none" w:sz="0" w:space="0" w:color="auto"/>
          </w:divBdr>
        </w:div>
        <w:div w:id="1770079427">
          <w:marLeft w:val="0"/>
          <w:marRight w:val="0"/>
          <w:marTop w:val="0"/>
          <w:marBottom w:val="0"/>
          <w:divBdr>
            <w:top w:val="none" w:sz="0" w:space="0" w:color="auto"/>
            <w:left w:val="none" w:sz="0" w:space="0" w:color="auto"/>
            <w:bottom w:val="none" w:sz="0" w:space="0" w:color="auto"/>
            <w:right w:val="none" w:sz="0" w:space="0" w:color="auto"/>
          </w:divBdr>
        </w:div>
        <w:div w:id="2098364113">
          <w:marLeft w:val="0"/>
          <w:marRight w:val="0"/>
          <w:marTop w:val="0"/>
          <w:marBottom w:val="0"/>
          <w:divBdr>
            <w:top w:val="none" w:sz="0" w:space="0" w:color="auto"/>
            <w:left w:val="none" w:sz="0" w:space="0" w:color="auto"/>
            <w:bottom w:val="none" w:sz="0" w:space="0" w:color="auto"/>
            <w:right w:val="none" w:sz="0" w:space="0" w:color="auto"/>
          </w:divBdr>
        </w:div>
      </w:divsChild>
    </w:div>
    <w:div w:id="746147910">
      <w:bodyDiv w:val="1"/>
      <w:marLeft w:val="0"/>
      <w:marRight w:val="0"/>
      <w:marTop w:val="0"/>
      <w:marBottom w:val="0"/>
      <w:divBdr>
        <w:top w:val="none" w:sz="0" w:space="0" w:color="auto"/>
        <w:left w:val="none" w:sz="0" w:space="0" w:color="auto"/>
        <w:bottom w:val="none" w:sz="0" w:space="0" w:color="auto"/>
        <w:right w:val="none" w:sz="0" w:space="0" w:color="auto"/>
      </w:divBdr>
    </w:div>
    <w:div w:id="782073810">
      <w:bodyDiv w:val="1"/>
      <w:marLeft w:val="0"/>
      <w:marRight w:val="0"/>
      <w:marTop w:val="0"/>
      <w:marBottom w:val="0"/>
      <w:divBdr>
        <w:top w:val="none" w:sz="0" w:space="0" w:color="auto"/>
        <w:left w:val="none" w:sz="0" w:space="0" w:color="auto"/>
        <w:bottom w:val="none" w:sz="0" w:space="0" w:color="auto"/>
        <w:right w:val="none" w:sz="0" w:space="0" w:color="auto"/>
      </w:divBdr>
    </w:div>
    <w:div w:id="799225863">
      <w:bodyDiv w:val="1"/>
      <w:marLeft w:val="0"/>
      <w:marRight w:val="0"/>
      <w:marTop w:val="0"/>
      <w:marBottom w:val="0"/>
      <w:divBdr>
        <w:top w:val="none" w:sz="0" w:space="0" w:color="auto"/>
        <w:left w:val="none" w:sz="0" w:space="0" w:color="auto"/>
        <w:bottom w:val="none" w:sz="0" w:space="0" w:color="auto"/>
        <w:right w:val="none" w:sz="0" w:space="0" w:color="auto"/>
      </w:divBdr>
    </w:div>
    <w:div w:id="856965494">
      <w:bodyDiv w:val="1"/>
      <w:marLeft w:val="0"/>
      <w:marRight w:val="0"/>
      <w:marTop w:val="0"/>
      <w:marBottom w:val="0"/>
      <w:divBdr>
        <w:top w:val="none" w:sz="0" w:space="0" w:color="auto"/>
        <w:left w:val="none" w:sz="0" w:space="0" w:color="auto"/>
        <w:bottom w:val="none" w:sz="0" w:space="0" w:color="auto"/>
        <w:right w:val="none" w:sz="0" w:space="0" w:color="auto"/>
      </w:divBdr>
    </w:div>
    <w:div w:id="933980487">
      <w:bodyDiv w:val="1"/>
      <w:marLeft w:val="0"/>
      <w:marRight w:val="0"/>
      <w:marTop w:val="0"/>
      <w:marBottom w:val="0"/>
      <w:divBdr>
        <w:top w:val="none" w:sz="0" w:space="0" w:color="auto"/>
        <w:left w:val="none" w:sz="0" w:space="0" w:color="auto"/>
        <w:bottom w:val="none" w:sz="0" w:space="0" w:color="auto"/>
        <w:right w:val="none" w:sz="0" w:space="0" w:color="auto"/>
      </w:divBdr>
    </w:div>
    <w:div w:id="1000891601">
      <w:bodyDiv w:val="1"/>
      <w:marLeft w:val="0"/>
      <w:marRight w:val="0"/>
      <w:marTop w:val="0"/>
      <w:marBottom w:val="0"/>
      <w:divBdr>
        <w:top w:val="none" w:sz="0" w:space="0" w:color="auto"/>
        <w:left w:val="none" w:sz="0" w:space="0" w:color="auto"/>
        <w:bottom w:val="none" w:sz="0" w:space="0" w:color="auto"/>
        <w:right w:val="none" w:sz="0" w:space="0" w:color="auto"/>
      </w:divBdr>
    </w:div>
    <w:div w:id="1165515840">
      <w:bodyDiv w:val="1"/>
      <w:marLeft w:val="0"/>
      <w:marRight w:val="0"/>
      <w:marTop w:val="0"/>
      <w:marBottom w:val="0"/>
      <w:divBdr>
        <w:top w:val="none" w:sz="0" w:space="0" w:color="auto"/>
        <w:left w:val="none" w:sz="0" w:space="0" w:color="auto"/>
        <w:bottom w:val="none" w:sz="0" w:space="0" w:color="auto"/>
        <w:right w:val="none" w:sz="0" w:space="0" w:color="auto"/>
      </w:divBdr>
    </w:div>
    <w:div w:id="1290478336">
      <w:bodyDiv w:val="1"/>
      <w:marLeft w:val="0"/>
      <w:marRight w:val="0"/>
      <w:marTop w:val="0"/>
      <w:marBottom w:val="0"/>
      <w:divBdr>
        <w:top w:val="none" w:sz="0" w:space="0" w:color="auto"/>
        <w:left w:val="none" w:sz="0" w:space="0" w:color="auto"/>
        <w:bottom w:val="none" w:sz="0" w:space="0" w:color="auto"/>
        <w:right w:val="none" w:sz="0" w:space="0" w:color="auto"/>
      </w:divBdr>
    </w:div>
    <w:div w:id="1383750530">
      <w:bodyDiv w:val="1"/>
      <w:marLeft w:val="0"/>
      <w:marRight w:val="0"/>
      <w:marTop w:val="0"/>
      <w:marBottom w:val="0"/>
      <w:divBdr>
        <w:top w:val="none" w:sz="0" w:space="0" w:color="auto"/>
        <w:left w:val="none" w:sz="0" w:space="0" w:color="auto"/>
        <w:bottom w:val="none" w:sz="0" w:space="0" w:color="auto"/>
        <w:right w:val="none" w:sz="0" w:space="0" w:color="auto"/>
      </w:divBdr>
    </w:div>
    <w:div w:id="1433084832">
      <w:bodyDiv w:val="1"/>
      <w:marLeft w:val="0"/>
      <w:marRight w:val="0"/>
      <w:marTop w:val="0"/>
      <w:marBottom w:val="0"/>
      <w:divBdr>
        <w:top w:val="none" w:sz="0" w:space="0" w:color="auto"/>
        <w:left w:val="none" w:sz="0" w:space="0" w:color="auto"/>
        <w:bottom w:val="none" w:sz="0" w:space="0" w:color="auto"/>
        <w:right w:val="none" w:sz="0" w:space="0" w:color="auto"/>
      </w:divBdr>
      <w:divsChild>
        <w:div w:id="377627895">
          <w:marLeft w:val="0"/>
          <w:marRight w:val="0"/>
          <w:marTop w:val="0"/>
          <w:marBottom w:val="0"/>
          <w:divBdr>
            <w:top w:val="none" w:sz="0" w:space="0" w:color="auto"/>
            <w:left w:val="none" w:sz="0" w:space="0" w:color="auto"/>
            <w:bottom w:val="none" w:sz="0" w:space="0" w:color="auto"/>
            <w:right w:val="none" w:sz="0" w:space="0" w:color="auto"/>
          </w:divBdr>
        </w:div>
        <w:div w:id="584219219">
          <w:marLeft w:val="0"/>
          <w:marRight w:val="0"/>
          <w:marTop w:val="0"/>
          <w:marBottom w:val="0"/>
          <w:divBdr>
            <w:top w:val="none" w:sz="0" w:space="0" w:color="auto"/>
            <w:left w:val="none" w:sz="0" w:space="0" w:color="auto"/>
            <w:bottom w:val="none" w:sz="0" w:space="0" w:color="auto"/>
            <w:right w:val="none" w:sz="0" w:space="0" w:color="auto"/>
          </w:divBdr>
        </w:div>
        <w:div w:id="1021471190">
          <w:marLeft w:val="0"/>
          <w:marRight w:val="0"/>
          <w:marTop w:val="0"/>
          <w:marBottom w:val="0"/>
          <w:divBdr>
            <w:top w:val="none" w:sz="0" w:space="0" w:color="auto"/>
            <w:left w:val="none" w:sz="0" w:space="0" w:color="auto"/>
            <w:bottom w:val="none" w:sz="0" w:space="0" w:color="auto"/>
            <w:right w:val="none" w:sz="0" w:space="0" w:color="auto"/>
          </w:divBdr>
        </w:div>
        <w:div w:id="1638336523">
          <w:marLeft w:val="0"/>
          <w:marRight w:val="0"/>
          <w:marTop w:val="0"/>
          <w:marBottom w:val="0"/>
          <w:divBdr>
            <w:top w:val="none" w:sz="0" w:space="0" w:color="auto"/>
            <w:left w:val="none" w:sz="0" w:space="0" w:color="auto"/>
            <w:bottom w:val="none" w:sz="0" w:space="0" w:color="auto"/>
            <w:right w:val="none" w:sz="0" w:space="0" w:color="auto"/>
          </w:divBdr>
        </w:div>
        <w:div w:id="1975602484">
          <w:marLeft w:val="0"/>
          <w:marRight w:val="0"/>
          <w:marTop w:val="0"/>
          <w:marBottom w:val="0"/>
          <w:divBdr>
            <w:top w:val="none" w:sz="0" w:space="0" w:color="auto"/>
            <w:left w:val="none" w:sz="0" w:space="0" w:color="auto"/>
            <w:bottom w:val="none" w:sz="0" w:space="0" w:color="auto"/>
            <w:right w:val="none" w:sz="0" w:space="0" w:color="auto"/>
          </w:divBdr>
        </w:div>
      </w:divsChild>
    </w:div>
    <w:div w:id="1451167132">
      <w:bodyDiv w:val="1"/>
      <w:marLeft w:val="0"/>
      <w:marRight w:val="0"/>
      <w:marTop w:val="0"/>
      <w:marBottom w:val="0"/>
      <w:divBdr>
        <w:top w:val="none" w:sz="0" w:space="0" w:color="auto"/>
        <w:left w:val="none" w:sz="0" w:space="0" w:color="auto"/>
        <w:bottom w:val="none" w:sz="0" w:space="0" w:color="auto"/>
        <w:right w:val="none" w:sz="0" w:space="0" w:color="auto"/>
      </w:divBdr>
    </w:div>
    <w:div w:id="1526598619">
      <w:bodyDiv w:val="1"/>
      <w:marLeft w:val="0"/>
      <w:marRight w:val="0"/>
      <w:marTop w:val="0"/>
      <w:marBottom w:val="0"/>
      <w:divBdr>
        <w:top w:val="none" w:sz="0" w:space="0" w:color="auto"/>
        <w:left w:val="none" w:sz="0" w:space="0" w:color="auto"/>
        <w:bottom w:val="none" w:sz="0" w:space="0" w:color="auto"/>
        <w:right w:val="none" w:sz="0" w:space="0" w:color="auto"/>
      </w:divBdr>
    </w:div>
    <w:div w:id="1567690127">
      <w:bodyDiv w:val="1"/>
      <w:marLeft w:val="0"/>
      <w:marRight w:val="0"/>
      <w:marTop w:val="0"/>
      <w:marBottom w:val="0"/>
      <w:divBdr>
        <w:top w:val="none" w:sz="0" w:space="0" w:color="auto"/>
        <w:left w:val="none" w:sz="0" w:space="0" w:color="auto"/>
        <w:bottom w:val="none" w:sz="0" w:space="0" w:color="auto"/>
        <w:right w:val="none" w:sz="0" w:space="0" w:color="auto"/>
      </w:divBdr>
    </w:div>
    <w:div w:id="1637757555">
      <w:bodyDiv w:val="1"/>
      <w:marLeft w:val="0"/>
      <w:marRight w:val="0"/>
      <w:marTop w:val="0"/>
      <w:marBottom w:val="0"/>
      <w:divBdr>
        <w:top w:val="none" w:sz="0" w:space="0" w:color="auto"/>
        <w:left w:val="none" w:sz="0" w:space="0" w:color="auto"/>
        <w:bottom w:val="none" w:sz="0" w:space="0" w:color="auto"/>
        <w:right w:val="none" w:sz="0" w:space="0" w:color="auto"/>
      </w:divBdr>
    </w:div>
    <w:div w:id="1694726807">
      <w:bodyDiv w:val="1"/>
      <w:marLeft w:val="0"/>
      <w:marRight w:val="0"/>
      <w:marTop w:val="0"/>
      <w:marBottom w:val="0"/>
      <w:divBdr>
        <w:top w:val="none" w:sz="0" w:space="0" w:color="auto"/>
        <w:left w:val="none" w:sz="0" w:space="0" w:color="auto"/>
        <w:bottom w:val="none" w:sz="0" w:space="0" w:color="auto"/>
        <w:right w:val="none" w:sz="0" w:space="0" w:color="auto"/>
      </w:divBdr>
    </w:div>
    <w:div w:id="1702584031">
      <w:bodyDiv w:val="1"/>
      <w:marLeft w:val="0"/>
      <w:marRight w:val="0"/>
      <w:marTop w:val="0"/>
      <w:marBottom w:val="0"/>
      <w:divBdr>
        <w:top w:val="none" w:sz="0" w:space="0" w:color="auto"/>
        <w:left w:val="none" w:sz="0" w:space="0" w:color="auto"/>
        <w:bottom w:val="none" w:sz="0" w:space="0" w:color="auto"/>
        <w:right w:val="none" w:sz="0" w:space="0" w:color="auto"/>
      </w:divBdr>
    </w:div>
    <w:div w:id="1782217569">
      <w:bodyDiv w:val="1"/>
      <w:marLeft w:val="0"/>
      <w:marRight w:val="0"/>
      <w:marTop w:val="0"/>
      <w:marBottom w:val="0"/>
      <w:divBdr>
        <w:top w:val="none" w:sz="0" w:space="0" w:color="auto"/>
        <w:left w:val="none" w:sz="0" w:space="0" w:color="auto"/>
        <w:bottom w:val="none" w:sz="0" w:space="0" w:color="auto"/>
        <w:right w:val="none" w:sz="0" w:space="0" w:color="auto"/>
      </w:divBdr>
    </w:div>
    <w:div w:id="1844851707">
      <w:bodyDiv w:val="1"/>
      <w:marLeft w:val="0"/>
      <w:marRight w:val="0"/>
      <w:marTop w:val="0"/>
      <w:marBottom w:val="0"/>
      <w:divBdr>
        <w:top w:val="none" w:sz="0" w:space="0" w:color="auto"/>
        <w:left w:val="none" w:sz="0" w:space="0" w:color="auto"/>
        <w:bottom w:val="none" w:sz="0" w:space="0" w:color="auto"/>
        <w:right w:val="none" w:sz="0" w:space="0" w:color="auto"/>
      </w:divBdr>
    </w:div>
    <w:div w:id="1878932175">
      <w:bodyDiv w:val="1"/>
      <w:marLeft w:val="0"/>
      <w:marRight w:val="0"/>
      <w:marTop w:val="0"/>
      <w:marBottom w:val="0"/>
      <w:divBdr>
        <w:top w:val="none" w:sz="0" w:space="0" w:color="auto"/>
        <w:left w:val="none" w:sz="0" w:space="0" w:color="auto"/>
        <w:bottom w:val="none" w:sz="0" w:space="0" w:color="auto"/>
        <w:right w:val="none" w:sz="0" w:space="0" w:color="auto"/>
      </w:divBdr>
    </w:div>
    <w:div w:id="1882135434">
      <w:bodyDiv w:val="1"/>
      <w:marLeft w:val="0"/>
      <w:marRight w:val="0"/>
      <w:marTop w:val="0"/>
      <w:marBottom w:val="0"/>
      <w:divBdr>
        <w:top w:val="none" w:sz="0" w:space="0" w:color="auto"/>
        <w:left w:val="none" w:sz="0" w:space="0" w:color="auto"/>
        <w:bottom w:val="none" w:sz="0" w:space="0" w:color="auto"/>
        <w:right w:val="none" w:sz="0" w:space="0" w:color="auto"/>
      </w:divBdr>
    </w:div>
    <w:div w:id="1912739798">
      <w:bodyDiv w:val="1"/>
      <w:marLeft w:val="0"/>
      <w:marRight w:val="0"/>
      <w:marTop w:val="0"/>
      <w:marBottom w:val="0"/>
      <w:divBdr>
        <w:top w:val="none" w:sz="0" w:space="0" w:color="auto"/>
        <w:left w:val="none" w:sz="0" w:space="0" w:color="auto"/>
        <w:bottom w:val="none" w:sz="0" w:space="0" w:color="auto"/>
        <w:right w:val="none" w:sz="0" w:space="0" w:color="auto"/>
      </w:divBdr>
      <w:divsChild>
        <w:div w:id="73355639">
          <w:marLeft w:val="0"/>
          <w:marRight w:val="0"/>
          <w:marTop w:val="0"/>
          <w:marBottom w:val="0"/>
          <w:divBdr>
            <w:top w:val="none" w:sz="0" w:space="0" w:color="auto"/>
            <w:left w:val="none" w:sz="0" w:space="0" w:color="auto"/>
            <w:bottom w:val="none" w:sz="0" w:space="0" w:color="auto"/>
            <w:right w:val="none" w:sz="0" w:space="0" w:color="auto"/>
          </w:divBdr>
        </w:div>
        <w:div w:id="2033529466">
          <w:marLeft w:val="0"/>
          <w:marRight w:val="0"/>
          <w:marTop w:val="0"/>
          <w:marBottom w:val="0"/>
          <w:divBdr>
            <w:top w:val="none" w:sz="0" w:space="0" w:color="auto"/>
            <w:left w:val="none" w:sz="0" w:space="0" w:color="auto"/>
            <w:bottom w:val="none" w:sz="0" w:space="0" w:color="auto"/>
            <w:right w:val="none" w:sz="0" w:space="0" w:color="auto"/>
          </w:divBdr>
        </w:div>
      </w:divsChild>
    </w:div>
    <w:div w:id="1946185741">
      <w:bodyDiv w:val="1"/>
      <w:marLeft w:val="0"/>
      <w:marRight w:val="0"/>
      <w:marTop w:val="0"/>
      <w:marBottom w:val="0"/>
      <w:divBdr>
        <w:top w:val="none" w:sz="0" w:space="0" w:color="auto"/>
        <w:left w:val="none" w:sz="0" w:space="0" w:color="auto"/>
        <w:bottom w:val="none" w:sz="0" w:space="0" w:color="auto"/>
        <w:right w:val="none" w:sz="0" w:space="0" w:color="auto"/>
      </w:divBdr>
    </w:div>
    <w:div w:id="1949046514">
      <w:bodyDiv w:val="1"/>
      <w:marLeft w:val="0"/>
      <w:marRight w:val="0"/>
      <w:marTop w:val="0"/>
      <w:marBottom w:val="0"/>
      <w:divBdr>
        <w:top w:val="none" w:sz="0" w:space="0" w:color="auto"/>
        <w:left w:val="none" w:sz="0" w:space="0" w:color="auto"/>
        <w:bottom w:val="none" w:sz="0" w:space="0" w:color="auto"/>
        <w:right w:val="none" w:sz="0" w:space="0" w:color="auto"/>
      </w:divBdr>
    </w:div>
    <w:div w:id="1957977164">
      <w:bodyDiv w:val="1"/>
      <w:marLeft w:val="0"/>
      <w:marRight w:val="0"/>
      <w:marTop w:val="0"/>
      <w:marBottom w:val="0"/>
      <w:divBdr>
        <w:top w:val="none" w:sz="0" w:space="0" w:color="auto"/>
        <w:left w:val="none" w:sz="0" w:space="0" w:color="auto"/>
        <w:bottom w:val="none" w:sz="0" w:space="0" w:color="auto"/>
        <w:right w:val="none" w:sz="0" w:space="0" w:color="auto"/>
      </w:divBdr>
    </w:div>
    <w:div w:id="1963682696">
      <w:bodyDiv w:val="1"/>
      <w:marLeft w:val="0"/>
      <w:marRight w:val="0"/>
      <w:marTop w:val="0"/>
      <w:marBottom w:val="0"/>
      <w:divBdr>
        <w:top w:val="none" w:sz="0" w:space="0" w:color="auto"/>
        <w:left w:val="none" w:sz="0" w:space="0" w:color="auto"/>
        <w:bottom w:val="none" w:sz="0" w:space="0" w:color="auto"/>
        <w:right w:val="none" w:sz="0" w:space="0" w:color="auto"/>
      </w:divBdr>
    </w:div>
    <w:div w:id="1966157937">
      <w:bodyDiv w:val="1"/>
      <w:marLeft w:val="0"/>
      <w:marRight w:val="0"/>
      <w:marTop w:val="0"/>
      <w:marBottom w:val="0"/>
      <w:divBdr>
        <w:top w:val="none" w:sz="0" w:space="0" w:color="auto"/>
        <w:left w:val="none" w:sz="0" w:space="0" w:color="auto"/>
        <w:bottom w:val="none" w:sz="0" w:space="0" w:color="auto"/>
        <w:right w:val="none" w:sz="0" w:space="0" w:color="auto"/>
      </w:divBdr>
      <w:divsChild>
        <w:div w:id="111243618">
          <w:marLeft w:val="0"/>
          <w:marRight w:val="0"/>
          <w:marTop w:val="0"/>
          <w:marBottom w:val="0"/>
          <w:divBdr>
            <w:top w:val="none" w:sz="0" w:space="0" w:color="auto"/>
            <w:left w:val="none" w:sz="0" w:space="0" w:color="auto"/>
            <w:bottom w:val="none" w:sz="0" w:space="0" w:color="auto"/>
            <w:right w:val="none" w:sz="0" w:space="0" w:color="auto"/>
          </w:divBdr>
        </w:div>
        <w:div w:id="247463950">
          <w:marLeft w:val="0"/>
          <w:marRight w:val="0"/>
          <w:marTop w:val="0"/>
          <w:marBottom w:val="0"/>
          <w:divBdr>
            <w:top w:val="none" w:sz="0" w:space="0" w:color="auto"/>
            <w:left w:val="none" w:sz="0" w:space="0" w:color="auto"/>
            <w:bottom w:val="none" w:sz="0" w:space="0" w:color="auto"/>
            <w:right w:val="none" w:sz="0" w:space="0" w:color="auto"/>
          </w:divBdr>
        </w:div>
        <w:div w:id="264269271">
          <w:marLeft w:val="0"/>
          <w:marRight w:val="0"/>
          <w:marTop w:val="0"/>
          <w:marBottom w:val="0"/>
          <w:divBdr>
            <w:top w:val="none" w:sz="0" w:space="0" w:color="auto"/>
            <w:left w:val="none" w:sz="0" w:space="0" w:color="auto"/>
            <w:bottom w:val="none" w:sz="0" w:space="0" w:color="auto"/>
            <w:right w:val="none" w:sz="0" w:space="0" w:color="auto"/>
          </w:divBdr>
        </w:div>
        <w:div w:id="569387285">
          <w:marLeft w:val="0"/>
          <w:marRight w:val="0"/>
          <w:marTop w:val="0"/>
          <w:marBottom w:val="0"/>
          <w:divBdr>
            <w:top w:val="none" w:sz="0" w:space="0" w:color="auto"/>
            <w:left w:val="none" w:sz="0" w:space="0" w:color="auto"/>
            <w:bottom w:val="none" w:sz="0" w:space="0" w:color="auto"/>
            <w:right w:val="none" w:sz="0" w:space="0" w:color="auto"/>
          </w:divBdr>
        </w:div>
        <w:div w:id="704409647">
          <w:marLeft w:val="0"/>
          <w:marRight w:val="0"/>
          <w:marTop w:val="0"/>
          <w:marBottom w:val="0"/>
          <w:divBdr>
            <w:top w:val="none" w:sz="0" w:space="0" w:color="auto"/>
            <w:left w:val="none" w:sz="0" w:space="0" w:color="auto"/>
            <w:bottom w:val="none" w:sz="0" w:space="0" w:color="auto"/>
            <w:right w:val="none" w:sz="0" w:space="0" w:color="auto"/>
          </w:divBdr>
        </w:div>
        <w:div w:id="732046733">
          <w:marLeft w:val="0"/>
          <w:marRight w:val="0"/>
          <w:marTop w:val="0"/>
          <w:marBottom w:val="0"/>
          <w:divBdr>
            <w:top w:val="none" w:sz="0" w:space="0" w:color="auto"/>
            <w:left w:val="none" w:sz="0" w:space="0" w:color="auto"/>
            <w:bottom w:val="none" w:sz="0" w:space="0" w:color="auto"/>
            <w:right w:val="none" w:sz="0" w:space="0" w:color="auto"/>
          </w:divBdr>
        </w:div>
        <w:div w:id="737485145">
          <w:marLeft w:val="0"/>
          <w:marRight w:val="0"/>
          <w:marTop w:val="0"/>
          <w:marBottom w:val="0"/>
          <w:divBdr>
            <w:top w:val="none" w:sz="0" w:space="0" w:color="auto"/>
            <w:left w:val="none" w:sz="0" w:space="0" w:color="auto"/>
            <w:bottom w:val="none" w:sz="0" w:space="0" w:color="auto"/>
            <w:right w:val="none" w:sz="0" w:space="0" w:color="auto"/>
          </w:divBdr>
        </w:div>
        <w:div w:id="1051727197">
          <w:marLeft w:val="0"/>
          <w:marRight w:val="0"/>
          <w:marTop w:val="0"/>
          <w:marBottom w:val="0"/>
          <w:divBdr>
            <w:top w:val="none" w:sz="0" w:space="0" w:color="auto"/>
            <w:left w:val="none" w:sz="0" w:space="0" w:color="auto"/>
            <w:bottom w:val="none" w:sz="0" w:space="0" w:color="auto"/>
            <w:right w:val="none" w:sz="0" w:space="0" w:color="auto"/>
          </w:divBdr>
        </w:div>
        <w:div w:id="1325401885">
          <w:marLeft w:val="0"/>
          <w:marRight w:val="0"/>
          <w:marTop w:val="0"/>
          <w:marBottom w:val="0"/>
          <w:divBdr>
            <w:top w:val="none" w:sz="0" w:space="0" w:color="auto"/>
            <w:left w:val="none" w:sz="0" w:space="0" w:color="auto"/>
            <w:bottom w:val="none" w:sz="0" w:space="0" w:color="auto"/>
            <w:right w:val="none" w:sz="0" w:space="0" w:color="auto"/>
          </w:divBdr>
        </w:div>
        <w:div w:id="1845780857">
          <w:marLeft w:val="0"/>
          <w:marRight w:val="0"/>
          <w:marTop w:val="0"/>
          <w:marBottom w:val="0"/>
          <w:divBdr>
            <w:top w:val="none" w:sz="0" w:space="0" w:color="auto"/>
            <w:left w:val="none" w:sz="0" w:space="0" w:color="auto"/>
            <w:bottom w:val="none" w:sz="0" w:space="0" w:color="auto"/>
            <w:right w:val="none" w:sz="0" w:space="0" w:color="auto"/>
          </w:divBdr>
        </w:div>
        <w:div w:id="1885560195">
          <w:marLeft w:val="0"/>
          <w:marRight w:val="0"/>
          <w:marTop w:val="0"/>
          <w:marBottom w:val="0"/>
          <w:divBdr>
            <w:top w:val="none" w:sz="0" w:space="0" w:color="auto"/>
            <w:left w:val="none" w:sz="0" w:space="0" w:color="auto"/>
            <w:bottom w:val="none" w:sz="0" w:space="0" w:color="auto"/>
            <w:right w:val="none" w:sz="0" w:space="0" w:color="auto"/>
          </w:divBdr>
        </w:div>
        <w:div w:id="1916551072">
          <w:marLeft w:val="0"/>
          <w:marRight w:val="0"/>
          <w:marTop w:val="0"/>
          <w:marBottom w:val="0"/>
          <w:divBdr>
            <w:top w:val="none" w:sz="0" w:space="0" w:color="auto"/>
            <w:left w:val="none" w:sz="0" w:space="0" w:color="auto"/>
            <w:bottom w:val="none" w:sz="0" w:space="0" w:color="auto"/>
            <w:right w:val="none" w:sz="0" w:space="0" w:color="auto"/>
          </w:divBdr>
        </w:div>
        <w:div w:id="2008508477">
          <w:marLeft w:val="0"/>
          <w:marRight w:val="0"/>
          <w:marTop w:val="0"/>
          <w:marBottom w:val="0"/>
          <w:divBdr>
            <w:top w:val="none" w:sz="0" w:space="0" w:color="auto"/>
            <w:left w:val="none" w:sz="0" w:space="0" w:color="auto"/>
            <w:bottom w:val="none" w:sz="0" w:space="0" w:color="auto"/>
            <w:right w:val="none" w:sz="0" w:space="0" w:color="auto"/>
          </w:divBdr>
        </w:div>
        <w:div w:id="2023510343">
          <w:marLeft w:val="0"/>
          <w:marRight w:val="0"/>
          <w:marTop w:val="0"/>
          <w:marBottom w:val="0"/>
          <w:divBdr>
            <w:top w:val="none" w:sz="0" w:space="0" w:color="auto"/>
            <w:left w:val="none" w:sz="0" w:space="0" w:color="auto"/>
            <w:bottom w:val="none" w:sz="0" w:space="0" w:color="auto"/>
            <w:right w:val="none" w:sz="0" w:space="0" w:color="auto"/>
          </w:divBdr>
        </w:div>
      </w:divsChild>
    </w:div>
    <w:div w:id="1967664972">
      <w:bodyDiv w:val="1"/>
      <w:marLeft w:val="0"/>
      <w:marRight w:val="0"/>
      <w:marTop w:val="0"/>
      <w:marBottom w:val="0"/>
      <w:divBdr>
        <w:top w:val="none" w:sz="0" w:space="0" w:color="auto"/>
        <w:left w:val="none" w:sz="0" w:space="0" w:color="auto"/>
        <w:bottom w:val="none" w:sz="0" w:space="0" w:color="auto"/>
        <w:right w:val="none" w:sz="0" w:space="0" w:color="auto"/>
      </w:divBdr>
    </w:div>
    <w:div w:id="1983341899">
      <w:bodyDiv w:val="1"/>
      <w:marLeft w:val="0"/>
      <w:marRight w:val="0"/>
      <w:marTop w:val="0"/>
      <w:marBottom w:val="0"/>
      <w:divBdr>
        <w:top w:val="none" w:sz="0" w:space="0" w:color="auto"/>
        <w:left w:val="none" w:sz="0" w:space="0" w:color="auto"/>
        <w:bottom w:val="none" w:sz="0" w:space="0" w:color="auto"/>
        <w:right w:val="none" w:sz="0" w:space="0" w:color="auto"/>
      </w:divBdr>
    </w:div>
    <w:div w:id="1997343007">
      <w:bodyDiv w:val="1"/>
      <w:marLeft w:val="0"/>
      <w:marRight w:val="0"/>
      <w:marTop w:val="0"/>
      <w:marBottom w:val="0"/>
      <w:divBdr>
        <w:top w:val="none" w:sz="0" w:space="0" w:color="auto"/>
        <w:left w:val="none" w:sz="0" w:space="0" w:color="auto"/>
        <w:bottom w:val="none" w:sz="0" w:space="0" w:color="auto"/>
        <w:right w:val="none" w:sz="0" w:space="0" w:color="auto"/>
      </w:divBdr>
    </w:div>
    <w:div w:id="1998531386">
      <w:bodyDiv w:val="1"/>
      <w:marLeft w:val="0"/>
      <w:marRight w:val="0"/>
      <w:marTop w:val="0"/>
      <w:marBottom w:val="0"/>
      <w:divBdr>
        <w:top w:val="none" w:sz="0" w:space="0" w:color="auto"/>
        <w:left w:val="none" w:sz="0" w:space="0" w:color="auto"/>
        <w:bottom w:val="none" w:sz="0" w:space="0" w:color="auto"/>
        <w:right w:val="none" w:sz="0" w:space="0" w:color="auto"/>
      </w:divBdr>
      <w:divsChild>
        <w:div w:id="766538101">
          <w:marLeft w:val="0"/>
          <w:marRight w:val="0"/>
          <w:marTop w:val="0"/>
          <w:marBottom w:val="0"/>
          <w:divBdr>
            <w:top w:val="none" w:sz="0" w:space="0" w:color="auto"/>
            <w:left w:val="none" w:sz="0" w:space="0" w:color="auto"/>
            <w:bottom w:val="none" w:sz="0" w:space="0" w:color="auto"/>
            <w:right w:val="none" w:sz="0" w:space="0" w:color="auto"/>
          </w:divBdr>
        </w:div>
        <w:div w:id="924614263">
          <w:marLeft w:val="0"/>
          <w:marRight w:val="0"/>
          <w:marTop w:val="0"/>
          <w:marBottom w:val="0"/>
          <w:divBdr>
            <w:top w:val="none" w:sz="0" w:space="0" w:color="auto"/>
            <w:left w:val="none" w:sz="0" w:space="0" w:color="auto"/>
            <w:bottom w:val="none" w:sz="0" w:space="0" w:color="auto"/>
            <w:right w:val="none" w:sz="0" w:space="0" w:color="auto"/>
          </w:divBdr>
        </w:div>
        <w:div w:id="938417027">
          <w:marLeft w:val="0"/>
          <w:marRight w:val="0"/>
          <w:marTop w:val="0"/>
          <w:marBottom w:val="0"/>
          <w:divBdr>
            <w:top w:val="none" w:sz="0" w:space="0" w:color="auto"/>
            <w:left w:val="none" w:sz="0" w:space="0" w:color="auto"/>
            <w:bottom w:val="none" w:sz="0" w:space="0" w:color="auto"/>
            <w:right w:val="none" w:sz="0" w:space="0" w:color="auto"/>
          </w:divBdr>
        </w:div>
        <w:div w:id="1062363434">
          <w:marLeft w:val="0"/>
          <w:marRight w:val="0"/>
          <w:marTop w:val="0"/>
          <w:marBottom w:val="0"/>
          <w:divBdr>
            <w:top w:val="none" w:sz="0" w:space="0" w:color="auto"/>
            <w:left w:val="none" w:sz="0" w:space="0" w:color="auto"/>
            <w:bottom w:val="none" w:sz="0" w:space="0" w:color="auto"/>
            <w:right w:val="none" w:sz="0" w:space="0" w:color="auto"/>
          </w:divBdr>
        </w:div>
      </w:divsChild>
    </w:div>
    <w:div w:id="2031182450">
      <w:bodyDiv w:val="1"/>
      <w:marLeft w:val="0"/>
      <w:marRight w:val="0"/>
      <w:marTop w:val="0"/>
      <w:marBottom w:val="0"/>
      <w:divBdr>
        <w:top w:val="none" w:sz="0" w:space="0" w:color="auto"/>
        <w:left w:val="none" w:sz="0" w:space="0" w:color="auto"/>
        <w:bottom w:val="none" w:sz="0" w:space="0" w:color="auto"/>
        <w:right w:val="none" w:sz="0" w:space="0" w:color="auto"/>
      </w:divBdr>
    </w:div>
    <w:div w:id="2041316213">
      <w:bodyDiv w:val="1"/>
      <w:marLeft w:val="0"/>
      <w:marRight w:val="0"/>
      <w:marTop w:val="0"/>
      <w:marBottom w:val="0"/>
      <w:divBdr>
        <w:top w:val="none" w:sz="0" w:space="0" w:color="auto"/>
        <w:left w:val="none" w:sz="0" w:space="0" w:color="auto"/>
        <w:bottom w:val="none" w:sz="0" w:space="0" w:color="auto"/>
        <w:right w:val="none" w:sz="0" w:space="0" w:color="auto"/>
      </w:divBdr>
    </w:div>
    <w:div w:id="2068189664">
      <w:bodyDiv w:val="1"/>
      <w:marLeft w:val="0"/>
      <w:marRight w:val="0"/>
      <w:marTop w:val="0"/>
      <w:marBottom w:val="0"/>
      <w:divBdr>
        <w:top w:val="none" w:sz="0" w:space="0" w:color="auto"/>
        <w:left w:val="none" w:sz="0" w:space="0" w:color="auto"/>
        <w:bottom w:val="none" w:sz="0" w:space="0" w:color="auto"/>
        <w:right w:val="none" w:sz="0" w:space="0" w:color="auto"/>
      </w:divBdr>
    </w:div>
    <w:div w:id="210229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videncesynthesis.atlassian.net/wiki/spaces/ESE/pages/64126989/Demand+Side+Engagement+Working+Group"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videncesynthesis.atlassian.net/wiki/spaces/ESE/pages/249757697/Stage+4a+Report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dencesynthesis.atlassian.net/wiki/spaces/ESE/overview?mode=global\" TargetMode="External"/><Relationship Id="rId5" Type="http://schemas.openxmlformats.org/officeDocument/2006/relationships/numbering" Target="numbering.xml"/><Relationship Id="rId15" Type="http://schemas.openxmlformats.org/officeDocument/2006/relationships/hyperlink" Target="https://www.cochrane.org/news/evidence-synthesis-what-it-and-why-do-we-need-it?"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cmasterforum.org/docs/default-source/evidence-commission/sections/5.1-types-of-evidence-intermediaries.pdf"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rt_Order xmlns="6e5588b4-fb74-440d-9722-779e4a7e7483" xsi:nil="true"/>
    <TaxCatchAll xmlns="9660903e-d300-4e56-8fff-1e8d381b9430" xsi:nil="true"/>
    <lcf76f155ced4ddcb4097134ff3c332f xmlns="6e5588b4-fb74-440d-9722-779e4a7e7483">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5844DBFACAF3346A02F95913FF266A6" ma:contentTypeVersion="13" ma:contentTypeDescription="Create a new document." ma:contentTypeScope="" ma:versionID="67111522ebcd0185f2e6ece171e0ea70">
  <xsd:schema xmlns:xsd="http://www.w3.org/2001/XMLSchema" xmlns:xs="http://www.w3.org/2001/XMLSchema" xmlns:p="http://schemas.microsoft.com/office/2006/metadata/properties" xmlns:ns2="6e5588b4-fb74-440d-9722-779e4a7e7483" xmlns:ns3="9660903e-d300-4e56-8fff-1e8d381b9430" targetNamespace="http://schemas.microsoft.com/office/2006/metadata/properties" ma:root="true" ma:fieldsID="82c16ec0f0e71eee140afa3dede4de5f" ns2:_="" ns3:_="">
    <xsd:import namespace="6e5588b4-fb74-440d-9722-779e4a7e7483"/>
    <xsd:import namespace="9660903e-d300-4e56-8fff-1e8d381b9430"/>
    <xsd:element name="properties">
      <xsd:complexType>
        <xsd:sequence>
          <xsd:element name="documentManagement">
            <xsd:complexType>
              <xsd:all>
                <xsd:element ref="ns2:Sort_Order"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5588b4-fb74-440d-9722-779e4a7e7483" elementFormDefault="qualified">
    <xsd:import namespace="http://schemas.microsoft.com/office/2006/documentManagement/types"/>
    <xsd:import namespace="http://schemas.microsoft.com/office/infopath/2007/PartnerControls"/>
    <xsd:element name="Sort_Order" ma:index="8" nillable="true" ma:displayName="Sort_Order" ma:format="Dropdown" ma:internalName="Sort_Order" ma:percentage="FALSE">
      <xsd:simpleType>
        <xsd:restriction base="dms:Number"/>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c312355-af61-47fa-b102-1b6921dfb47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60903e-d300-4e56-8fff-1e8d381b943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18e2d9a0-cf25-4ef5-8edf-dfc558213c1c}" ma:internalName="TaxCatchAll" ma:showField="CatchAllData" ma:web="9660903e-d300-4e56-8fff-1e8d381b94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93D014-883B-4B8C-BB77-C616C28FE4CA}">
  <ds:schemaRefs>
    <ds:schemaRef ds:uri="http://schemas.microsoft.com/office/2006/metadata/properties"/>
    <ds:schemaRef ds:uri="http://schemas.microsoft.com/office/infopath/2007/PartnerControls"/>
    <ds:schemaRef ds:uri="6e5588b4-fb74-440d-9722-779e4a7e7483"/>
    <ds:schemaRef ds:uri="9660903e-d300-4e56-8fff-1e8d381b9430"/>
  </ds:schemaRefs>
</ds:datastoreItem>
</file>

<file path=customXml/itemProps2.xml><?xml version="1.0" encoding="utf-8"?>
<ds:datastoreItem xmlns:ds="http://schemas.openxmlformats.org/officeDocument/2006/customXml" ds:itemID="{509605C4-62B8-47E8-9A63-BD7B6F1F63D2}">
  <ds:schemaRefs>
    <ds:schemaRef ds:uri="http://schemas.openxmlformats.org/officeDocument/2006/bibliography"/>
  </ds:schemaRefs>
</ds:datastoreItem>
</file>

<file path=customXml/itemProps3.xml><?xml version="1.0" encoding="utf-8"?>
<ds:datastoreItem xmlns:ds="http://schemas.openxmlformats.org/officeDocument/2006/customXml" ds:itemID="{3A31CEFD-DC37-4C41-ADF6-57E8AAAFB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5588b4-fb74-440d-9722-779e4a7e7483"/>
    <ds:schemaRef ds:uri="9660903e-d300-4e56-8fff-1e8d381b9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B7706E-A6C8-4A94-8D79-B0639A0B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5480</Words>
  <Characters>34803</Characters>
  <Application>Microsoft Office Word</Application>
  <DocSecurity>0</DocSecurity>
  <Lines>1831</Lines>
  <Paragraphs>1258</Paragraphs>
  <ScaleCrop>false</ScaleCrop>
  <Company/>
  <LinksUpToDate>false</LinksUpToDate>
  <CharactersWithSpaces>39025</CharactersWithSpaces>
  <SharedDoc>false</SharedDoc>
  <HLinks>
    <vt:vector size="30" baseType="variant">
      <vt:variant>
        <vt:i4>2293809</vt:i4>
      </vt:variant>
      <vt:variant>
        <vt:i4>12</vt:i4>
      </vt:variant>
      <vt:variant>
        <vt:i4>0</vt:i4>
      </vt:variant>
      <vt:variant>
        <vt:i4>5</vt:i4>
      </vt:variant>
      <vt:variant>
        <vt:lpwstr>https://www.cochrane.org/news/evidence-synthesis-what-it-and-why-do-we-need-it?</vt:lpwstr>
      </vt:variant>
      <vt:variant>
        <vt:lpwstr/>
      </vt:variant>
      <vt:variant>
        <vt:i4>2490401</vt:i4>
      </vt:variant>
      <vt:variant>
        <vt:i4>9</vt:i4>
      </vt:variant>
      <vt:variant>
        <vt:i4>0</vt:i4>
      </vt:variant>
      <vt:variant>
        <vt:i4>5</vt:i4>
      </vt:variant>
      <vt:variant>
        <vt:lpwstr>https://www.mcmasterforum.org/docs/default-source/evidence-commission/sections/5.1-types-of-evidence-intermediaries.pdf</vt:lpwstr>
      </vt:variant>
      <vt:variant>
        <vt:lpwstr/>
      </vt:variant>
      <vt:variant>
        <vt:i4>2490473</vt:i4>
      </vt:variant>
      <vt:variant>
        <vt:i4>6</vt:i4>
      </vt:variant>
      <vt:variant>
        <vt:i4>0</vt:i4>
      </vt:variant>
      <vt:variant>
        <vt:i4>5</vt:i4>
      </vt:variant>
      <vt:variant>
        <vt:lpwstr>https://evidencesynthesis.atlassian.net/wiki/spaces/ESE/pages/64126989/Demand+Side+Engagement+Working+Group</vt:lpwstr>
      </vt:variant>
      <vt:variant>
        <vt:lpwstr/>
      </vt:variant>
      <vt:variant>
        <vt:i4>1245250</vt:i4>
      </vt:variant>
      <vt:variant>
        <vt:i4>3</vt:i4>
      </vt:variant>
      <vt:variant>
        <vt:i4>0</vt:i4>
      </vt:variant>
      <vt:variant>
        <vt:i4>5</vt:i4>
      </vt:variant>
      <vt:variant>
        <vt:lpwstr>https://evidencesynthesis.atlassian.net/wiki/spaces/ESE/pages/249757697/Stage+4a+Reports</vt:lpwstr>
      </vt:variant>
      <vt:variant>
        <vt:lpwstr/>
      </vt:variant>
      <vt:variant>
        <vt:i4>786506</vt:i4>
      </vt:variant>
      <vt:variant>
        <vt:i4>0</vt:i4>
      </vt:variant>
      <vt:variant>
        <vt:i4>0</vt:i4>
      </vt:variant>
      <vt:variant>
        <vt:i4>5</vt:i4>
      </vt:variant>
      <vt:variant>
        <vt:lpwstr>https://evidencesynthesis.atlassian.net/wiki/spaces/ESE/overview?mode=global\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Lavis, John</dc:creator>
  <cp:keywords/>
  <dc:description/>
  <cp:lastModifiedBy>Ruth Foxlee</cp:lastModifiedBy>
  <cp:revision>1281</cp:revision>
  <dcterms:created xsi:type="dcterms:W3CDTF">2025-03-30T13:17:00Z</dcterms:created>
  <dcterms:modified xsi:type="dcterms:W3CDTF">2025-06-05T19:35:00Z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0x01010045844DBFACAF3346A02F95913FF266A6</vt:lpwstr>
  </property>
  <property fmtid="{D5CDD505-2E9C-101B-9397-08002B2CF9AE}" pid="3" name="MediaServiceImageTags">
    <vt:lpwstr/>
  </property>
</Properties>
</file>