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B497" w14:textId="013ABBFF" w:rsidR="00124121" w:rsidRPr="00592A80" w:rsidRDefault="00BF429B" w:rsidP="00892231">
      <w:pPr>
        <w:pStyle w:val="Header"/>
        <w:tabs>
          <w:tab w:val="clear" w:pos="4680"/>
          <w:tab w:val="clear" w:pos="9360"/>
          <w:tab w:val="left" w:pos="6946"/>
        </w:tabs>
        <w:rPr>
          <w:b/>
          <w:bCs/>
          <w:color w:val="153D63" w:themeColor="text2" w:themeTint="E6"/>
          <w:sz w:val="22"/>
          <w:szCs w:val="22"/>
        </w:rPr>
      </w:pPr>
      <w:r w:rsidRPr="00592A80">
        <w:rPr>
          <w:b/>
          <w:bCs/>
          <w:noProof/>
          <w:color w:val="156082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73C0D9" wp14:editId="63BA09FA">
                <wp:simplePos x="0" y="0"/>
                <wp:positionH relativeFrom="page">
                  <wp:posOffset>0</wp:posOffset>
                </wp:positionH>
                <wp:positionV relativeFrom="paragraph">
                  <wp:posOffset>-218500</wp:posOffset>
                </wp:positionV>
                <wp:extent cx="7804785" cy="921600"/>
                <wp:effectExtent l="0" t="0" r="5715" b="0"/>
                <wp:wrapNone/>
                <wp:docPr id="1119744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9216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7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660557" w:rsidRPr="007A0D0C" w14:paraId="3DBE7781" w14:textId="77777777" w:rsidTr="00660557">
                              <w:trPr>
                                <w:trHeight w:val="317"/>
                              </w:trPr>
                              <w:tc>
                                <w:tcPr>
                                  <w:tcW w:w="4253" w:type="dxa"/>
                                </w:tcPr>
                                <w:p w14:paraId="718CB311" w14:textId="77777777" w:rsidR="00660557" w:rsidRPr="007A0D0C" w:rsidRDefault="00660557" w:rsidP="00660557">
                                  <w:pPr>
                                    <w:spacing w:before="120" w:after="120"/>
                                    <w:ind w:left="37"/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</w:pPr>
                                  <w:r w:rsidRPr="007A0D0C"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>Global SDG Synthesis Coalition (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>GSDGSC)</w:t>
                                  </w:r>
                                </w:p>
                              </w:tc>
                            </w:tr>
                            <w:tr w:rsidR="00660557" w:rsidRPr="00A212C1" w14:paraId="1F54E195" w14:textId="77777777" w:rsidTr="00660557">
                              <w:trPr>
                                <w:trHeight w:val="331"/>
                              </w:trPr>
                              <w:tc>
                                <w:tcPr>
                                  <w:tcW w:w="4253" w:type="dxa"/>
                                </w:tcPr>
                                <w:p w14:paraId="4EFB7218" w14:textId="77777777" w:rsidR="00660557" w:rsidRPr="00A212C1" w:rsidRDefault="00660557" w:rsidP="00660557">
                                  <w:pPr>
                                    <w:spacing w:after="120"/>
                                    <w:ind w:left="37"/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</w:pPr>
                                  <w:r w:rsidRPr="00A212C1"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>Building a Global Evidence Synthesis Community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 xml:space="preserve"> (BGESC)</w:t>
                                  </w:r>
                                </w:p>
                              </w:tc>
                            </w:tr>
                            <w:tr w:rsidR="00660557" w:rsidRPr="00A212C1" w14:paraId="4C6A02D3" w14:textId="77777777" w:rsidTr="00660557">
                              <w:trPr>
                                <w:trHeight w:val="317"/>
                              </w:trPr>
                              <w:tc>
                                <w:tcPr>
                                  <w:tcW w:w="4253" w:type="dxa"/>
                                </w:tcPr>
                                <w:p w14:paraId="165EC2F6" w14:textId="77777777" w:rsidR="00660557" w:rsidRPr="00A212C1" w:rsidRDefault="00660557" w:rsidP="00660557">
                                  <w:pPr>
                                    <w:spacing w:after="120"/>
                                    <w:ind w:left="37"/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</w:pPr>
                                  <w:r w:rsidRPr="00A212C1"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>Pan-African Collective for Evidence (PACE)</w:t>
                                  </w:r>
                                </w:p>
                              </w:tc>
                            </w:tr>
                            <w:tr w:rsidR="00660557" w:rsidRPr="00A212C1" w14:paraId="56D2462A" w14:textId="77777777" w:rsidTr="00660557">
                              <w:trPr>
                                <w:trHeight w:val="317"/>
                              </w:trPr>
                              <w:tc>
                                <w:tcPr>
                                  <w:tcW w:w="4253" w:type="dxa"/>
                                </w:tcPr>
                                <w:p w14:paraId="19FB3FFB" w14:textId="11DF6E7B" w:rsidR="00660557" w:rsidRPr="00A212C1" w:rsidRDefault="00660557" w:rsidP="00660557">
                                  <w:pPr>
                                    <w:spacing w:after="120"/>
                                    <w:ind w:left="37"/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</w:pPr>
                                  <w:r w:rsidRPr="00A212C1"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>Center for Rapid Evidence Synthesis</w:t>
                                  </w:r>
                                  <w:r w:rsidR="004111C8">
                                    <w:rPr>
                                      <w:rFonts w:ascii="Arial" w:hAnsi="Arial" w:cs="Arial"/>
                                      <w:color w:val="156082" w:themeColor="accent1"/>
                                      <w:sz w:val="15"/>
                                      <w:szCs w:val="15"/>
                                    </w:rPr>
                                    <w:t xml:space="preserve"> (ACRES)</w:t>
                                  </w:r>
                                </w:p>
                              </w:tc>
                            </w:tr>
                          </w:tbl>
                          <w:p w14:paraId="2DF05341" w14:textId="77777777" w:rsidR="006E5D11" w:rsidRDefault="006E5D11" w:rsidP="006E5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C0D9" id="Rectangle 1" o:spid="_x0000_s1026" style="position:absolute;margin-left:0;margin-top:-17.2pt;width:614.55pt;height:7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" fillcolor="#a02b93" stroked="f" strokeweight="1pt">
                <v:fill opacity="32896f"/>
                <v:textbox>
                  <w:txbxContent>
                    <w:tbl>
                      <w:tblPr>
                        <w:tblStyle w:val="TableGrid"/>
                        <w:tblW w:w="0" w:type="auto"/>
                        <w:tblInd w:w="77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660557" w:rsidRPr="007A0D0C" w14:paraId="3DBE7781" w14:textId="77777777" w:rsidTr="00660557">
                        <w:trPr>
                          <w:trHeight w:val="317"/>
                        </w:trPr>
                        <w:tc>
                          <w:tcPr>
                            <w:tcW w:w="4253" w:type="dxa"/>
                          </w:tcPr>
                          <w:p w14:paraId="718CB311" w14:textId="77777777" w:rsidR="00660557" w:rsidRPr="007A0D0C" w:rsidRDefault="00660557" w:rsidP="00660557">
                            <w:pPr>
                              <w:spacing w:before="120" w:after="120"/>
                              <w:ind w:left="37"/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</w:pPr>
                            <w:r w:rsidRPr="007A0D0C"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>Global SDG Synthesis Coalition (</w:t>
                            </w:r>
                            <w:r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>GSDGSC)</w:t>
                            </w:r>
                          </w:p>
                        </w:tc>
                      </w:tr>
                      <w:tr w:rsidR="00660557" w:rsidRPr="00A212C1" w14:paraId="1F54E195" w14:textId="77777777" w:rsidTr="00660557">
                        <w:trPr>
                          <w:trHeight w:val="331"/>
                        </w:trPr>
                        <w:tc>
                          <w:tcPr>
                            <w:tcW w:w="4253" w:type="dxa"/>
                          </w:tcPr>
                          <w:p w14:paraId="4EFB7218" w14:textId="77777777" w:rsidR="00660557" w:rsidRPr="00A212C1" w:rsidRDefault="00660557" w:rsidP="00660557">
                            <w:pPr>
                              <w:spacing w:after="120"/>
                              <w:ind w:left="37"/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</w:pPr>
                            <w:r w:rsidRPr="00A212C1"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>Building a Global Evidence Synthesis Community</w:t>
                            </w:r>
                            <w:r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 xml:space="preserve"> (BGESC)</w:t>
                            </w:r>
                          </w:p>
                        </w:tc>
                      </w:tr>
                      <w:tr w:rsidR="00660557" w:rsidRPr="00A212C1" w14:paraId="4C6A02D3" w14:textId="77777777" w:rsidTr="00660557">
                        <w:trPr>
                          <w:trHeight w:val="317"/>
                        </w:trPr>
                        <w:tc>
                          <w:tcPr>
                            <w:tcW w:w="4253" w:type="dxa"/>
                          </w:tcPr>
                          <w:p w14:paraId="165EC2F6" w14:textId="77777777" w:rsidR="00660557" w:rsidRPr="00A212C1" w:rsidRDefault="00660557" w:rsidP="00660557">
                            <w:pPr>
                              <w:spacing w:after="120"/>
                              <w:ind w:left="37"/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</w:pPr>
                            <w:r w:rsidRPr="00A212C1"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>Pan-African Collective for Evidence (PACE)</w:t>
                            </w:r>
                          </w:p>
                        </w:tc>
                      </w:tr>
                      <w:tr w:rsidR="00660557" w:rsidRPr="00A212C1" w14:paraId="56D2462A" w14:textId="77777777" w:rsidTr="00660557">
                        <w:trPr>
                          <w:trHeight w:val="317"/>
                        </w:trPr>
                        <w:tc>
                          <w:tcPr>
                            <w:tcW w:w="4253" w:type="dxa"/>
                          </w:tcPr>
                          <w:p w14:paraId="19FB3FFB" w14:textId="11DF6E7B" w:rsidR="00660557" w:rsidRPr="00A212C1" w:rsidRDefault="00660557" w:rsidP="00660557">
                            <w:pPr>
                              <w:spacing w:after="120"/>
                              <w:ind w:left="37"/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</w:pPr>
                            <w:r w:rsidRPr="00A212C1"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>Center for Rapid Evidence Synthesis</w:t>
                            </w:r>
                            <w:r w:rsidR="004111C8">
                              <w:rPr>
                                <w:rFonts w:ascii="Arial" w:hAnsi="Arial" w:cs="Arial"/>
                                <w:color w:val="156082" w:themeColor="accent1"/>
                                <w:sz w:val="15"/>
                                <w:szCs w:val="15"/>
                              </w:rPr>
                              <w:t xml:space="preserve"> (ACRES)</w:t>
                            </w:r>
                          </w:p>
                        </w:tc>
                      </w:tr>
                    </w:tbl>
                    <w:p w14:paraId="2DF05341" w14:textId="77777777" w:rsidR="006E5D11" w:rsidRDefault="006E5D11" w:rsidP="006E5D1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24121" w:rsidRPr="00592A80">
        <w:rPr>
          <w:b/>
          <w:bCs/>
          <w:color w:val="153D63" w:themeColor="text2" w:themeTint="E6"/>
          <w:sz w:val="22"/>
          <w:szCs w:val="22"/>
        </w:rPr>
        <w:t xml:space="preserve">Evidence Synthesis Infrastructure </w:t>
      </w:r>
    </w:p>
    <w:p w14:paraId="15768282" w14:textId="77777777" w:rsidR="00CF350A" w:rsidRPr="00592A80" w:rsidRDefault="00124121" w:rsidP="00784485">
      <w:pPr>
        <w:pStyle w:val="Header"/>
        <w:tabs>
          <w:tab w:val="clear" w:pos="4680"/>
          <w:tab w:val="clear" w:pos="9360"/>
          <w:tab w:val="center" w:pos="4253"/>
          <w:tab w:val="right" w:pos="9923"/>
        </w:tabs>
        <w:rPr>
          <w:b/>
          <w:bCs/>
          <w:color w:val="153D63" w:themeColor="text2" w:themeTint="E6"/>
          <w:sz w:val="22"/>
          <w:szCs w:val="22"/>
        </w:rPr>
      </w:pPr>
      <w:r w:rsidRPr="00592A80">
        <w:rPr>
          <w:b/>
          <w:bCs/>
          <w:color w:val="153D63" w:themeColor="text2" w:themeTint="E6"/>
          <w:sz w:val="22"/>
          <w:szCs w:val="22"/>
        </w:rPr>
        <w:t xml:space="preserve">Collaborative (ESIC) </w:t>
      </w:r>
      <w:r w:rsidR="0089382C" w:rsidRPr="00592A80">
        <w:rPr>
          <w:b/>
          <w:bCs/>
          <w:color w:val="153D63" w:themeColor="text2" w:themeTint="E6"/>
          <w:sz w:val="22"/>
          <w:szCs w:val="22"/>
        </w:rPr>
        <w:t>p</w:t>
      </w:r>
      <w:r w:rsidRPr="00592A80">
        <w:rPr>
          <w:b/>
          <w:bCs/>
          <w:color w:val="153D63" w:themeColor="text2" w:themeTint="E6"/>
          <w:sz w:val="22"/>
          <w:szCs w:val="22"/>
        </w:rPr>
        <w:t xml:space="preserve">lanning </w:t>
      </w:r>
      <w:r w:rsidR="0089382C" w:rsidRPr="00592A80">
        <w:rPr>
          <w:b/>
          <w:bCs/>
          <w:color w:val="153D63" w:themeColor="text2" w:themeTint="E6"/>
          <w:sz w:val="22"/>
          <w:szCs w:val="22"/>
        </w:rPr>
        <w:t>p</w:t>
      </w:r>
      <w:r w:rsidRPr="00592A80">
        <w:rPr>
          <w:b/>
          <w:bCs/>
          <w:color w:val="153D63" w:themeColor="text2" w:themeTint="E6"/>
          <w:sz w:val="22"/>
          <w:szCs w:val="22"/>
        </w:rPr>
        <w:t>rocess</w:t>
      </w:r>
      <w:r w:rsidR="00CF350A" w:rsidRPr="00592A80">
        <w:rPr>
          <w:b/>
          <w:bCs/>
          <w:color w:val="153D63" w:themeColor="text2" w:themeTint="E6"/>
          <w:sz w:val="22"/>
          <w:szCs w:val="22"/>
        </w:rPr>
        <w:t>:</w:t>
      </w:r>
    </w:p>
    <w:p w14:paraId="4149EA82" w14:textId="7D42F9FA" w:rsidR="00124121" w:rsidRPr="00592A80" w:rsidRDefault="00A37198" w:rsidP="007A4233">
      <w:pPr>
        <w:pStyle w:val="Header"/>
        <w:tabs>
          <w:tab w:val="clear" w:pos="4680"/>
          <w:tab w:val="clear" w:pos="9360"/>
          <w:tab w:val="center" w:pos="4986"/>
        </w:tabs>
        <w:rPr>
          <w:color w:val="156082" w:themeColor="accent1"/>
          <w:sz w:val="22"/>
          <w:szCs w:val="22"/>
        </w:rPr>
      </w:pPr>
      <w:r w:rsidRPr="00592A80">
        <w:rPr>
          <w:color w:val="153D63" w:themeColor="text2" w:themeTint="E6"/>
          <w:sz w:val="22"/>
          <w:szCs w:val="22"/>
        </w:rPr>
        <w:t>Interim</w:t>
      </w:r>
      <w:r w:rsidR="001247D9" w:rsidRPr="00592A80">
        <w:rPr>
          <w:color w:val="153D63" w:themeColor="text2" w:themeTint="E6"/>
          <w:sz w:val="22"/>
          <w:szCs w:val="22"/>
        </w:rPr>
        <w:t xml:space="preserve"> Report</w:t>
      </w:r>
      <w:r w:rsidR="007A4233" w:rsidRPr="00592A80">
        <w:rPr>
          <w:color w:val="153D63" w:themeColor="text2" w:themeTint="E6"/>
          <w:sz w:val="22"/>
          <w:szCs w:val="22"/>
        </w:rPr>
        <w:tab/>
      </w:r>
      <w:r w:rsidR="00124121" w:rsidRPr="00592A80">
        <w:rPr>
          <w:color w:val="156082" w:themeColor="accent1"/>
          <w:sz w:val="22"/>
          <w:szCs w:val="22"/>
        </w:rPr>
        <w:br/>
      </w:r>
    </w:p>
    <w:p w14:paraId="34850423" w14:textId="6DD46A52" w:rsidR="00124121" w:rsidRPr="00592A80" w:rsidRDefault="00124121" w:rsidP="00A103B6">
      <w:pPr>
        <w:pStyle w:val="Header"/>
        <w:tabs>
          <w:tab w:val="clear" w:pos="4680"/>
          <w:tab w:val="clear" w:pos="9360"/>
          <w:tab w:val="center" w:pos="4111"/>
          <w:tab w:val="left" w:pos="9356"/>
        </w:tabs>
        <w:rPr>
          <w:b/>
          <w:bCs/>
          <w:color w:val="156082" w:themeColor="accent1"/>
          <w:sz w:val="22"/>
          <w:szCs w:val="22"/>
        </w:rPr>
      </w:pPr>
    </w:p>
    <w:p w14:paraId="5F4117F0" w14:textId="77777777" w:rsidR="000960BB" w:rsidRPr="00592A80" w:rsidRDefault="000960BB" w:rsidP="00A103B6">
      <w:pPr>
        <w:pStyle w:val="Header"/>
        <w:tabs>
          <w:tab w:val="clear" w:pos="4680"/>
          <w:tab w:val="clear" w:pos="9360"/>
          <w:tab w:val="center" w:pos="4111"/>
          <w:tab w:val="left" w:pos="9356"/>
        </w:tabs>
        <w:rPr>
          <w:b/>
          <w:bCs/>
          <w:color w:val="156082" w:themeColor="accent1"/>
          <w:sz w:val="22"/>
          <w:szCs w:val="22"/>
        </w:rPr>
      </w:pPr>
    </w:p>
    <w:tbl>
      <w:tblPr>
        <w:tblStyle w:val="TableGrid"/>
        <w:tblW w:w="10321" w:type="dxa"/>
        <w:tblBorders>
          <w:top w:val="none" w:sz="0" w:space="0" w:color="auto"/>
          <w:left w:val="single" w:sz="12" w:space="0" w:color="153D63" w:themeColor="text2" w:themeTint="E6"/>
          <w:bottom w:val="none" w:sz="0" w:space="0" w:color="auto"/>
          <w:right w:val="none" w:sz="0" w:space="0" w:color="auto"/>
          <w:insideH w:val="single" w:sz="18" w:space="0" w:color="153D63" w:themeColor="text2" w:themeTint="E6"/>
          <w:insideV w:val="single" w:sz="12" w:space="0" w:color="153D63" w:themeColor="text2" w:themeTint="E6"/>
        </w:tblBorders>
        <w:tblLook w:val="04A0" w:firstRow="1" w:lastRow="0" w:firstColumn="1" w:lastColumn="0" w:noHBand="0" w:noVBand="1"/>
      </w:tblPr>
      <w:tblGrid>
        <w:gridCol w:w="2962"/>
        <w:gridCol w:w="2609"/>
        <w:gridCol w:w="2591"/>
        <w:gridCol w:w="2159"/>
      </w:tblGrid>
      <w:tr w:rsidR="001247D9" w:rsidRPr="00592A80" w14:paraId="02FB94DC" w14:textId="77777777" w:rsidTr="553682FC">
        <w:tc>
          <w:tcPr>
            <w:tcW w:w="2962" w:type="dxa"/>
          </w:tcPr>
          <w:p w14:paraId="609639D8" w14:textId="61C70FFE" w:rsidR="001247D9" w:rsidRPr="00592A80" w:rsidRDefault="001247D9" w:rsidP="00716D02">
            <w:pPr>
              <w:rPr>
                <w:color w:val="156082" w:themeColor="accent1"/>
                <w:sz w:val="22"/>
                <w:szCs w:val="22"/>
              </w:rPr>
            </w:pPr>
            <w:r w:rsidRPr="00592A80">
              <w:rPr>
                <w:color w:val="156082" w:themeColor="accent1"/>
                <w:sz w:val="22"/>
                <w:szCs w:val="22"/>
              </w:rPr>
              <w:t xml:space="preserve">Working </w:t>
            </w:r>
            <w:r w:rsidR="0065061D" w:rsidRPr="00592A80">
              <w:rPr>
                <w:color w:val="156082" w:themeColor="accent1"/>
                <w:sz w:val="22"/>
                <w:szCs w:val="22"/>
              </w:rPr>
              <w:t>g</w:t>
            </w:r>
            <w:r w:rsidRPr="00592A80">
              <w:rPr>
                <w:color w:val="156082" w:themeColor="accent1"/>
                <w:sz w:val="22"/>
                <w:szCs w:val="22"/>
              </w:rPr>
              <w:t xml:space="preserve">roup </w:t>
            </w:r>
            <w:r w:rsidR="007A4233" w:rsidRPr="00592A80">
              <w:rPr>
                <w:color w:val="156082" w:themeColor="accent1"/>
                <w:sz w:val="22"/>
                <w:szCs w:val="22"/>
              </w:rPr>
              <w:t>5</w:t>
            </w:r>
            <w:r w:rsidRPr="00592A80">
              <w:rPr>
                <w:color w:val="156082" w:themeColor="accent1"/>
                <w:sz w:val="22"/>
                <w:szCs w:val="22"/>
              </w:rPr>
              <w:t>:</w:t>
            </w:r>
          </w:p>
          <w:p w14:paraId="7E360D13" w14:textId="2DBBF370" w:rsidR="001247D9" w:rsidRPr="00592A80" w:rsidRDefault="007A4233" w:rsidP="00716D0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92A80">
              <w:rPr>
                <w:b/>
                <w:bCs/>
                <w:color w:val="156082" w:themeColor="accent1"/>
                <w:sz w:val="22"/>
                <w:szCs w:val="22"/>
              </w:rPr>
              <w:t>Capacity Sharing</w:t>
            </w:r>
          </w:p>
        </w:tc>
        <w:tc>
          <w:tcPr>
            <w:tcW w:w="2609" w:type="dxa"/>
          </w:tcPr>
          <w:p w14:paraId="7AA08A89" w14:textId="5ACF5D16" w:rsidR="001247D9" w:rsidRPr="00592A80" w:rsidRDefault="001247D9" w:rsidP="00716D02">
            <w:pPr>
              <w:rPr>
                <w:color w:val="156082" w:themeColor="accent1"/>
                <w:sz w:val="22"/>
                <w:szCs w:val="22"/>
              </w:rPr>
            </w:pPr>
            <w:r w:rsidRPr="00592A80">
              <w:rPr>
                <w:color w:val="156082" w:themeColor="accent1"/>
                <w:sz w:val="22"/>
                <w:szCs w:val="22"/>
              </w:rPr>
              <w:t xml:space="preserve">Stage </w:t>
            </w:r>
            <w:r w:rsidR="00A37198" w:rsidRPr="00592A80">
              <w:rPr>
                <w:color w:val="156082" w:themeColor="accent1"/>
                <w:sz w:val="22"/>
                <w:szCs w:val="22"/>
              </w:rPr>
              <w:t>4</w:t>
            </w:r>
            <w:r w:rsidR="003F7897" w:rsidRPr="00592A80">
              <w:rPr>
                <w:color w:val="156082" w:themeColor="accent1"/>
                <w:sz w:val="22"/>
                <w:szCs w:val="22"/>
              </w:rPr>
              <w:t>b</w:t>
            </w:r>
            <w:r w:rsidRPr="00592A80">
              <w:rPr>
                <w:color w:val="156082" w:themeColor="accent1"/>
                <w:sz w:val="22"/>
                <w:szCs w:val="22"/>
              </w:rPr>
              <w:t xml:space="preserve"> report:</w:t>
            </w:r>
          </w:p>
          <w:p w14:paraId="7BEF948A" w14:textId="65C68BED" w:rsidR="001247D9" w:rsidRPr="00592A80" w:rsidRDefault="0001560A" w:rsidP="00716D0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92A80">
              <w:rPr>
                <w:b/>
                <w:bCs/>
                <w:color w:val="156082" w:themeColor="accent1"/>
                <w:sz w:val="22"/>
                <w:szCs w:val="22"/>
              </w:rPr>
              <w:t>Solution</w:t>
            </w:r>
            <w:r w:rsidR="00E11789" w:rsidRPr="00592A80">
              <w:rPr>
                <w:b/>
                <w:bCs/>
                <w:color w:val="156082" w:themeColor="accent1"/>
                <w:sz w:val="22"/>
                <w:szCs w:val="22"/>
              </w:rPr>
              <w:t>s and costing</w:t>
            </w:r>
          </w:p>
        </w:tc>
        <w:tc>
          <w:tcPr>
            <w:tcW w:w="2591" w:type="dxa"/>
          </w:tcPr>
          <w:p w14:paraId="31226C31" w14:textId="77777777" w:rsidR="001247D9" w:rsidRPr="00592A80" w:rsidRDefault="001247D9" w:rsidP="00716D02">
            <w:pPr>
              <w:rPr>
                <w:color w:val="156082" w:themeColor="accent1"/>
                <w:sz w:val="22"/>
                <w:szCs w:val="22"/>
              </w:rPr>
            </w:pPr>
            <w:r w:rsidRPr="00592A80">
              <w:rPr>
                <w:color w:val="156082" w:themeColor="accent1"/>
                <w:sz w:val="22"/>
                <w:szCs w:val="22"/>
              </w:rPr>
              <w:t>Last updated:</w:t>
            </w:r>
          </w:p>
          <w:p w14:paraId="109D6999" w14:textId="0CBC559B" w:rsidR="001247D9" w:rsidRPr="00592A80" w:rsidRDefault="007D2607" w:rsidP="00716D02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00592A80">
              <w:rPr>
                <w:b/>
                <w:bCs/>
                <w:color w:val="156082" w:themeColor="accent1"/>
                <w:sz w:val="22"/>
                <w:szCs w:val="22"/>
              </w:rPr>
              <w:t>5</w:t>
            </w:r>
            <w:r w:rsidR="001247D9" w:rsidRPr="00592A80">
              <w:rPr>
                <w:b/>
                <w:bCs/>
                <w:color w:val="156082" w:themeColor="accent1"/>
                <w:sz w:val="22"/>
                <w:szCs w:val="22"/>
              </w:rPr>
              <w:t xml:space="preserve"> </w:t>
            </w:r>
            <w:r w:rsidR="00E11789" w:rsidRPr="00592A80">
              <w:rPr>
                <w:b/>
                <w:bCs/>
                <w:color w:val="156082" w:themeColor="accent1"/>
                <w:sz w:val="22"/>
                <w:szCs w:val="22"/>
              </w:rPr>
              <w:t>June</w:t>
            </w:r>
            <w:r w:rsidR="001247D9" w:rsidRPr="00592A80">
              <w:rPr>
                <w:b/>
                <w:bCs/>
                <w:color w:val="156082" w:themeColor="accent1"/>
                <w:sz w:val="22"/>
                <w:szCs w:val="22"/>
              </w:rPr>
              <w:t xml:space="preserve"> 2025</w:t>
            </w:r>
          </w:p>
        </w:tc>
        <w:tc>
          <w:tcPr>
            <w:tcW w:w="2159" w:type="dxa"/>
          </w:tcPr>
          <w:p w14:paraId="59E3608B" w14:textId="14A0DB2A" w:rsidR="001247D9" w:rsidRPr="00592A80" w:rsidRDefault="001247D9" w:rsidP="008B039E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553682FC">
              <w:rPr>
                <w:color w:val="156082" w:themeColor="accent1"/>
                <w:sz w:val="22"/>
                <w:szCs w:val="22"/>
              </w:rPr>
              <w:t>Consultation window:</w:t>
            </w:r>
            <w:r w:rsidR="008B039E" w:rsidRPr="553682FC">
              <w:rPr>
                <w:color w:val="156082" w:themeColor="accent1"/>
                <w:sz w:val="22"/>
                <w:szCs w:val="22"/>
              </w:rPr>
              <w:t xml:space="preserve"> </w:t>
            </w:r>
            <w:r w:rsidR="00A022A1" w:rsidRPr="553682FC">
              <w:rPr>
                <w:b/>
                <w:bCs/>
                <w:color w:val="156082" w:themeColor="accent1"/>
                <w:sz w:val="22"/>
                <w:szCs w:val="22"/>
              </w:rPr>
              <w:t>6</w:t>
            </w:r>
            <w:r w:rsidR="007A4233" w:rsidRPr="553682FC">
              <w:rPr>
                <w:b/>
                <w:bCs/>
                <w:color w:val="156082" w:themeColor="accent1"/>
                <w:sz w:val="22"/>
                <w:szCs w:val="22"/>
              </w:rPr>
              <w:t>–</w:t>
            </w:r>
            <w:r w:rsidR="007D2607" w:rsidRPr="553682FC">
              <w:rPr>
                <w:b/>
                <w:bCs/>
                <w:color w:val="156082" w:themeColor="accent1"/>
                <w:sz w:val="22"/>
                <w:szCs w:val="22"/>
              </w:rPr>
              <w:t>11</w:t>
            </w:r>
            <w:r w:rsidR="007A4233" w:rsidRPr="553682FC">
              <w:rPr>
                <w:b/>
                <w:bCs/>
                <w:color w:val="156082" w:themeColor="accent1"/>
                <w:sz w:val="22"/>
                <w:szCs w:val="22"/>
              </w:rPr>
              <w:t xml:space="preserve"> </w:t>
            </w:r>
            <w:r w:rsidR="007D2607" w:rsidRPr="553682FC">
              <w:rPr>
                <w:b/>
                <w:bCs/>
                <w:color w:val="156082" w:themeColor="accent1"/>
                <w:sz w:val="22"/>
                <w:szCs w:val="22"/>
              </w:rPr>
              <w:t>June</w:t>
            </w:r>
            <w:r w:rsidRPr="553682FC">
              <w:rPr>
                <w:b/>
                <w:bCs/>
                <w:color w:val="156082" w:themeColor="accent1"/>
                <w:sz w:val="22"/>
                <w:szCs w:val="22"/>
              </w:rPr>
              <w:t xml:space="preserve"> 2025</w:t>
            </w:r>
          </w:p>
        </w:tc>
      </w:tr>
    </w:tbl>
    <w:p w14:paraId="6D926EE3" w14:textId="77777777" w:rsidR="000960BB" w:rsidRPr="00592A80" w:rsidRDefault="000960BB" w:rsidP="00E05108">
      <w:pPr>
        <w:rPr>
          <w:sz w:val="22"/>
          <w:szCs w:val="22"/>
          <w:lang w:val="en-US"/>
        </w:rPr>
      </w:pPr>
    </w:p>
    <w:p w14:paraId="1E26B5D1" w14:textId="77777777" w:rsidR="001247D9" w:rsidRPr="00592A80" w:rsidRDefault="001247D9" w:rsidP="004A4B00">
      <w:pPr>
        <w:spacing w:after="0"/>
        <w:rPr>
          <w:b/>
          <w:bCs/>
          <w:color w:val="0B769F" w:themeColor="accent4" w:themeShade="BF"/>
          <w:sz w:val="22"/>
          <w:szCs w:val="22"/>
          <w:lang w:val="en-US"/>
        </w:rPr>
      </w:pPr>
      <w:r w:rsidRPr="00592A80">
        <w:rPr>
          <w:b/>
          <w:bCs/>
          <w:color w:val="0B769F" w:themeColor="accent4" w:themeShade="BF"/>
          <w:sz w:val="22"/>
          <w:szCs w:val="22"/>
          <w:lang w:val="en-US"/>
        </w:rPr>
        <w:t>EXECUTIVE SUMMARY</w:t>
      </w:r>
    </w:p>
    <w:p w14:paraId="79829A80" w14:textId="762CFFDC" w:rsidR="0007304B" w:rsidRDefault="00D96FD6" w:rsidP="004A4B00">
      <w:pPr>
        <w:jc w:val="both"/>
        <w:rPr>
          <w:sz w:val="22"/>
          <w:szCs w:val="22"/>
          <w:lang w:val="en-TT"/>
        </w:rPr>
      </w:pPr>
      <w:r>
        <w:rPr>
          <w:sz w:val="22"/>
          <w:szCs w:val="22"/>
          <w:lang w:val="en-TT"/>
        </w:rPr>
        <w:t xml:space="preserve">This document </w:t>
      </w:r>
      <w:r w:rsidR="00AF693B" w:rsidRPr="00592A80">
        <w:rPr>
          <w:sz w:val="22"/>
          <w:szCs w:val="22"/>
          <w:lang w:val="en-TT"/>
        </w:rPr>
        <w:t xml:space="preserve">presents </w:t>
      </w:r>
      <w:r>
        <w:rPr>
          <w:sz w:val="22"/>
          <w:szCs w:val="22"/>
          <w:lang w:val="en-TT"/>
        </w:rPr>
        <w:t xml:space="preserve">the following </w:t>
      </w:r>
      <w:r w:rsidR="00AF693B" w:rsidRPr="00592A80">
        <w:rPr>
          <w:sz w:val="22"/>
          <w:szCs w:val="22"/>
          <w:lang w:val="en-TT"/>
        </w:rPr>
        <w:t>10</w:t>
      </w:r>
      <w:r w:rsidR="00756918">
        <w:rPr>
          <w:sz w:val="22"/>
          <w:szCs w:val="22"/>
          <w:lang w:val="en-TT"/>
        </w:rPr>
        <w:t xml:space="preserve"> </w:t>
      </w:r>
      <w:r w:rsidR="008C7297" w:rsidRPr="00592A80">
        <w:rPr>
          <w:sz w:val="22"/>
          <w:szCs w:val="22"/>
          <w:lang w:val="en-TT"/>
        </w:rPr>
        <w:t>solutions</w:t>
      </w:r>
      <w:r w:rsidR="00CA6A75">
        <w:rPr>
          <w:sz w:val="22"/>
          <w:szCs w:val="22"/>
          <w:lang w:val="en-TT"/>
        </w:rPr>
        <w:t>,</w:t>
      </w:r>
      <w:r w:rsidR="008C7297" w:rsidRPr="00592A80">
        <w:rPr>
          <w:sz w:val="22"/>
          <w:szCs w:val="22"/>
          <w:lang w:val="en-TT"/>
        </w:rPr>
        <w:t xml:space="preserve"> </w:t>
      </w:r>
      <w:r w:rsidR="00CA6A75">
        <w:rPr>
          <w:sz w:val="22"/>
          <w:szCs w:val="22"/>
          <w:lang w:val="en-TT"/>
        </w:rPr>
        <w:t xml:space="preserve">with </w:t>
      </w:r>
      <w:r w:rsidR="00E50895">
        <w:rPr>
          <w:sz w:val="22"/>
          <w:szCs w:val="22"/>
          <w:lang w:val="en-TT"/>
        </w:rPr>
        <w:t xml:space="preserve">their </w:t>
      </w:r>
      <w:r w:rsidR="00CA6A75">
        <w:rPr>
          <w:sz w:val="22"/>
          <w:szCs w:val="22"/>
          <w:lang w:val="en-TT"/>
        </w:rPr>
        <w:t xml:space="preserve">associated cost estimates, </w:t>
      </w:r>
      <w:r w:rsidR="008C7297" w:rsidRPr="00592A80">
        <w:rPr>
          <w:sz w:val="22"/>
          <w:szCs w:val="22"/>
          <w:lang w:val="en-TT"/>
        </w:rPr>
        <w:t xml:space="preserve">for </w:t>
      </w:r>
      <w:r w:rsidR="00756918">
        <w:rPr>
          <w:sz w:val="22"/>
          <w:szCs w:val="22"/>
          <w:lang w:val="en-TT"/>
        </w:rPr>
        <w:t>inclusion in the menu of options for funder investment</w:t>
      </w:r>
      <w:r w:rsidR="00CA6A75">
        <w:rPr>
          <w:sz w:val="22"/>
          <w:szCs w:val="22"/>
          <w:lang w:val="en-TT"/>
        </w:rPr>
        <w:t>:</w:t>
      </w:r>
    </w:p>
    <w:p w14:paraId="0CB98D3D" w14:textId="376567EB" w:rsidR="0007304B" w:rsidRPr="00424038" w:rsidRDefault="0007304B" w:rsidP="00424038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424038">
        <w:rPr>
          <w:b/>
          <w:bCs/>
          <w:sz w:val="22"/>
          <w:szCs w:val="22"/>
          <w:lang w:val="en-TT"/>
        </w:rPr>
        <w:t>ESIC Knowledge Hub</w:t>
      </w:r>
      <w:r w:rsidRPr="00424038">
        <w:rPr>
          <w:sz w:val="22"/>
          <w:szCs w:val="22"/>
          <w:lang w:val="en-TT"/>
        </w:rPr>
        <w:t>: A platform to achieve system interoperability and improve discoverability of evidence synthesis and knowledge translation (KT) resources</w:t>
      </w:r>
      <w:r w:rsidR="0026640D">
        <w:rPr>
          <w:sz w:val="22"/>
          <w:szCs w:val="22"/>
          <w:lang w:val="en-TT"/>
        </w:rPr>
        <w:t xml:space="preserve"> (</w:t>
      </w:r>
      <w:r w:rsidR="004A4B00" w:rsidRPr="00CA6A75">
        <w:rPr>
          <w:b/>
          <w:bCs/>
          <w:sz w:val="22"/>
          <w:szCs w:val="22"/>
          <w:lang w:val="en-TT"/>
        </w:rPr>
        <w:t>$9,249,752</w:t>
      </w:r>
      <w:r w:rsidR="0026640D">
        <w:rPr>
          <w:b/>
          <w:bCs/>
          <w:sz w:val="22"/>
          <w:szCs w:val="22"/>
          <w:lang w:val="en-TT"/>
        </w:rPr>
        <w:t>)</w:t>
      </w:r>
      <w:r w:rsidR="00CA6A75">
        <w:rPr>
          <w:sz w:val="22"/>
          <w:szCs w:val="22"/>
          <w:lang w:val="en-TT"/>
        </w:rPr>
        <w:t>.</w:t>
      </w:r>
    </w:p>
    <w:p w14:paraId="456C11FC" w14:textId="67D02F9C" w:rsidR="0007304B" w:rsidRPr="00DF441C" w:rsidRDefault="0007304B" w:rsidP="00DF441C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DF441C">
        <w:rPr>
          <w:b/>
          <w:bCs/>
          <w:sz w:val="22"/>
          <w:szCs w:val="22"/>
          <w:lang w:val="en-TT"/>
        </w:rPr>
        <w:t>KTai</w:t>
      </w:r>
      <w:r w:rsidRPr="00DF441C">
        <w:rPr>
          <w:sz w:val="22"/>
          <w:szCs w:val="22"/>
          <w:lang w:val="en-TT"/>
        </w:rPr>
        <w:t>: An AI-driven application to automate the knowledge translation process</w:t>
      </w:r>
      <w:r w:rsidR="0026640D" w:rsidRPr="00DF441C">
        <w:rPr>
          <w:sz w:val="22"/>
          <w:szCs w:val="22"/>
          <w:lang w:val="en-TT"/>
        </w:rPr>
        <w:t xml:space="preserve"> </w:t>
      </w:r>
      <w:r w:rsidR="0026640D" w:rsidRPr="00DF441C">
        <w:rPr>
          <w:b/>
          <w:bCs/>
          <w:sz w:val="22"/>
          <w:szCs w:val="22"/>
          <w:lang w:val="en-TT"/>
        </w:rPr>
        <w:t>(</w:t>
      </w:r>
      <w:r w:rsidR="00DF441C" w:rsidRPr="00DF441C">
        <w:rPr>
          <w:b/>
          <w:bCs/>
          <w:sz w:val="22"/>
          <w:szCs w:val="22"/>
          <w:lang w:val="en-TT"/>
        </w:rPr>
        <w:t>$3,006,705).</w:t>
      </w:r>
    </w:p>
    <w:p w14:paraId="5DFACC8F" w14:textId="1E15E2D3" w:rsidR="0007304B" w:rsidRPr="00DF441C" w:rsidRDefault="0007304B" w:rsidP="00DF441C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DF441C">
        <w:rPr>
          <w:b/>
          <w:bCs/>
          <w:sz w:val="22"/>
          <w:szCs w:val="22"/>
          <w:lang w:val="en-TT"/>
        </w:rPr>
        <w:t>Regional Collaborating Centers</w:t>
      </w:r>
      <w:r w:rsidRPr="00DF441C">
        <w:rPr>
          <w:sz w:val="22"/>
          <w:szCs w:val="22"/>
          <w:lang w:val="en-TT"/>
        </w:rPr>
        <w:t>: Regional hubs to strengthen capacity for evidence synthesis and knowledge translation</w:t>
      </w:r>
      <w:r w:rsidR="00A80F5C">
        <w:rPr>
          <w:sz w:val="22"/>
          <w:szCs w:val="22"/>
          <w:lang w:val="en-TT"/>
        </w:rPr>
        <w:t xml:space="preserve"> </w:t>
      </w:r>
      <w:r w:rsidR="00A80F5C" w:rsidRPr="00F41CF7">
        <w:rPr>
          <w:b/>
          <w:bCs/>
          <w:sz w:val="22"/>
          <w:szCs w:val="22"/>
          <w:lang w:val="en-TT"/>
        </w:rPr>
        <w:t>(</w:t>
      </w:r>
      <w:r w:rsidR="007A52DA" w:rsidRPr="00F41CF7">
        <w:rPr>
          <w:b/>
          <w:bCs/>
          <w:sz w:val="22"/>
          <w:szCs w:val="22"/>
          <w:lang w:val="en-TT"/>
        </w:rPr>
        <w:t>$12,596,420).</w:t>
      </w:r>
    </w:p>
    <w:p w14:paraId="798665E2" w14:textId="0470EDC0" w:rsidR="0007304B" w:rsidRPr="00F41CF7" w:rsidRDefault="0007304B" w:rsidP="007A52DA">
      <w:pPr>
        <w:pStyle w:val="ListParagraph"/>
        <w:numPr>
          <w:ilvl w:val="0"/>
          <w:numId w:val="7"/>
        </w:numPr>
        <w:jc w:val="both"/>
        <w:rPr>
          <w:b/>
          <w:bCs/>
          <w:sz w:val="22"/>
          <w:szCs w:val="22"/>
          <w:lang w:val="en-TT"/>
        </w:rPr>
      </w:pPr>
      <w:r w:rsidRPr="007A52DA">
        <w:rPr>
          <w:b/>
          <w:bCs/>
          <w:sz w:val="22"/>
          <w:szCs w:val="22"/>
          <w:lang w:val="en-TT"/>
        </w:rPr>
        <w:t>Mentorship and Train-the-Trainer Programs</w:t>
      </w:r>
      <w:r w:rsidRPr="007A52DA">
        <w:rPr>
          <w:sz w:val="22"/>
          <w:szCs w:val="22"/>
          <w:lang w:val="en-TT"/>
        </w:rPr>
        <w:t>: Structured programs to enhance skills among synthesis producers and evidence intermediaries, linked to regional hubs</w:t>
      </w:r>
      <w:r w:rsidR="007A52DA">
        <w:rPr>
          <w:sz w:val="22"/>
          <w:szCs w:val="22"/>
          <w:lang w:val="en-TT"/>
        </w:rPr>
        <w:t xml:space="preserve"> </w:t>
      </w:r>
      <w:r w:rsidR="007A52DA" w:rsidRPr="00F41CF7">
        <w:rPr>
          <w:b/>
          <w:bCs/>
          <w:sz w:val="22"/>
          <w:szCs w:val="22"/>
          <w:lang w:val="en-TT"/>
        </w:rPr>
        <w:t>(</w:t>
      </w:r>
      <w:r w:rsidR="006131B5" w:rsidRPr="00F41CF7">
        <w:rPr>
          <w:b/>
          <w:bCs/>
          <w:sz w:val="22"/>
          <w:szCs w:val="22"/>
          <w:lang w:val="en-TT"/>
        </w:rPr>
        <w:t>$2,764,718)</w:t>
      </w:r>
      <w:r w:rsidR="00F41CF7">
        <w:rPr>
          <w:b/>
          <w:bCs/>
          <w:sz w:val="22"/>
          <w:szCs w:val="22"/>
          <w:lang w:val="en-TT"/>
        </w:rPr>
        <w:t>.</w:t>
      </w:r>
    </w:p>
    <w:p w14:paraId="33FF8A6F" w14:textId="7B5DA032" w:rsidR="0007304B" w:rsidRPr="006131B5" w:rsidRDefault="0007304B" w:rsidP="006131B5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6131B5">
        <w:rPr>
          <w:b/>
          <w:bCs/>
          <w:sz w:val="22"/>
          <w:szCs w:val="22"/>
          <w:lang w:val="en-TT"/>
        </w:rPr>
        <w:t>Continuous Professional Development Modules</w:t>
      </w:r>
      <w:r w:rsidRPr="006131B5">
        <w:rPr>
          <w:sz w:val="22"/>
          <w:szCs w:val="22"/>
          <w:lang w:val="en-TT"/>
        </w:rPr>
        <w:t>: Ongoing education to maintain competencies in evidence synthesis and KT</w:t>
      </w:r>
      <w:r w:rsidR="006131B5">
        <w:rPr>
          <w:sz w:val="22"/>
          <w:szCs w:val="22"/>
          <w:lang w:val="en-TT"/>
        </w:rPr>
        <w:t xml:space="preserve"> </w:t>
      </w:r>
      <w:r w:rsidR="006131B5" w:rsidRPr="00F41CF7">
        <w:rPr>
          <w:b/>
          <w:bCs/>
          <w:sz w:val="22"/>
          <w:szCs w:val="22"/>
          <w:lang w:val="en-TT"/>
        </w:rPr>
        <w:t>(</w:t>
      </w:r>
      <w:r w:rsidR="000072FE" w:rsidRPr="00F41CF7">
        <w:rPr>
          <w:b/>
          <w:bCs/>
          <w:sz w:val="22"/>
          <w:szCs w:val="22"/>
          <w:lang w:val="en-TT"/>
        </w:rPr>
        <w:t>$1,189,360)</w:t>
      </w:r>
      <w:r w:rsidR="00F41CF7">
        <w:rPr>
          <w:b/>
          <w:bCs/>
          <w:sz w:val="22"/>
          <w:szCs w:val="22"/>
          <w:lang w:val="en-TT"/>
        </w:rPr>
        <w:t>.</w:t>
      </w:r>
    </w:p>
    <w:p w14:paraId="6D6E9D90" w14:textId="51D7A49F" w:rsidR="0007304B" w:rsidRPr="000072FE" w:rsidRDefault="0007304B" w:rsidP="000072FE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0072FE">
        <w:rPr>
          <w:b/>
          <w:bCs/>
          <w:sz w:val="22"/>
          <w:szCs w:val="22"/>
          <w:lang w:val="en-TT"/>
        </w:rPr>
        <w:t>Competency Frameworks</w:t>
      </w:r>
      <w:r w:rsidRPr="000072FE">
        <w:rPr>
          <w:sz w:val="22"/>
          <w:szCs w:val="22"/>
          <w:lang w:val="en-TT"/>
        </w:rPr>
        <w:t>: Standards for skills and behaviours related to evidence synthesis and knowledge translation</w:t>
      </w:r>
      <w:r w:rsidR="000072FE">
        <w:rPr>
          <w:sz w:val="22"/>
          <w:szCs w:val="22"/>
          <w:lang w:val="en-TT"/>
        </w:rPr>
        <w:t xml:space="preserve"> </w:t>
      </w:r>
      <w:r w:rsidR="000072FE" w:rsidRPr="00F41CF7">
        <w:rPr>
          <w:b/>
          <w:bCs/>
          <w:sz w:val="22"/>
          <w:szCs w:val="22"/>
          <w:lang w:val="en-TT"/>
        </w:rPr>
        <w:t>(</w:t>
      </w:r>
      <w:r w:rsidR="00963E69" w:rsidRPr="00F41CF7">
        <w:rPr>
          <w:b/>
          <w:bCs/>
          <w:sz w:val="22"/>
          <w:szCs w:val="22"/>
          <w:lang w:val="en-TT"/>
        </w:rPr>
        <w:t>$1,316,938)</w:t>
      </w:r>
      <w:r w:rsidR="00F41CF7" w:rsidRPr="00F41CF7">
        <w:rPr>
          <w:b/>
          <w:bCs/>
          <w:sz w:val="22"/>
          <w:szCs w:val="22"/>
          <w:lang w:val="en-TT"/>
        </w:rPr>
        <w:t>.</w:t>
      </w:r>
    </w:p>
    <w:p w14:paraId="479F83F7" w14:textId="78B40490" w:rsidR="0007304B" w:rsidRPr="00963E69" w:rsidRDefault="0007304B" w:rsidP="00963E69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963E69">
        <w:rPr>
          <w:b/>
          <w:bCs/>
          <w:sz w:val="22"/>
          <w:szCs w:val="22"/>
          <w:lang w:val="en-TT"/>
        </w:rPr>
        <w:t xml:space="preserve">Curriculum </w:t>
      </w:r>
      <w:r w:rsidRPr="00305FC1">
        <w:rPr>
          <w:b/>
          <w:bCs/>
          <w:sz w:val="22"/>
          <w:szCs w:val="22"/>
          <w:lang w:val="en-TT"/>
        </w:rPr>
        <w:t>for UN National Evaluation Capacity Development (NECD)</w:t>
      </w:r>
      <w:r w:rsidRPr="00305FC1">
        <w:rPr>
          <w:sz w:val="22"/>
          <w:szCs w:val="22"/>
          <w:lang w:val="en-TT"/>
        </w:rPr>
        <w:t xml:space="preserve"> and other national government training agencies</w:t>
      </w:r>
      <w:r w:rsidR="00963E69" w:rsidRPr="00305FC1">
        <w:rPr>
          <w:sz w:val="22"/>
          <w:szCs w:val="22"/>
          <w:lang w:val="en-TT"/>
        </w:rPr>
        <w:t xml:space="preserve"> </w:t>
      </w:r>
      <w:r w:rsidR="00963E69" w:rsidRPr="00F41CF7">
        <w:rPr>
          <w:b/>
          <w:bCs/>
          <w:sz w:val="22"/>
          <w:szCs w:val="22"/>
          <w:lang w:val="en-TT"/>
        </w:rPr>
        <w:t>(</w:t>
      </w:r>
      <w:r w:rsidR="00126425" w:rsidRPr="00F41CF7">
        <w:rPr>
          <w:b/>
          <w:bCs/>
          <w:sz w:val="22"/>
          <w:szCs w:val="22"/>
          <w:lang w:val="en-TT"/>
        </w:rPr>
        <w:t>$41,359)</w:t>
      </w:r>
      <w:r w:rsidR="00126425">
        <w:rPr>
          <w:sz w:val="22"/>
          <w:szCs w:val="22"/>
          <w:lang w:val="en-TT"/>
        </w:rPr>
        <w:t>.</w:t>
      </w:r>
    </w:p>
    <w:p w14:paraId="4D966EE0" w14:textId="63FA965B" w:rsidR="0007304B" w:rsidRPr="00126425" w:rsidRDefault="0007304B" w:rsidP="00126425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126425">
        <w:rPr>
          <w:b/>
          <w:bCs/>
          <w:sz w:val="22"/>
          <w:szCs w:val="22"/>
          <w:lang w:val="en-TT"/>
        </w:rPr>
        <w:t>Global Evidence Synthesis Innovation Fund (GESIF)</w:t>
      </w:r>
      <w:r w:rsidRPr="00126425">
        <w:rPr>
          <w:sz w:val="22"/>
          <w:szCs w:val="22"/>
          <w:lang w:val="en-TT"/>
        </w:rPr>
        <w:t>: Funding for innovation in evidence synthesis and KT initiatives</w:t>
      </w:r>
      <w:r w:rsidR="00126425">
        <w:rPr>
          <w:sz w:val="22"/>
          <w:szCs w:val="22"/>
          <w:lang w:val="en-TT"/>
        </w:rPr>
        <w:t xml:space="preserve"> </w:t>
      </w:r>
      <w:r w:rsidR="00126425" w:rsidRPr="00F41CF7">
        <w:rPr>
          <w:b/>
          <w:bCs/>
          <w:sz w:val="22"/>
          <w:szCs w:val="22"/>
          <w:lang w:val="en-TT"/>
        </w:rPr>
        <w:t>(</w:t>
      </w:r>
      <w:r w:rsidR="004E2A32" w:rsidRPr="00F41CF7">
        <w:rPr>
          <w:b/>
          <w:bCs/>
          <w:sz w:val="22"/>
          <w:szCs w:val="22"/>
          <w:lang w:val="en-TT"/>
        </w:rPr>
        <w:t>$8,267,722</w:t>
      </w:r>
      <w:r w:rsidR="004E2A32">
        <w:rPr>
          <w:sz w:val="22"/>
          <w:szCs w:val="22"/>
          <w:lang w:val="en-TT"/>
        </w:rPr>
        <w:t>).</w:t>
      </w:r>
    </w:p>
    <w:p w14:paraId="1F28608B" w14:textId="58D35322" w:rsidR="0007304B" w:rsidRPr="004E2A32" w:rsidRDefault="0007304B" w:rsidP="004E2A32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4E2A32">
        <w:rPr>
          <w:b/>
          <w:bCs/>
          <w:sz w:val="22"/>
          <w:szCs w:val="22"/>
          <w:lang w:val="en-TT"/>
        </w:rPr>
        <w:t>Funders Forum</w:t>
      </w:r>
      <w:r w:rsidRPr="004E2A32">
        <w:rPr>
          <w:sz w:val="22"/>
          <w:szCs w:val="22"/>
          <w:lang w:val="en-TT"/>
        </w:rPr>
        <w:t>: A mechanism for aligning investments in evidence synthesis</w:t>
      </w:r>
      <w:r w:rsidR="004E2A32">
        <w:rPr>
          <w:sz w:val="22"/>
          <w:szCs w:val="22"/>
          <w:lang w:val="en-TT"/>
        </w:rPr>
        <w:t xml:space="preserve"> </w:t>
      </w:r>
      <w:r w:rsidR="00184E61" w:rsidRPr="00F41CF7">
        <w:rPr>
          <w:b/>
          <w:bCs/>
          <w:sz w:val="22"/>
          <w:szCs w:val="22"/>
          <w:lang w:val="en-TT"/>
        </w:rPr>
        <w:t>($693,395)</w:t>
      </w:r>
      <w:r w:rsidR="00F41CF7">
        <w:rPr>
          <w:b/>
          <w:bCs/>
          <w:sz w:val="22"/>
          <w:szCs w:val="22"/>
          <w:lang w:val="en-TT"/>
        </w:rPr>
        <w:t>.</w:t>
      </w:r>
    </w:p>
    <w:p w14:paraId="6B0C6DD0" w14:textId="4C230383" w:rsidR="0007304B" w:rsidRPr="00184E61" w:rsidRDefault="0007304B" w:rsidP="00184E6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en-TT"/>
        </w:rPr>
      </w:pPr>
      <w:r w:rsidRPr="00184E61">
        <w:rPr>
          <w:b/>
          <w:bCs/>
          <w:sz w:val="22"/>
          <w:szCs w:val="22"/>
          <w:lang w:val="en-TT"/>
        </w:rPr>
        <w:t>Capacity Sharing Monitoring, Evaluation, and Learning (MEL) System</w:t>
      </w:r>
      <w:r w:rsidRPr="00184E61">
        <w:rPr>
          <w:sz w:val="22"/>
          <w:szCs w:val="22"/>
          <w:lang w:val="en-TT"/>
        </w:rPr>
        <w:t>: A system to assess the impact of capacity-sharing initiatives across ESIC</w:t>
      </w:r>
      <w:r w:rsidR="00184E61">
        <w:rPr>
          <w:sz w:val="22"/>
          <w:szCs w:val="22"/>
          <w:lang w:val="en-TT"/>
        </w:rPr>
        <w:t xml:space="preserve"> </w:t>
      </w:r>
      <w:r w:rsidR="00184E61" w:rsidRPr="00F41CF7">
        <w:rPr>
          <w:b/>
          <w:bCs/>
          <w:sz w:val="22"/>
          <w:szCs w:val="22"/>
          <w:lang w:val="en-TT"/>
        </w:rPr>
        <w:t>(</w:t>
      </w:r>
      <w:r w:rsidR="00F41CF7" w:rsidRPr="00F41CF7">
        <w:rPr>
          <w:b/>
          <w:bCs/>
          <w:sz w:val="22"/>
          <w:szCs w:val="22"/>
          <w:lang w:val="en-TT"/>
        </w:rPr>
        <w:t>$1,074,276).</w:t>
      </w:r>
    </w:p>
    <w:p w14:paraId="03A95E9C" w14:textId="7C10F434" w:rsidR="00371BF5" w:rsidRDefault="00E50895" w:rsidP="00112020">
      <w:pPr>
        <w:jc w:val="both"/>
        <w:rPr>
          <w:sz w:val="22"/>
          <w:szCs w:val="22"/>
        </w:rPr>
      </w:pPr>
      <w:r>
        <w:rPr>
          <w:sz w:val="22"/>
          <w:szCs w:val="22"/>
          <w:lang w:val="en-TT"/>
        </w:rPr>
        <w:t>T</w:t>
      </w:r>
      <w:r w:rsidR="00C56535" w:rsidRPr="00C56535">
        <w:rPr>
          <w:sz w:val="22"/>
          <w:szCs w:val="22"/>
        </w:rPr>
        <w:t xml:space="preserve">he total solutions </w:t>
      </w:r>
      <w:r>
        <w:rPr>
          <w:sz w:val="22"/>
          <w:szCs w:val="22"/>
        </w:rPr>
        <w:t>bundle is</w:t>
      </w:r>
      <w:r w:rsidR="00C56535" w:rsidRPr="00C56535">
        <w:rPr>
          <w:sz w:val="22"/>
          <w:szCs w:val="22"/>
        </w:rPr>
        <w:t xml:space="preserve"> </w:t>
      </w:r>
      <w:r w:rsidR="004D5A81">
        <w:rPr>
          <w:sz w:val="22"/>
          <w:szCs w:val="22"/>
        </w:rPr>
        <w:t xml:space="preserve">estimated to cost </w:t>
      </w:r>
      <w:r w:rsidR="00C56535" w:rsidRPr="00C56535">
        <w:rPr>
          <w:sz w:val="22"/>
          <w:szCs w:val="22"/>
        </w:rPr>
        <w:t>approximately $40.2 million</w:t>
      </w:r>
      <w:r>
        <w:rPr>
          <w:sz w:val="22"/>
          <w:szCs w:val="22"/>
        </w:rPr>
        <w:t>.</w:t>
      </w:r>
    </w:p>
    <w:p w14:paraId="0F32EDB7" w14:textId="259E8050" w:rsidR="009909E6" w:rsidRPr="00592A80" w:rsidRDefault="004D5A81" w:rsidP="00112020">
      <w:pPr>
        <w:jc w:val="both"/>
        <w:rPr>
          <w:sz w:val="22"/>
          <w:szCs w:val="22"/>
          <w:lang w:val="en-TT"/>
        </w:rPr>
      </w:pPr>
      <w:r>
        <w:rPr>
          <w:sz w:val="22"/>
          <w:szCs w:val="22"/>
        </w:rPr>
        <w:t>T</w:t>
      </w:r>
      <w:r w:rsidRPr="004D5A81">
        <w:rPr>
          <w:sz w:val="22"/>
          <w:szCs w:val="22"/>
        </w:rPr>
        <w:t xml:space="preserve">he solutions align with </w:t>
      </w:r>
      <w:r>
        <w:rPr>
          <w:sz w:val="22"/>
          <w:szCs w:val="22"/>
        </w:rPr>
        <w:t>the SHOW-ME the evidence</w:t>
      </w:r>
      <w:r w:rsidR="00746B8A">
        <w:rPr>
          <w:sz w:val="22"/>
          <w:szCs w:val="22"/>
        </w:rPr>
        <w:t>,</w:t>
      </w:r>
      <w:r>
        <w:rPr>
          <w:sz w:val="22"/>
          <w:szCs w:val="22"/>
        </w:rPr>
        <w:t xml:space="preserve"> which are foundation</w:t>
      </w:r>
      <w:r w:rsidR="00746B8A">
        <w:rPr>
          <w:sz w:val="22"/>
          <w:szCs w:val="22"/>
        </w:rPr>
        <w:t xml:space="preserve">al principles </w:t>
      </w:r>
      <w:r>
        <w:rPr>
          <w:sz w:val="22"/>
          <w:szCs w:val="22"/>
        </w:rPr>
        <w:t>upon which the</w:t>
      </w:r>
      <w:r w:rsidR="00746B8A">
        <w:rPr>
          <w:sz w:val="22"/>
          <w:szCs w:val="22"/>
        </w:rPr>
        <w:t xml:space="preserve"> ESIC </w:t>
      </w:r>
      <w:r w:rsidR="00F00480">
        <w:rPr>
          <w:sz w:val="22"/>
          <w:szCs w:val="22"/>
        </w:rPr>
        <w:t xml:space="preserve">planning process is built. In this report we also </w:t>
      </w:r>
      <w:r w:rsidRPr="00371BF5">
        <w:rPr>
          <w:sz w:val="22"/>
          <w:szCs w:val="22"/>
        </w:rPr>
        <w:t xml:space="preserve">assess how </w:t>
      </w:r>
      <w:r w:rsidR="00F00480">
        <w:rPr>
          <w:sz w:val="22"/>
          <w:szCs w:val="22"/>
        </w:rPr>
        <w:t>each</w:t>
      </w:r>
      <w:r w:rsidRPr="00371BF5">
        <w:rPr>
          <w:sz w:val="22"/>
          <w:szCs w:val="22"/>
        </w:rPr>
        <w:t xml:space="preserve"> solution </w:t>
      </w:r>
      <w:r w:rsidR="00F00480">
        <w:rPr>
          <w:sz w:val="22"/>
          <w:szCs w:val="22"/>
        </w:rPr>
        <w:t>can</w:t>
      </w:r>
      <w:r w:rsidRPr="00371BF5">
        <w:rPr>
          <w:sz w:val="22"/>
          <w:szCs w:val="22"/>
        </w:rPr>
        <w:t xml:space="preserve"> enhance maturity in </w:t>
      </w:r>
      <w:r>
        <w:rPr>
          <w:sz w:val="22"/>
          <w:szCs w:val="22"/>
        </w:rPr>
        <w:t xml:space="preserve">capacity sharing </w:t>
      </w:r>
      <w:r w:rsidRPr="00371BF5">
        <w:rPr>
          <w:sz w:val="22"/>
          <w:szCs w:val="22"/>
        </w:rPr>
        <w:t>processes</w:t>
      </w:r>
      <w:r w:rsidR="007C54B1">
        <w:rPr>
          <w:sz w:val="22"/>
          <w:szCs w:val="22"/>
        </w:rPr>
        <w:t xml:space="preserve"> for evidence synthesis</w:t>
      </w:r>
      <w:r w:rsidRPr="00371BF5">
        <w:rPr>
          <w:sz w:val="22"/>
          <w:szCs w:val="22"/>
        </w:rPr>
        <w:t>, addressing current gaps and limitations</w:t>
      </w:r>
      <w:r>
        <w:rPr>
          <w:sz w:val="22"/>
          <w:szCs w:val="22"/>
        </w:rPr>
        <w:t xml:space="preserve">. </w:t>
      </w:r>
    </w:p>
    <w:p w14:paraId="76BEF7DE" w14:textId="7EE2DC49" w:rsidR="00A022A1" w:rsidRPr="00592A80" w:rsidRDefault="00756567" w:rsidP="00112020">
      <w:pPr>
        <w:jc w:val="both"/>
        <w:rPr>
          <w:rFonts w:cs="Arial"/>
          <w:color w:val="0B769F" w:themeColor="accent4" w:themeShade="BF"/>
          <w:sz w:val="22"/>
          <w:szCs w:val="22"/>
          <w:lang w:val="en-US"/>
        </w:rPr>
      </w:pPr>
      <w:r w:rsidRPr="00592A80">
        <w:rPr>
          <w:sz w:val="22"/>
          <w:szCs w:val="22"/>
          <w:lang w:val="en-TT"/>
        </w:rPr>
        <w:t xml:space="preserve">. </w:t>
      </w:r>
      <w:r w:rsidR="00A022A1" w:rsidRPr="00592A80">
        <w:rPr>
          <w:rFonts w:cs="Arial"/>
          <w:color w:val="0B769F" w:themeColor="accent4" w:themeShade="BF"/>
          <w:sz w:val="22"/>
          <w:szCs w:val="22"/>
          <w:lang w:val="en-US"/>
        </w:rPr>
        <w:br w:type="page"/>
      </w:r>
    </w:p>
    <w:p w14:paraId="5180873F" w14:textId="53E4794B" w:rsidR="007A4233" w:rsidRPr="00592A80" w:rsidRDefault="007A4233" w:rsidP="00482104">
      <w:pPr>
        <w:pStyle w:val="ESIC1"/>
        <w:contextualSpacing/>
        <w:rPr>
          <w:rFonts w:asciiTheme="minorHAnsi" w:hAnsiTheme="minorHAnsi"/>
          <w:sz w:val="22"/>
          <w:szCs w:val="22"/>
        </w:rPr>
      </w:pPr>
      <w:r w:rsidRPr="00592A80">
        <w:rPr>
          <w:rFonts w:asciiTheme="minorHAnsi" w:hAnsiTheme="minorHAnsi"/>
          <w:sz w:val="22"/>
          <w:szCs w:val="22"/>
        </w:rPr>
        <w:lastRenderedPageBreak/>
        <w:t>INTRODUCTION</w:t>
      </w:r>
    </w:p>
    <w:p w14:paraId="03AD63F7" w14:textId="613CF9FD" w:rsidR="001462D7" w:rsidRPr="00592A80" w:rsidRDefault="00592A80" w:rsidP="0010550D">
      <w:pPr>
        <w:contextualSpacing/>
        <w:jc w:val="both"/>
        <w:rPr>
          <w:sz w:val="22"/>
          <w:szCs w:val="22"/>
        </w:rPr>
      </w:pPr>
      <w:r w:rsidRPr="00592A80">
        <w:rPr>
          <w:noProof/>
          <w:sz w:val="22"/>
          <w:szCs w:val="22"/>
        </w:rPr>
        <mc:AlternateContent>
          <mc:Choice Requires="wpg">
            <w:drawing>
              <wp:anchor distT="45720" distB="45720" distL="182880" distR="182880" simplePos="0" relativeHeight="251658241" behindDoc="0" locked="0" layoutInCell="1" allowOverlap="1" wp14:anchorId="4BC54191" wp14:editId="475C7106">
                <wp:simplePos x="0" y="0"/>
                <wp:positionH relativeFrom="margin">
                  <wp:posOffset>1890395</wp:posOffset>
                </wp:positionH>
                <wp:positionV relativeFrom="margin">
                  <wp:posOffset>802640</wp:posOffset>
                </wp:positionV>
                <wp:extent cx="4334510" cy="4138295"/>
                <wp:effectExtent l="0" t="0" r="27940" b="14605"/>
                <wp:wrapSquare wrapText="bothSides"/>
                <wp:docPr id="198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4138295"/>
                          <a:chOff x="0" y="2"/>
                          <a:chExt cx="3567448" cy="334116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2"/>
                            <a:ext cx="3567448" cy="80474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255FA" w14:textId="77777777" w:rsidR="009030D9" w:rsidRPr="005E3115" w:rsidRDefault="003E2CF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</w:pPr>
                              <w:r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>Box 1</w:t>
                              </w:r>
                              <w:r w:rsidR="009030D9"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 xml:space="preserve">: </w:t>
                              </w:r>
                              <w:r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>Planning process</w:t>
                              </w:r>
                            </w:p>
                            <w:p w14:paraId="7D0E2D58" w14:textId="448AE924" w:rsidR="003E2CF1" w:rsidRPr="005E3115" w:rsidRDefault="00903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</w:pPr>
                              <w:r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 xml:space="preserve">WG5: </w:t>
                              </w:r>
                              <w:r w:rsidR="004913BD"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 xml:space="preserve">Capacity sharing: </w:t>
                              </w:r>
                              <w:r w:rsidR="00C709BF"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>Build</w:t>
                              </w:r>
                              <w:r w:rsidR="00FD4B48"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>ing</w:t>
                              </w:r>
                              <w:r w:rsidR="00C709BF" w:rsidRPr="005E31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2"/>
                                  <w:szCs w:val="22"/>
                                  <w:lang w:val="en-TT"/>
                                </w:rPr>
                                <w:t xml:space="preserve"> a global community with the capabilities to deliver and use evidence synthesis across all major societal questions.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81694"/>
                            <a:ext cx="3567448" cy="2459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18574" w14:textId="47DE7925" w:rsidR="003E2CF1" w:rsidRPr="003E2CF1" w:rsidRDefault="003E2CF1" w:rsidP="003E2CF1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Stage 1:</w:t>
                              </w:r>
                              <w:r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1053D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Where are we? </w:t>
                              </w:r>
                              <w:r w:rsidR="00526F46" w:rsidRPr="00526F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What have we got and what are we missing?</w:t>
                              </w:r>
                              <w:r w:rsidR="00F3174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C625B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Identify</w:t>
                              </w:r>
                              <w:r w:rsidR="00523CA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141F0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 w:rsidR="00523CA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roblem</w:t>
                              </w:r>
                              <w:r w:rsidR="00C625B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  <w:r w:rsidR="00523CA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, </w:t>
                              </w:r>
                              <w:r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existing capabilities and gaps</w:t>
                              </w:r>
                              <w:r w:rsidR="00141F0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4C69A2B5" w14:textId="5B851E20" w:rsidR="003E2CF1" w:rsidRDefault="00141F05" w:rsidP="00141F0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Stage2: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F3174A" w:rsidRPr="00F3174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Wh</w:t>
                              </w:r>
                              <w:r w:rsidR="001549B2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ere do we want to go? What</w:t>
                              </w:r>
                              <w:r w:rsidR="00F3174A" w:rsidRPr="00F3174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do we need</w:t>
                              </w:r>
                              <w:r w:rsidR="00F3174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? 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Creat</w:t>
                              </w:r>
                              <w:r w:rsidR="004C4C2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v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ision 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for capacity sharing</w:t>
                              </w:r>
                              <w:r w:rsidR="001D7C5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  <w:r w:rsidR="00D7040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C625B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conduct </w:t>
                              </w:r>
                              <w:r w:rsidR="0009109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CMA 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to identify </w:t>
                              </w:r>
                              <w:r w:rsidR="0017671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areas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for strengthening</w:t>
                              </w:r>
                              <w:r w:rsidR="0009109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0B93E55B" w14:textId="0015CDD6" w:rsidR="003E2CF1" w:rsidRPr="003E2CF1" w:rsidRDefault="0009109F" w:rsidP="0009109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Stage 3: </w:t>
                              </w:r>
                              <w:r w:rsidR="00E24C3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How do we get there? </w:t>
                              </w:r>
                              <w:r w:rsidR="00D67B0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Identif</w:t>
                              </w:r>
                              <w:r w:rsidR="004C4C2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 w:rsidR="00D67B0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E24C3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a long list of </w:t>
                              </w:r>
                              <w:r w:rsidR="00D67B0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olutions </w:t>
                              </w:r>
                              <w:r w:rsidR="00AA3E1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to strengthen 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capabilities and </w:t>
                              </w:r>
                              <w:r w:rsidR="00AA3E1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close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identified gaps </w:t>
                              </w:r>
                            </w:p>
                            <w:p w14:paraId="43D2813E" w14:textId="3FFA5FA5" w:rsidR="003E2CF1" w:rsidRDefault="00AA3E13" w:rsidP="00AA3E13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Stage 4a: 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What will make the biggest impact: </w:t>
                              </w:r>
                              <w:r w:rsidR="004C4C2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Conduct i</w:t>
                              </w:r>
                              <w:r w:rsidR="004A34C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mpact-effort assessment to prioritize solutions. </w:t>
                              </w:r>
                              <w:r w:rsidR="008E328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Result: </w:t>
                              </w:r>
                              <w:r w:rsidR="003E2CF1" w:rsidRPr="003E2CF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10 high-impact solutions</w:t>
                              </w:r>
                              <w:r w:rsidR="004A34C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8E328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for investment</w:t>
                              </w:r>
                              <w:r w:rsidR="004A34C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23EE7D56" w14:textId="523CB5A0" w:rsidR="003E2CF1" w:rsidRDefault="004A34CD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</w:rPr>
                              </w:pPr>
                              <w:r w:rsidRPr="00E15B84">
                                <w:rPr>
                                  <w:color w:val="0B769F"/>
                                  <w:sz w:val="22"/>
                                  <w:szCs w:val="22"/>
                                  <w:lang w:val="en-US"/>
                                </w:rPr>
                                <w:t xml:space="preserve">Stage 4b: </w:t>
                              </w:r>
                              <w:r w:rsidR="001053D6" w:rsidRPr="002B172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Bringing it all together: </w:t>
                              </w:r>
                              <w:r w:rsidR="0062339A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Wha</w:t>
                              </w:r>
                              <w:r w:rsidR="002B172D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="0062339A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is the estimated cost of the solution bundle?</w:t>
                              </w:r>
                              <w:r w:rsidR="00EE5331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How </w:t>
                              </w:r>
                              <w:r w:rsidR="002B172D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do</w:t>
                              </w:r>
                              <w:r w:rsidR="00EE5331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the</w:t>
                              </w:r>
                              <w:r w:rsidR="002F3E23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solutions reflect capability maturity?</w:t>
                              </w:r>
                              <w:r w:rsidR="002B172D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D10FBA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How do </w:t>
                              </w:r>
                              <w:r w:rsidR="001462D7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the solutions</w:t>
                              </w:r>
                              <w:r w:rsidR="00D10FBA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promote the </w:t>
                              </w:r>
                              <w:hyperlink r:id="rId11" w:history="1">
                                <w:r w:rsidR="00D10FBA" w:rsidRPr="008E4AA6">
                                  <w:rPr>
                                    <w:rStyle w:val="Hyperlink"/>
                                    <w:color w:val="0B769F"/>
                                    <w:sz w:val="22"/>
                                    <w:szCs w:val="22"/>
                                    <w:lang w:val="en-US"/>
                                  </w:rPr>
                                  <w:t>SHOW-ME</w:t>
                                </w:r>
                              </w:hyperlink>
                              <w:r w:rsidR="00D10FBA" w:rsidRPr="008E4AA6">
                                <w:rPr>
                                  <w:color w:val="0B769F"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D10FBA" w:rsidRPr="00E15B84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principles?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group id="Group 203" style="position:absolute;left:0;text-align:left;margin-left:148.85pt;margin-top:63.2pt;width:341.3pt;height:325.85pt;z-index:251658241;mso-wrap-distance-left:14.4pt;mso-wrap-distance-top:3.6pt;mso-wrap-distance-right:14.4pt;mso-wrap-distance-bottom:3.6pt;mso-position-horizontal-relative:margin;mso-position-vertical-relative:margin;mso-width-relative:margin;mso-height-relative:margin" coordsize="35674,33411" coordorigin="" o:spid="_x0000_s1027" w14:anchorId="4BC5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">
                <v:rect id="Rectangle 199" style="position:absolute;width:35674;height:8047;visibility:visible;mso-wrap-style:square;v-text-anchor:middle" o:spid="_x0000_s1028" fillcolor="#156082 [3204]" strokecolor="#074e69 [1607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">
                  <v:textbox>
                    <w:txbxContent>
                      <w:p w:rsidRPr="005E3115" w:rsidR="009030D9" w:rsidRDefault="003E2CF1" w14:paraId="62B255FA" w14:textId="77777777">
                        <w:pPr>
                          <w:jc w:val="center"/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</w:pPr>
                        <w:r w:rsidRPr="005E3115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>Box 1</w:t>
                        </w:r>
                        <w:r w:rsidRPr="005E3115" w:rsidR="009030D9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 xml:space="preserve">: </w:t>
                        </w:r>
                        <w:r w:rsidRPr="005E3115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>Planning process</w:t>
                        </w:r>
                      </w:p>
                      <w:p w:rsidRPr="005E3115" w:rsidR="003E2CF1" w:rsidRDefault="009030D9" w14:paraId="7D0E2D58" w14:textId="448AE924">
                        <w:pPr>
                          <w:jc w:val="center"/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</w:pPr>
                        <w:r w:rsidRPr="005E3115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 xml:space="preserve">WG5: </w:t>
                        </w:r>
                        <w:r w:rsidRPr="005E3115" w:rsidR="004913BD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 xml:space="preserve">Capacity sharing: </w:t>
                        </w:r>
                        <w:r w:rsidRPr="005E3115" w:rsidR="00C709BF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>Build</w:t>
                        </w:r>
                        <w:r w:rsidRPr="005E3115" w:rsidR="00FD4B48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>ing</w:t>
                        </w:r>
                        <w:r w:rsidRPr="005E3115" w:rsidR="00C709BF"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2"/>
                            <w:szCs w:val="22"/>
                            <w:lang w:val="en-TT"/>
                          </w:rPr>
                          <w:t xml:space="preserve"> a global community with the capabilities to deliver and use evidence synthesis across all major societal questions.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style="position:absolute;top:8816;width:35674;height:24595;visibility:visible;mso-wrap-style:square;v-text-anchor:top" o:spid="_x0000_s1029" filled="f" strokecolor="#074e69 [1607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">
                  <v:textbox inset=",7.2pt,,0">
                    <w:txbxContent>
                      <w:p w:rsidRPr="003E2CF1" w:rsidR="003E2CF1" w:rsidP="003E2CF1" w:rsidRDefault="003E2CF1" w14:paraId="63018574" w14:textId="47DE7925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Stage 1:</w:t>
                        </w:r>
                        <w:r w:rsidRP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053D6">
                          <w:rPr>
                            <w:sz w:val="22"/>
                            <w:szCs w:val="22"/>
                            <w:lang w:val="en-US"/>
                          </w:rPr>
                          <w:t xml:space="preserve">Where are we? </w:t>
                        </w:r>
                        <w:r w:rsidRPr="00526F46" w:rsidR="00526F46">
                          <w:rPr>
                            <w:sz w:val="22"/>
                            <w:szCs w:val="22"/>
                            <w:lang w:val="en-US"/>
                          </w:rPr>
                          <w:t>What have we got and what are we missing?</w:t>
                        </w:r>
                        <w:r w:rsidR="00F3174A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C625B1">
                          <w:rPr>
                            <w:sz w:val="22"/>
                            <w:szCs w:val="22"/>
                            <w:lang w:val="en-US"/>
                          </w:rPr>
                          <w:t>Identify</w:t>
                        </w:r>
                        <w:r w:rsidR="00523CA7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41F05">
                          <w:rPr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 w:rsidR="00523CA7">
                          <w:rPr>
                            <w:sz w:val="22"/>
                            <w:szCs w:val="22"/>
                            <w:lang w:val="en-US"/>
                          </w:rPr>
                          <w:t>roblem</w:t>
                        </w:r>
                        <w:r w:rsidR="00C625B1">
                          <w:rPr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 w:rsidR="00523CA7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3E2CF1">
                          <w:rPr>
                            <w:sz w:val="22"/>
                            <w:szCs w:val="22"/>
                            <w:lang w:val="en-US"/>
                          </w:rPr>
                          <w:t>existing capabilities and gaps</w:t>
                        </w:r>
                        <w:r w:rsidR="00141F05">
                          <w:rPr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:rsidR="003E2CF1" w:rsidP="00141F05" w:rsidRDefault="00141F05" w14:paraId="4C69A2B5" w14:textId="5B851E20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Stage2: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F3174A" w:rsidR="00F3174A">
                          <w:rPr>
                            <w:sz w:val="22"/>
                            <w:szCs w:val="22"/>
                            <w:lang w:val="en-US"/>
                          </w:rPr>
                          <w:t>Wh</w:t>
                        </w:r>
                        <w:r w:rsidR="001549B2">
                          <w:rPr>
                            <w:sz w:val="22"/>
                            <w:szCs w:val="22"/>
                            <w:lang w:val="en-US"/>
                          </w:rPr>
                          <w:t>ere do we want to go? What</w:t>
                        </w:r>
                        <w:r w:rsidRPr="00F3174A" w:rsidR="00F3174A">
                          <w:rPr>
                            <w:sz w:val="22"/>
                            <w:szCs w:val="22"/>
                            <w:lang w:val="en-US"/>
                          </w:rPr>
                          <w:t xml:space="preserve"> do we need</w:t>
                        </w:r>
                        <w:r w:rsidR="00F3174A">
                          <w:rPr>
                            <w:sz w:val="22"/>
                            <w:szCs w:val="22"/>
                            <w:lang w:val="en-US"/>
                          </w:rPr>
                          <w:t xml:space="preserve">?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Creat</w:t>
                        </w:r>
                        <w:r w:rsidR="004C4C27">
                          <w:rPr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v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ision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for capacity sharing</w:t>
                        </w:r>
                        <w:r w:rsidR="001D7C59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  <w:r w:rsidR="00D7040B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C625B1">
                          <w:rPr>
                            <w:sz w:val="22"/>
                            <w:szCs w:val="22"/>
                            <w:lang w:val="en-US"/>
                          </w:rPr>
                          <w:t xml:space="preserve">conduct </w:t>
                        </w:r>
                        <w:r w:rsidR="0009109F">
                          <w:rPr>
                            <w:sz w:val="22"/>
                            <w:szCs w:val="22"/>
                            <w:lang w:val="en-US"/>
                          </w:rPr>
                          <w:t xml:space="preserve">CMA 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to identify </w:t>
                        </w:r>
                        <w:r w:rsidR="0017671F">
                          <w:rPr>
                            <w:sz w:val="22"/>
                            <w:szCs w:val="22"/>
                            <w:lang w:val="en-US"/>
                          </w:rPr>
                          <w:t>areas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 for strengthening</w:t>
                        </w:r>
                        <w:r w:rsidR="0009109F">
                          <w:rPr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:rsidRPr="003E2CF1" w:rsidR="003E2CF1" w:rsidP="0009109F" w:rsidRDefault="0009109F" w14:paraId="0B93E55B" w14:textId="0015CDD6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Stage 3: </w:t>
                        </w:r>
                        <w:r w:rsidR="00E24C36">
                          <w:rPr>
                            <w:sz w:val="22"/>
                            <w:szCs w:val="22"/>
                            <w:lang w:val="en-US"/>
                          </w:rPr>
                          <w:t xml:space="preserve">How do we get there? </w:t>
                        </w:r>
                        <w:r w:rsidR="00D67B07">
                          <w:rPr>
                            <w:sz w:val="22"/>
                            <w:szCs w:val="22"/>
                            <w:lang w:val="en-US"/>
                          </w:rPr>
                          <w:t>Identif</w:t>
                        </w:r>
                        <w:r w:rsidR="004C4C27">
                          <w:rPr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 w:rsidR="00D67B07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24C36">
                          <w:rPr>
                            <w:sz w:val="22"/>
                            <w:szCs w:val="22"/>
                            <w:lang w:val="en-US"/>
                          </w:rPr>
                          <w:t xml:space="preserve">a long list of </w:t>
                        </w:r>
                        <w:r w:rsidR="00D67B07">
                          <w:rPr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olutions </w:t>
                        </w:r>
                        <w:r w:rsidR="00AA3E13">
                          <w:rPr>
                            <w:sz w:val="22"/>
                            <w:szCs w:val="22"/>
                            <w:lang w:val="en-US"/>
                          </w:rPr>
                          <w:t xml:space="preserve">to strengthen 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capabilities and </w:t>
                        </w:r>
                        <w:r w:rsidR="00AA3E13">
                          <w:rPr>
                            <w:sz w:val="22"/>
                            <w:szCs w:val="22"/>
                            <w:lang w:val="en-US"/>
                          </w:rPr>
                          <w:t>close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 identified gaps </w:t>
                        </w:r>
                      </w:p>
                      <w:p w:rsidR="003E2CF1" w:rsidP="00AA3E13" w:rsidRDefault="00AA3E13" w14:paraId="43D2813E" w14:textId="3FFA5FA5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Stage 4a: 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 xml:space="preserve">What will make the biggest impact: </w:t>
                        </w:r>
                        <w:r w:rsidR="004C4C27">
                          <w:rPr>
                            <w:sz w:val="22"/>
                            <w:szCs w:val="22"/>
                            <w:lang w:val="en-US"/>
                          </w:rPr>
                          <w:t>Conduct i</w:t>
                        </w:r>
                        <w:r w:rsidR="004A34CD">
                          <w:rPr>
                            <w:sz w:val="22"/>
                            <w:szCs w:val="22"/>
                            <w:lang w:val="en-US"/>
                          </w:rPr>
                          <w:t xml:space="preserve">mpact-effort assessment to prioritize solutions. </w:t>
                        </w:r>
                        <w:r w:rsidR="008E3288">
                          <w:rPr>
                            <w:sz w:val="22"/>
                            <w:szCs w:val="22"/>
                            <w:lang w:val="en-US"/>
                          </w:rPr>
                          <w:t xml:space="preserve">Result: </w:t>
                        </w:r>
                        <w:r w:rsidRPr="003E2CF1" w:rsidR="003E2CF1">
                          <w:rPr>
                            <w:sz w:val="22"/>
                            <w:szCs w:val="22"/>
                            <w:lang w:val="en-US"/>
                          </w:rPr>
                          <w:t>10 high-impact solutions</w:t>
                        </w:r>
                        <w:r w:rsidR="004A34CD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8E3288">
                          <w:rPr>
                            <w:sz w:val="22"/>
                            <w:szCs w:val="22"/>
                            <w:lang w:val="en-US"/>
                          </w:rPr>
                          <w:t>for investment</w:t>
                        </w:r>
                        <w:r w:rsidR="004A34CD">
                          <w:rPr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:rsidR="003E2CF1" w:rsidRDefault="004A34CD" w14:paraId="23EE7D56" w14:textId="523CB5A0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</w:rPr>
                        </w:pPr>
                        <w:r w:rsidRPr="00E15B84">
                          <w:rPr>
                            <w:color w:val="0B769F"/>
                            <w:sz w:val="22"/>
                            <w:szCs w:val="22"/>
                            <w:lang w:val="en-US"/>
                          </w:rPr>
                          <w:t xml:space="preserve">Stage 4b: </w:t>
                        </w:r>
                        <w:r w:rsidRPr="002B172D" w:rsidR="001053D6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Bringing it all together: </w:t>
                        </w:r>
                        <w:r w:rsidRPr="00E15B84" w:rsidR="0062339A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Wha</w:t>
                        </w:r>
                        <w:r w:rsidRPr="00E15B84" w:rsidR="002B172D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E15B84" w:rsidR="0062339A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is the estimated cost of the solution bundle?</w:t>
                        </w:r>
                        <w:r w:rsidRPr="00E15B84" w:rsidR="00EE5331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How </w:t>
                        </w:r>
                        <w:r w:rsidRPr="00E15B84" w:rsidR="002B172D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do</w:t>
                        </w:r>
                        <w:r w:rsidRPr="00E15B84" w:rsidR="00EE5331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the</w:t>
                        </w:r>
                        <w:r w:rsidR="002F3E23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solutions reflect capability maturity?</w:t>
                        </w:r>
                        <w:r w:rsidRPr="00E15B84" w:rsidR="002B172D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E15B84" w:rsidR="00D10FBA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How do </w:t>
                        </w:r>
                        <w:r w:rsidR="001462D7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the solutions</w:t>
                        </w:r>
                        <w:r w:rsidRPr="00E15B84" w:rsidR="00D10FBA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promote the </w:t>
                        </w:r>
                        <w:hyperlink w:history="1" r:id="rId12">
                          <w:r w:rsidRPr="008E4AA6" w:rsidR="00D10FBA">
                            <w:rPr>
                              <w:rStyle w:val="Hyperlink"/>
                              <w:color w:val="0B769F"/>
                              <w:sz w:val="22"/>
                              <w:szCs w:val="22"/>
                              <w:lang w:val="en-US"/>
                            </w:rPr>
                            <w:t>SHOW-ME</w:t>
                          </w:r>
                        </w:hyperlink>
                        <w:r w:rsidRPr="008E4AA6" w:rsidR="00D10FBA">
                          <w:rPr>
                            <w:color w:val="0B769F"/>
                            <w:sz w:val="22"/>
                            <w:szCs w:val="22"/>
                            <w:u w:val="single"/>
                            <w:lang w:val="en-US"/>
                          </w:rPr>
                          <w:t xml:space="preserve"> </w:t>
                        </w:r>
                        <w:r w:rsidRPr="00E15B84" w:rsidR="00D10FBA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principles?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F2B54" w:rsidRPr="00592A80">
        <w:rPr>
          <w:sz w:val="22"/>
          <w:szCs w:val="22"/>
        </w:rPr>
        <w:t xml:space="preserve">In report 4a we presented the results of a two-phased prioritization process </w:t>
      </w:r>
      <w:r w:rsidR="000F41FA" w:rsidRPr="00592A80">
        <w:rPr>
          <w:sz w:val="22"/>
          <w:szCs w:val="22"/>
        </w:rPr>
        <w:t xml:space="preserve">in which the solutions developed in stage 3 were </w:t>
      </w:r>
      <w:r w:rsidR="004D658A" w:rsidRPr="00592A80">
        <w:rPr>
          <w:sz w:val="22"/>
          <w:szCs w:val="22"/>
        </w:rPr>
        <w:t>examined</w:t>
      </w:r>
      <w:r w:rsidR="00DF31D5" w:rsidRPr="00592A80">
        <w:rPr>
          <w:sz w:val="22"/>
          <w:szCs w:val="22"/>
        </w:rPr>
        <w:t xml:space="preserve"> in relation</w:t>
      </w:r>
      <w:r w:rsidR="000F41FA" w:rsidRPr="00592A80">
        <w:rPr>
          <w:sz w:val="22"/>
          <w:szCs w:val="22"/>
        </w:rPr>
        <w:t xml:space="preserve"> to </w:t>
      </w:r>
      <w:r w:rsidR="00994AF3" w:rsidRPr="00592A80">
        <w:rPr>
          <w:sz w:val="22"/>
          <w:szCs w:val="22"/>
        </w:rPr>
        <w:t>the</w:t>
      </w:r>
      <w:r w:rsidR="007A7C23">
        <w:rPr>
          <w:sz w:val="22"/>
          <w:szCs w:val="22"/>
        </w:rPr>
        <w:t>ir</w:t>
      </w:r>
      <w:r w:rsidR="00994AF3" w:rsidRPr="00592A80">
        <w:rPr>
          <w:sz w:val="22"/>
          <w:szCs w:val="22"/>
        </w:rPr>
        <w:t xml:space="preserve"> e</w:t>
      </w:r>
      <w:r w:rsidR="009C3C8A" w:rsidRPr="00592A80">
        <w:rPr>
          <w:sz w:val="22"/>
          <w:szCs w:val="22"/>
        </w:rPr>
        <w:t xml:space="preserve">xpected </w:t>
      </w:r>
      <w:r w:rsidR="000F41FA" w:rsidRPr="00592A80">
        <w:rPr>
          <w:sz w:val="22"/>
          <w:szCs w:val="22"/>
        </w:rPr>
        <w:t>magnitude</w:t>
      </w:r>
      <w:r w:rsidR="00994AF3" w:rsidRPr="00592A80">
        <w:rPr>
          <w:sz w:val="22"/>
          <w:szCs w:val="22"/>
        </w:rPr>
        <w:t xml:space="preserve"> </w:t>
      </w:r>
      <w:r w:rsidR="004D658A" w:rsidRPr="00592A80">
        <w:rPr>
          <w:sz w:val="22"/>
          <w:szCs w:val="22"/>
        </w:rPr>
        <w:t>and</w:t>
      </w:r>
      <w:r w:rsidR="000F41FA" w:rsidRPr="00592A80">
        <w:rPr>
          <w:sz w:val="22"/>
          <w:szCs w:val="22"/>
        </w:rPr>
        <w:t xml:space="preserve"> </w:t>
      </w:r>
      <w:r w:rsidR="00611E4E" w:rsidRPr="00592A80">
        <w:rPr>
          <w:sz w:val="22"/>
          <w:szCs w:val="22"/>
        </w:rPr>
        <w:t>meaningfulness of benefit</w:t>
      </w:r>
      <w:r w:rsidR="00180BBA" w:rsidRPr="00592A80">
        <w:rPr>
          <w:sz w:val="22"/>
          <w:szCs w:val="22"/>
        </w:rPr>
        <w:t xml:space="preserve">, </w:t>
      </w:r>
      <w:r w:rsidR="00611E4E" w:rsidRPr="00592A80">
        <w:rPr>
          <w:sz w:val="22"/>
          <w:szCs w:val="22"/>
        </w:rPr>
        <w:t xml:space="preserve">and </w:t>
      </w:r>
      <w:r w:rsidR="001A04AF">
        <w:rPr>
          <w:sz w:val="22"/>
          <w:szCs w:val="22"/>
        </w:rPr>
        <w:t>judgement</w:t>
      </w:r>
      <w:r w:rsidR="001B337D" w:rsidRPr="00592A80">
        <w:rPr>
          <w:sz w:val="22"/>
          <w:szCs w:val="22"/>
        </w:rPr>
        <w:t xml:space="preserve"> </w:t>
      </w:r>
      <w:r w:rsidR="001A04AF">
        <w:rPr>
          <w:sz w:val="22"/>
          <w:szCs w:val="22"/>
        </w:rPr>
        <w:t>about</w:t>
      </w:r>
      <w:r w:rsidR="001B337D" w:rsidRPr="00592A80">
        <w:rPr>
          <w:sz w:val="22"/>
          <w:szCs w:val="22"/>
        </w:rPr>
        <w:t xml:space="preserve"> the effort</w:t>
      </w:r>
      <w:r w:rsidR="00180BBA" w:rsidRPr="00592A80">
        <w:rPr>
          <w:sz w:val="22"/>
          <w:szCs w:val="22"/>
        </w:rPr>
        <w:t xml:space="preserve"> (</w:t>
      </w:r>
      <w:r w:rsidR="001B337D" w:rsidRPr="001B337D">
        <w:rPr>
          <w:sz w:val="22"/>
          <w:szCs w:val="22"/>
          <w:lang w:val="en-TT"/>
        </w:rPr>
        <w:t xml:space="preserve">time, funding, </w:t>
      </w:r>
      <w:r w:rsidR="00180BBA" w:rsidRPr="00592A80">
        <w:rPr>
          <w:sz w:val="22"/>
          <w:szCs w:val="22"/>
          <w:lang w:val="en-TT"/>
        </w:rPr>
        <w:t xml:space="preserve">and </w:t>
      </w:r>
      <w:r w:rsidR="001B337D" w:rsidRPr="001B337D">
        <w:rPr>
          <w:sz w:val="22"/>
          <w:szCs w:val="22"/>
          <w:lang w:val="en-TT"/>
        </w:rPr>
        <w:t>manpower</w:t>
      </w:r>
      <w:r w:rsidR="00180BBA" w:rsidRPr="00592A80">
        <w:rPr>
          <w:sz w:val="22"/>
          <w:szCs w:val="22"/>
          <w:lang w:val="en-TT"/>
        </w:rPr>
        <w:t xml:space="preserve"> </w:t>
      </w:r>
      <w:r w:rsidR="00F04BF8" w:rsidRPr="00592A80">
        <w:rPr>
          <w:sz w:val="22"/>
          <w:szCs w:val="22"/>
          <w:lang w:val="en-TT"/>
        </w:rPr>
        <w:t>resources</w:t>
      </w:r>
      <w:r w:rsidR="002138AC" w:rsidRPr="00592A80">
        <w:rPr>
          <w:sz w:val="22"/>
          <w:szCs w:val="22"/>
          <w:lang w:val="en-TT"/>
        </w:rPr>
        <w:t>)</w:t>
      </w:r>
      <w:r w:rsidR="00F04BF8" w:rsidRPr="00592A80">
        <w:rPr>
          <w:sz w:val="22"/>
          <w:szCs w:val="22"/>
          <w:lang w:val="en-TT"/>
        </w:rPr>
        <w:t xml:space="preserve"> </w:t>
      </w:r>
      <w:r w:rsidR="002138AC" w:rsidRPr="00592A80">
        <w:rPr>
          <w:sz w:val="22"/>
          <w:szCs w:val="22"/>
          <w:lang w:val="en-TT"/>
        </w:rPr>
        <w:t>that will be r</w:t>
      </w:r>
      <w:r w:rsidR="001B337D" w:rsidRPr="001B337D">
        <w:rPr>
          <w:sz w:val="22"/>
          <w:szCs w:val="22"/>
          <w:lang w:val="en-TT"/>
        </w:rPr>
        <w:t>equired to implement the</w:t>
      </w:r>
      <w:r w:rsidR="00180BBA" w:rsidRPr="00592A80">
        <w:rPr>
          <w:sz w:val="22"/>
          <w:szCs w:val="22"/>
          <w:lang w:val="en-TT"/>
        </w:rPr>
        <w:t xml:space="preserve">m. </w:t>
      </w:r>
      <w:r w:rsidR="00AF2B54" w:rsidRPr="00592A80">
        <w:rPr>
          <w:sz w:val="22"/>
          <w:szCs w:val="22"/>
        </w:rPr>
        <w:t xml:space="preserve">This </w:t>
      </w:r>
      <w:r w:rsidR="00C84387" w:rsidRPr="00592A80">
        <w:rPr>
          <w:sz w:val="22"/>
          <w:szCs w:val="22"/>
        </w:rPr>
        <w:t>prioritization exercise</w:t>
      </w:r>
      <w:r w:rsidR="00AF2B54" w:rsidRPr="00592A80">
        <w:rPr>
          <w:sz w:val="22"/>
          <w:szCs w:val="22"/>
        </w:rPr>
        <w:t xml:space="preserve"> </w:t>
      </w:r>
      <w:r w:rsidR="00F85AE4" w:rsidRPr="00592A80">
        <w:rPr>
          <w:sz w:val="22"/>
          <w:szCs w:val="22"/>
        </w:rPr>
        <w:t xml:space="preserve">resulted in </w:t>
      </w:r>
      <w:r w:rsidR="004E2A1C">
        <w:rPr>
          <w:sz w:val="22"/>
          <w:szCs w:val="22"/>
        </w:rPr>
        <w:t>recommendation</w:t>
      </w:r>
      <w:r w:rsidR="00AF2B54" w:rsidRPr="00592A80">
        <w:rPr>
          <w:sz w:val="22"/>
          <w:szCs w:val="22"/>
        </w:rPr>
        <w:t xml:space="preserve"> of 1</w:t>
      </w:r>
      <w:r w:rsidR="00F85AE4" w:rsidRPr="00592A80">
        <w:rPr>
          <w:sz w:val="22"/>
          <w:szCs w:val="22"/>
        </w:rPr>
        <w:t>0</w:t>
      </w:r>
      <w:r w:rsidR="00AF2B54" w:rsidRPr="00592A80">
        <w:rPr>
          <w:sz w:val="22"/>
          <w:szCs w:val="22"/>
        </w:rPr>
        <w:t xml:space="preserve"> high-impact solutions for inclusion in the </w:t>
      </w:r>
      <w:r w:rsidR="00F85AE4" w:rsidRPr="00592A80">
        <w:rPr>
          <w:sz w:val="22"/>
          <w:szCs w:val="22"/>
        </w:rPr>
        <w:t>ESIC</w:t>
      </w:r>
      <w:r w:rsidR="00AF2B54" w:rsidRPr="00592A80">
        <w:rPr>
          <w:sz w:val="22"/>
          <w:szCs w:val="22"/>
        </w:rPr>
        <w:t xml:space="preserve"> </w:t>
      </w:r>
      <w:r w:rsidR="00C84387" w:rsidRPr="00592A80">
        <w:rPr>
          <w:sz w:val="22"/>
          <w:szCs w:val="22"/>
        </w:rPr>
        <w:t xml:space="preserve">investment </w:t>
      </w:r>
      <w:r w:rsidR="00AF2B54" w:rsidRPr="00592A80">
        <w:rPr>
          <w:sz w:val="22"/>
          <w:szCs w:val="22"/>
        </w:rPr>
        <w:t>menu.</w:t>
      </w:r>
      <w:r w:rsidR="00031785" w:rsidRPr="00592A80">
        <w:rPr>
          <w:sz w:val="22"/>
          <w:szCs w:val="22"/>
        </w:rPr>
        <w:t xml:space="preserve"> These solutions </w:t>
      </w:r>
      <w:r w:rsidR="00343B0F" w:rsidRPr="00592A80">
        <w:rPr>
          <w:sz w:val="22"/>
          <w:szCs w:val="22"/>
        </w:rPr>
        <w:t xml:space="preserve">stemmed </w:t>
      </w:r>
      <w:r w:rsidR="00031785" w:rsidRPr="00592A80">
        <w:rPr>
          <w:sz w:val="22"/>
          <w:szCs w:val="22"/>
        </w:rPr>
        <w:t xml:space="preserve">logically from the work undertaken </w:t>
      </w:r>
      <w:r w:rsidR="00343B0F" w:rsidRPr="00592A80">
        <w:rPr>
          <w:sz w:val="22"/>
          <w:szCs w:val="22"/>
        </w:rPr>
        <w:t>by the Working Group</w:t>
      </w:r>
      <w:r w:rsidR="0081725B" w:rsidRPr="00592A80">
        <w:rPr>
          <w:sz w:val="22"/>
          <w:szCs w:val="22"/>
        </w:rPr>
        <w:t xml:space="preserve"> (WG)</w:t>
      </w:r>
      <w:r w:rsidR="00C84387" w:rsidRPr="00592A80">
        <w:rPr>
          <w:sz w:val="22"/>
          <w:szCs w:val="22"/>
        </w:rPr>
        <w:t xml:space="preserve"> 5</w:t>
      </w:r>
      <w:r w:rsidR="0081725B" w:rsidRPr="00592A80">
        <w:rPr>
          <w:sz w:val="22"/>
          <w:szCs w:val="22"/>
        </w:rPr>
        <w:t xml:space="preserve"> </w:t>
      </w:r>
      <w:r w:rsidR="00B644A1" w:rsidRPr="00592A80">
        <w:rPr>
          <w:sz w:val="22"/>
          <w:szCs w:val="22"/>
        </w:rPr>
        <w:t>during</w:t>
      </w:r>
      <w:r w:rsidR="0081725B" w:rsidRPr="00592A80">
        <w:rPr>
          <w:sz w:val="22"/>
          <w:szCs w:val="22"/>
        </w:rPr>
        <w:t xml:space="preserve"> stage 1 </w:t>
      </w:r>
      <w:r w:rsidR="00701CB8" w:rsidRPr="00592A80">
        <w:rPr>
          <w:sz w:val="22"/>
          <w:szCs w:val="22"/>
        </w:rPr>
        <w:t>through</w:t>
      </w:r>
      <w:r w:rsidR="0081725B" w:rsidRPr="00592A80">
        <w:rPr>
          <w:sz w:val="22"/>
          <w:szCs w:val="22"/>
        </w:rPr>
        <w:t xml:space="preserve"> stage 3</w:t>
      </w:r>
      <w:r w:rsidR="00701CB8" w:rsidRPr="00592A80">
        <w:rPr>
          <w:sz w:val="22"/>
          <w:szCs w:val="22"/>
        </w:rPr>
        <w:t xml:space="preserve"> (Box 1).</w:t>
      </w:r>
      <w:r w:rsidR="0010550D" w:rsidRPr="00592A80">
        <w:rPr>
          <w:sz w:val="22"/>
          <w:szCs w:val="22"/>
        </w:rPr>
        <w:t xml:space="preserve"> </w:t>
      </w:r>
    </w:p>
    <w:p w14:paraId="1C96DAD0" w14:textId="77777777" w:rsidR="001462D7" w:rsidRPr="00592A80" w:rsidRDefault="001462D7" w:rsidP="0010550D">
      <w:pPr>
        <w:contextualSpacing/>
        <w:jc w:val="both"/>
        <w:rPr>
          <w:sz w:val="22"/>
          <w:szCs w:val="22"/>
        </w:rPr>
      </w:pPr>
    </w:p>
    <w:p w14:paraId="797BD6FD" w14:textId="06E4CB7C" w:rsidR="00185DE8" w:rsidRPr="00592A80" w:rsidRDefault="00023418" w:rsidP="00B77A1B">
      <w:pPr>
        <w:contextualSpacing/>
        <w:rPr>
          <w:sz w:val="22"/>
          <w:szCs w:val="22"/>
          <w:lang w:val="en-TT"/>
        </w:rPr>
      </w:pPr>
      <w:r w:rsidRPr="00592A80">
        <w:rPr>
          <w:sz w:val="22"/>
          <w:szCs w:val="22"/>
          <w:lang w:val="en-TT"/>
        </w:rPr>
        <w:t xml:space="preserve">In this </w:t>
      </w:r>
      <w:r w:rsidR="00B644A1" w:rsidRPr="00592A80">
        <w:rPr>
          <w:sz w:val="22"/>
          <w:szCs w:val="22"/>
          <w:lang w:val="en-TT"/>
        </w:rPr>
        <w:t xml:space="preserve">4b report, </w:t>
      </w:r>
      <w:r w:rsidRPr="00592A80">
        <w:rPr>
          <w:sz w:val="22"/>
          <w:szCs w:val="22"/>
          <w:lang w:val="en-TT"/>
        </w:rPr>
        <w:t xml:space="preserve">we </w:t>
      </w:r>
      <w:r w:rsidR="001C5E79" w:rsidRPr="00592A80">
        <w:rPr>
          <w:sz w:val="22"/>
          <w:szCs w:val="22"/>
          <w:lang w:val="en-TT"/>
        </w:rPr>
        <w:t>present</w:t>
      </w:r>
      <w:r w:rsidR="00185DE8" w:rsidRPr="00592A80">
        <w:rPr>
          <w:sz w:val="22"/>
          <w:szCs w:val="22"/>
          <w:lang w:val="en-TT"/>
        </w:rPr>
        <w:t xml:space="preserve"> </w:t>
      </w:r>
      <w:r w:rsidR="00FF2B1A" w:rsidRPr="00592A80">
        <w:rPr>
          <w:sz w:val="22"/>
          <w:szCs w:val="22"/>
          <w:lang w:val="en-TT"/>
        </w:rPr>
        <w:t xml:space="preserve">the associated </w:t>
      </w:r>
      <w:r w:rsidR="00185DE8" w:rsidRPr="00592A80">
        <w:rPr>
          <w:sz w:val="22"/>
          <w:szCs w:val="22"/>
          <w:lang w:val="en-TT"/>
        </w:rPr>
        <w:t>cost</w:t>
      </w:r>
      <w:r w:rsidR="00FF2B1A" w:rsidRPr="00592A80">
        <w:rPr>
          <w:sz w:val="22"/>
          <w:szCs w:val="22"/>
          <w:lang w:val="en-TT"/>
        </w:rPr>
        <w:t xml:space="preserve"> e</w:t>
      </w:r>
      <w:r w:rsidR="00185DE8" w:rsidRPr="00592A80">
        <w:rPr>
          <w:sz w:val="22"/>
          <w:szCs w:val="22"/>
          <w:lang w:val="en-TT"/>
        </w:rPr>
        <w:t>s</w:t>
      </w:r>
      <w:r w:rsidR="00FF2B1A" w:rsidRPr="00592A80">
        <w:rPr>
          <w:sz w:val="22"/>
          <w:szCs w:val="22"/>
          <w:lang w:val="en-TT"/>
        </w:rPr>
        <w:t>timates</w:t>
      </w:r>
      <w:r w:rsidR="00936A74" w:rsidRPr="00592A80">
        <w:rPr>
          <w:sz w:val="22"/>
          <w:szCs w:val="22"/>
          <w:lang w:val="en-TT"/>
        </w:rPr>
        <w:t xml:space="preserve"> for each solution</w:t>
      </w:r>
      <w:r w:rsidR="00185DE8" w:rsidRPr="00592A80">
        <w:rPr>
          <w:sz w:val="22"/>
          <w:szCs w:val="22"/>
          <w:lang w:val="en-TT"/>
        </w:rPr>
        <w:t xml:space="preserve">, </w:t>
      </w:r>
      <w:r w:rsidR="00B77A1B" w:rsidRPr="00592A80">
        <w:rPr>
          <w:sz w:val="22"/>
          <w:szCs w:val="22"/>
          <w:lang w:val="en-TT"/>
        </w:rPr>
        <w:t xml:space="preserve">discuss how they </w:t>
      </w:r>
      <w:r w:rsidR="00185FA1" w:rsidRPr="00592A80">
        <w:rPr>
          <w:sz w:val="22"/>
          <w:szCs w:val="22"/>
          <w:lang w:val="en-TT"/>
        </w:rPr>
        <w:t xml:space="preserve">advance </w:t>
      </w:r>
      <w:r w:rsidR="00B77A1B" w:rsidRPr="00592A80">
        <w:rPr>
          <w:sz w:val="22"/>
          <w:szCs w:val="22"/>
          <w:lang w:val="en-TT"/>
        </w:rPr>
        <w:t>maturity</w:t>
      </w:r>
      <w:r w:rsidR="00D07B49" w:rsidRPr="00592A80">
        <w:rPr>
          <w:sz w:val="22"/>
          <w:szCs w:val="22"/>
          <w:lang w:val="en-TT"/>
        </w:rPr>
        <w:t xml:space="preserve">, </w:t>
      </w:r>
      <w:r w:rsidR="00321EE8" w:rsidRPr="00592A80">
        <w:rPr>
          <w:sz w:val="22"/>
          <w:szCs w:val="22"/>
        </w:rPr>
        <w:t xml:space="preserve">in the context of </w:t>
      </w:r>
      <w:r w:rsidR="00B55FAB" w:rsidRPr="00592A80">
        <w:rPr>
          <w:sz w:val="22"/>
          <w:szCs w:val="22"/>
        </w:rPr>
        <w:t xml:space="preserve">the </w:t>
      </w:r>
      <w:r w:rsidR="00321EE8" w:rsidRPr="00592A80">
        <w:rPr>
          <w:sz w:val="22"/>
          <w:szCs w:val="22"/>
        </w:rPr>
        <w:t>capability maturity assessment (CMA) done in stage 2</w:t>
      </w:r>
      <w:r w:rsidR="0049103D" w:rsidRPr="00592A80">
        <w:rPr>
          <w:sz w:val="22"/>
          <w:szCs w:val="22"/>
        </w:rPr>
        <w:t>,</w:t>
      </w:r>
      <w:r w:rsidR="00321EE8" w:rsidRPr="00592A80">
        <w:rPr>
          <w:sz w:val="22"/>
          <w:szCs w:val="22"/>
        </w:rPr>
        <w:t xml:space="preserve"> </w:t>
      </w:r>
      <w:r w:rsidR="00185FA1" w:rsidRPr="00592A80">
        <w:rPr>
          <w:sz w:val="22"/>
          <w:szCs w:val="22"/>
          <w:lang w:val="en-TT"/>
        </w:rPr>
        <w:t xml:space="preserve">and discuss their </w:t>
      </w:r>
      <w:r w:rsidR="00185DE8" w:rsidRPr="00592A80">
        <w:rPr>
          <w:sz w:val="22"/>
          <w:szCs w:val="22"/>
          <w:lang w:val="en-TT"/>
        </w:rPr>
        <w:t xml:space="preserve">alignment with the </w:t>
      </w:r>
      <w:r w:rsidR="00F04528" w:rsidRPr="00592A80">
        <w:rPr>
          <w:sz w:val="22"/>
          <w:szCs w:val="22"/>
          <w:lang w:val="en-TT"/>
        </w:rPr>
        <w:t>‘</w:t>
      </w:r>
      <w:hyperlink r:id="rId13" w:history="1">
        <w:r w:rsidR="00185DE8" w:rsidRPr="00592A80">
          <w:rPr>
            <w:rStyle w:val="Hyperlink"/>
            <w:sz w:val="22"/>
            <w:szCs w:val="22"/>
            <w:lang w:val="en-TT"/>
          </w:rPr>
          <w:t xml:space="preserve">SHOW </w:t>
        </w:r>
        <w:r w:rsidR="002650D7" w:rsidRPr="00592A80">
          <w:rPr>
            <w:rStyle w:val="Hyperlink"/>
            <w:sz w:val="22"/>
            <w:szCs w:val="22"/>
            <w:lang w:val="en-TT"/>
          </w:rPr>
          <w:t xml:space="preserve">ME the evidence </w:t>
        </w:r>
      </w:hyperlink>
      <w:r w:rsidR="008341F4" w:rsidRPr="00592A80">
        <w:rPr>
          <w:sz w:val="22"/>
          <w:szCs w:val="22"/>
          <w:lang w:val="en-TT"/>
        </w:rPr>
        <w:t>principles</w:t>
      </w:r>
      <w:r w:rsidR="004E2A1C">
        <w:rPr>
          <w:sz w:val="22"/>
          <w:szCs w:val="22"/>
          <w:lang w:val="en-TT"/>
        </w:rPr>
        <w:t xml:space="preserve"> upon which the ESIC is hinged</w:t>
      </w:r>
      <w:r w:rsidR="00480733">
        <w:rPr>
          <w:sz w:val="22"/>
          <w:szCs w:val="22"/>
          <w:lang w:val="en-TT"/>
        </w:rPr>
        <w:t>.</w:t>
      </w:r>
      <w:r w:rsidR="00936A74" w:rsidRPr="00592A80">
        <w:rPr>
          <w:sz w:val="22"/>
          <w:szCs w:val="22"/>
          <w:lang w:val="en-TT"/>
        </w:rPr>
        <w:t xml:space="preserve"> </w:t>
      </w:r>
    </w:p>
    <w:p w14:paraId="2D437968" w14:textId="0D4C313A" w:rsidR="00545032" w:rsidRPr="00592A80" w:rsidRDefault="00194870" w:rsidP="009F2D95">
      <w:pPr>
        <w:pStyle w:val="ESIC1"/>
        <w:contextualSpacing/>
        <w:rPr>
          <w:rFonts w:asciiTheme="minorHAnsi" w:hAnsiTheme="minorHAnsi"/>
          <w:sz w:val="22"/>
          <w:szCs w:val="22"/>
        </w:rPr>
      </w:pPr>
      <w:r w:rsidRPr="00592A80">
        <w:rPr>
          <w:rFonts w:asciiTheme="minorHAnsi" w:hAnsiTheme="minorHAnsi"/>
          <w:sz w:val="22"/>
          <w:szCs w:val="22"/>
        </w:rPr>
        <w:t>high-impact solutions</w:t>
      </w:r>
      <w:r w:rsidR="009F2D95" w:rsidRPr="00592A80">
        <w:rPr>
          <w:rFonts w:asciiTheme="minorHAnsi" w:hAnsiTheme="minorHAnsi"/>
          <w:sz w:val="22"/>
          <w:szCs w:val="22"/>
        </w:rPr>
        <w:t xml:space="preserve"> for inclusion in </w:t>
      </w:r>
      <w:r w:rsidR="00050D28" w:rsidRPr="00592A80">
        <w:rPr>
          <w:rFonts w:asciiTheme="minorHAnsi" w:hAnsiTheme="minorHAnsi"/>
          <w:sz w:val="22"/>
          <w:szCs w:val="22"/>
        </w:rPr>
        <w:t xml:space="preserve">the </w:t>
      </w:r>
      <w:r w:rsidR="009F2D95" w:rsidRPr="00592A80">
        <w:rPr>
          <w:rFonts w:asciiTheme="minorHAnsi" w:hAnsiTheme="minorHAnsi"/>
          <w:sz w:val="22"/>
          <w:szCs w:val="22"/>
        </w:rPr>
        <w:t xml:space="preserve">esic </w:t>
      </w:r>
    </w:p>
    <w:p w14:paraId="66F701D5" w14:textId="2A187E8E" w:rsidR="008E47E4" w:rsidRPr="00592A80" w:rsidRDefault="008E47E4" w:rsidP="008E47E4">
      <w:pPr>
        <w:spacing w:line="259" w:lineRule="auto"/>
        <w:contextualSpacing/>
        <w:jc w:val="both"/>
        <w:rPr>
          <w:sz w:val="22"/>
          <w:szCs w:val="22"/>
        </w:rPr>
      </w:pPr>
      <w:r w:rsidRPr="00592A80">
        <w:rPr>
          <w:sz w:val="22"/>
          <w:szCs w:val="22"/>
        </w:rPr>
        <w:t xml:space="preserve">The following 10 solutions </w:t>
      </w:r>
      <w:r w:rsidR="009F2D95" w:rsidRPr="00592A80">
        <w:rPr>
          <w:sz w:val="22"/>
          <w:szCs w:val="22"/>
        </w:rPr>
        <w:t>are</w:t>
      </w:r>
      <w:r w:rsidRPr="00592A80">
        <w:rPr>
          <w:sz w:val="22"/>
          <w:szCs w:val="22"/>
        </w:rPr>
        <w:t xml:space="preserve"> recommended </w:t>
      </w:r>
      <w:r w:rsidR="009F2D95" w:rsidRPr="00592A80">
        <w:rPr>
          <w:sz w:val="22"/>
          <w:szCs w:val="22"/>
        </w:rPr>
        <w:t xml:space="preserve">for </w:t>
      </w:r>
      <w:r w:rsidRPr="00592A80">
        <w:rPr>
          <w:sz w:val="22"/>
          <w:szCs w:val="22"/>
        </w:rPr>
        <w:t>inclusion in the menu of options for funder investment:</w:t>
      </w:r>
    </w:p>
    <w:p w14:paraId="2D0E30FB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ESIC Knowledge Hub</w:t>
      </w:r>
    </w:p>
    <w:p w14:paraId="1479D68B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Knowledge Translation AI (KTai)</w:t>
      </w:r>
    </w:p>
    <w:p w14:paraId="21283F4E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Regional collaborating centers with country nodes</w:t>
      </w:r>
    </w:p>
    <w:p w14:paraId="20115EA4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Mentorship and Train the Trainer Programs</w:t>
      </w:r>
    </w:p>
    <w:p w14:paraId="5568821C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Continuous Professional Development Modules</w:t>
      </w:r>
    </w:p>
    <w:p w14:paraId="25543F6B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Competency Frameworks for evidence synthesis production and knowledge translation</w:t>
      </w:r>
    </w:p>
    <w:p w14:paraId="2C11BE25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Curriculum for UN national evaluation capacity development (NECD)</w:t>
      </w:r>
    </w:p>
    <w:p w14:paraId="3FB855DA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Global Evidence Synthesis Innovation Fund (GESIF)</w:t>
      </w:r>
    </w:p>
    <w:p w14:paraId="1DC25FD1" w14:textId="77777777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Funders Forum</w:t>
      </w:r>
    </w:p>
    <w:p w14:paraId="44E2A3AD" w14:textId="64D032DE" w:rsidR="008E47E4" w:rsidRPr="00592A80" w:rsidRDefault="008E47E4" w:rsidP="001D6A94">
      <w:pPr>
        <w:pStyle w:val="ListParagraph"/>
        <w:numPr>
          <w:ilvl w:val="0"/>
          <w:numId w:val="1"/>
        </w:numPr>
        <w:spacing w:line="259" w:lineRule="auto"/>
        <w:jc w:val="both"/>
        <w:rPr>
          <w:sz w:val="22"/>
          <w:szCs w:val="22"/>
        </w:rPr>
      </w:pPr>
      <w:r w:rsidRPr="00592A80">
        <w:rPr>
          <w:sz w:val="22"/>
          <w:szCs w:val="22"/>
        </w:rPr>
        <w:t>Capacity sharing monitoring, evaluation and learning (MEL) system</w:t>
      </w:r>
      <w:r w:rsidR="00F35011" w:rsidRPr="00592A80">
        <w:rPr>
          <w:sz w:val="22"/>
          <w:szCs w:val="22"/>
        </w:rPr>
        <w:t xml:space="preserve"> </w:t>
      </w:r>
    </w:p>
    <w:p w14:paraId="75A5BEAC" w14:textId="4E8ADF67" w:rsidR="009A7678" w:rsidRDefault="009A7678" w:rsidP="00050D28">
      <w:pPr>
        <w:spacing w:line="256" w:lineRule="auto"/>
        <w:contextualSpacing/>
        <w:jc w:val="both"/>
        <w:rPr>
          <w:sz w:val="22"/>
          <w:szCs w:val="22"/>
          <w:lang w:val="en-US"/>
        </w:rPr>
      </w:pPr>
      <w:r w:rsidRPr="00592A80">
        <w:rPr>
          <w:sz w:val="22"/>
          <w:szCs w:val="22"/>
          <w:lang w:val="en-US"/>
        </w:rPr>
        <w:lastRenderedPageBreak/>
        <w:t xml:space="preserve">The total cost </w:t>
      </w:r>
      <w:r w:rsidR="00C355D1" w:rsidRPr="00592A80">
        <w:rPr>
          <w:sz w:val="22"/>
          <w:szCs w:val="22"/>
          <w:lang w:val="en-US"/>
        </w:rPr>
        <w:t xml:space="preserve">estimate </w:t>
      </w:r>
      <w:r w:rsidR="00273E8D" w:rsidRPr="00592A80">
        <w:rPr>
          <w:sz w:val="22"/>
          <w:szCs w:val="22"/>
          <w:lang w:val="en-US"/>
        </w:rPr>
        <w:t>for</w:t>
      </w:r>
      <w:r w:rsidRPr="00592A80">
        <w:rPr>
          <w:sz w:val="22"/>
          <w:szCs w:val="22"/>
          <w:lang w:val="en-US"/>
        </w:rPr>
        <w:t xml:space="preserve"> th</w:t>
      </w:r>
      <w:r w:rsidR="00697E91" w:rsidRPr="00592A80">
        <w:rPr>
          <w:sz w:val="22"/>
          <w:szCs w:val="22"/>
          <w:lang w:val="en-US"/>
        </w:rPr>
        <w:t>is</w:t>
      </w:r>
      <w:r w:rsidRPr="00592A80">
        <w:rPr>
          <w:sz w:val="22"/>
          <w:szCs w:val="22"/>
          <w:lang w:val="en-US"/>
        </w:rPr>
        <w:t xml:space="preserve"> </w:t>
      </w:r>
      <w:r w:rsidR="00F35011" w:rsidRPr="00592A80">
        <w:rPr>
          <w:sz w:val="22"/>
          <w:szCs w:val="22"/>
          <w:lang w:val="en-US"/>
        </w:rPr>
        <w:t xml:space="preserve">proposed </w:t>
      </w:r>
      <w:r w:rsidRPr="00592A80">
        <w:rPr>
          <w:sz w:val="22"/>
          <w:szCs w:val="22"/>
          <w:lang w:val="en-US"/>
        </w:rPr>
        <w:t xml:space="preserve">solution bundle is </w:t>
      </w:r>
      <w:r w:rsidRPr="00592A80">
        <w:rPr>
          <w:b/>
          <w:bCs/>
          <w:sz w:val="22"/>
          <w:szCs w:val="22"/>
          <w:lang w:val="en-US"/>
        </w:rPr>
        <w:t>US $40,200,646</w:t>
      </w:r>
      <w:r w:rsidR="00A357D4" w:rsidRPr="00592A80">
        <w:rPr>
          <w:sz w:val="22"/>
          <w:szCs w:val="22"/>
          <w:lang w:val="en-US"/>
        </w:rPr>
        <w:t xml:space="preserve">, </w:t>
      </w:r>
      <w:r w:rsidR="004E2A1C">
        <w:rPr>
          <w:sz w:val="22"/>
          <w:szCs w:val="22"/>
          <w:lang w:val="en-US"/>
        </w:rPr>
        <w:t>distributed</w:t>
      </w:r>
      <w:r w:rsidR="00C355D1" w:rsidRPr="00592A80">
        <w:rPr>
          <w:sz w:val="22"/>
          <w:szCs w:val="22"/>
          <w:lang w:val="en-US"/>
        </w:rPr>
        <w:t xml:space="preserve"> as</w:t>
      </w:r>
      <w:r w:rsidR="00A357D4" w:rsidRPr="00592A80">
        <w:rPr>
          <w:sz w:val="22"/>
          <w:szCs w:val="22"/>
          <w:lang w:val="en-US"/>
        </w:rPr>
        <w:t xml:space="preserve"> follows:</w:t>
      </w:r>
    </w:p>
    <w:p w14:paraId="6C090D97" w14:textId="77777777" w:rsidR="00B633B1" w:rsidRDefault="00B633B1" w:rsidP="00050D28">
      <w:pPr>
        <w:spacing w:line="256" w:lineRule="auto"/>
        <w:contextualSpacing/>
        <w:jc w:val="both"/>
        <w:rPr>
          <w:sz w:val="22"/>
          <w:szCs w:val="22"/>
          <w:lang w:val="en-US"/>
        </w:rPr>
      </w:pPr>
    </w:p>
    <w:p w14:paraId="4A00ED19" w14:textId="5508CB7D" w:rsidR="0070109D" w:rsidRPr="00592A80" w:rsidRDefault="00C722FE" w:rsidP="00050D28">
      <w:pPr>
        <w:spacing w:line="256" w:lineRule="auto"/>
        <w:contextualSpacing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Table 1: </w:t>
      </w:r>
      <w:r w:rsidR="00B633B1">
        <w:rPr>
          <w:sz w:val="22"/>
          <w:szCs w:val="22"/>
          <w:lang w:val="en-US"/>
        </w:rPr>
        <w:t xml:space="preserve">Total cost estimate of </w:t>
      </w:r>
      <w:r w:rsidR="00572ABA">
        <w:rPr>
          <w:sz w:val="22"/>
          <w:szCs w:val="22"/>
          <w:lang w:val="en-US"/>
        </w:rPr>
        <w:t xml:space="preserve">prioritized solutions </w:t>
      </w:r>
      <w:r w:rsidR="00572ABA" w:rsidRPr="00823DD4">
        <w:rPr>
          <w:sz w:val="22"/>
          <w:szCs w:val="22"/>
          <w:lang w:val="en-US"/>
        </w:rPr>
        <w:t>recommended for inclusion in the menu of options for funder investment</w:t>
      </w:r>
      <w:r w:rsidR="00572ABA">
        <w:rPr>
          <w:sz w:val="22"/>
          <w:szCs w:val="22"/>
          <w:lang w:val="en-US"/>
        </w:rPr>
        <w:t xml:space="preserve"> </w:t>
      </w:r>
    </w:p>
    <w:tbl>
      <w:tblPr>
        <w:tblStyle w:val="GridTable6Colorful-Accent1"/>
        <w:tblW w:w="9493" w:type="dxa"/>
        <w:tblLook w:val="04A0" w:firstRow="1" w:lastRow="0" w:firstColumn="1" w:lastColumn="0" w:noHBand="0" w:noVBand="1"/>
      </w:tblPr>
      <w:tblGrid>
        <w:gridCol w:w="5807"/>
        <w:gridCol w:w="1985"/>
        <w:gridCol w:w="1701"/>
      </w:tblGrid>
      <w:tr w:rsidR="00CA39EF" w:rsidRPr="00592A80" w14:paraId="3BC2707D" w14:textId="77777777" w:rsidTr="00B6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4B70B347" w14:textId="1AF76B10" w:rsidR="00CA39EF" w:rsidRPr="00592A80" w:rsidRDefault="00CA39EF" w:rsidP="006777D4">
            <w:pPr>
              <w:spacing w:line="278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Solution </w:t>
            </w:r>
          </w:p>
        </w:tc>
        <w:tc>
          <w:tcPr>
            <w:tcW w:w="1985" w:type="dxa"/>
            <w:noWrap/>
            <w:hideMark/>
          </w:tcPr>
          <w:p w14:paraId="3D9A7EDD" w14:textId="76663F9B" w:rsidR="00CA39EF" w:rsidRPr="00592A80" w:rsidRDefault="00CA39EF" w:rsidP="004E2A1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 costs</w:t>
            </w:r>
            <w:r w:rsidR="00C355D1"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4E2A1C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 w:rsidR="00C355D1"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</w:t>
            </w:r>
            <w:r w:rsidR="008A22C6"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</w:t>
            </w:r>
            <w:r w:rsidR="004E2A1C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  <w:tc>
          <w:tcPr>
            <w:tcW w:w="1701" w:type="dxa"/>
            <w:noWrap/>
            <w:hideMark/>
          </w:tcPr>
          <w:p w14:paraId="6B01B67B" w14:textId="40A96189" w:rsidR="00CA39EF" w:rsidRPr="00592A80" w:rsidRDefault="00A31CBD" w:rsidP="006777D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Percentage </w:t>
            </w:r>
          </w:p>
        </w:tc>
      </w:tr>
      <w:tr w:rsidR="00593B1C" w:rsidRPr="00592A80" w14:paraId="3699D02C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2D624327" w14:textId="725EB81A" w:rsidR="00CA39EF" w:rsidRPr="00592A80" w:rsidRDefault="00697E91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b w:val="0"/>
                <w:bCs w:val="0"/>
                <w:color w:val="auto"/>
                <w:sz w:val="22"/>
                <w:szCs w:val="22"/>
              </w:rPr>
              <w:t>ESIC Knowledge Hub</w:t>
            </w:r>
          </w:p>
        </w:tc>
        <w:tc>
          <w:tcPr>
            <w:tcW w:w="1985" w:type="dxa"/>
            <w:noWrap/>
            <w:hideMark/>
          </w:tcPr>
          <w:p w14:paraId="2DB6FD8B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$9,249,752</w:t>
            </w:r>
          </w:p>
        </w:tc>
        <w:tc>
          <w:tcPr>
            <w:tcW w:w="1701" w:type="dxa"/>
            <w:noWrap/>
            <w:hideMark/>
          </w:tcPr>
          <w:p w14:paraId="6029972F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23%</w:t>
            </w:r>
          </w:p>
        </w:tc>
      </w:tr>
      <w:tr w:rsidR="00CA39EF" w:rsidRPr="00592A80" w14:paraId="10A7B1E3" w14:textId="77777777" w:rsidTr="00B633B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45D4099E" w14:textId="025A1062" w:rsidR="00CA39EF" w:rsidRPr="00592A80" w:rsidRDefault="00697E91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b w:val="0"/>
                <w:bCs w:val="0"/>
                <w:color w:val="auto"/>
                <w:sz w:val="22"/>
                <w:szCs w:val="22"/>
              </w:rPr>
              <w:t>Knowledge Translation AI (KTai</w:t>
            </w:r>
            <w:r w:rsidR="00E57217" w:rsidRPr="00592A80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7281BFDF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$3,006,705</w:t>
            </w:r>
          </w:p>
        </w:tc>
        <w:tc>
          <w:tcPr>
            <w:tcW w:w="1701" w:type="dxa"/>
            <w:noWrap/>
            <w:hideMark/>
          </w:tcPr>
          <w:p w14:paraId="76AAC72B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7%</w:t>
            </w:r>
          </w:p>
        </w:tc>
      </w:tr>
      <w:tr w:rsidR="00593B1C" w:rsidRPr="00592A80" w14:paraId="3DAFD84A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0C600F49" w14:textId="390AB3A8" w:rsidR="00CA39EF" w:rsidRPr="00592A80" w:rsidRDefault="00697E91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b w:val="0"/>
                <w:bCs w:val="0"/>
                <w:color w:val="auto"/>
                <w:sz w:val="22"/>
                <w:szCs w:val="22"/>
              </w:rPr>
              <w:t>Regional collaborating centers with country nodes</w:t>
            </w:r>
          </w:p>
        </w:tc>
        <w:tc>
          <w:tcPr>
            <w:tcW w:w="1985" w:type="dxa"/>
            <w:noWrap/>
            <w:hideMark/>
          </w:tcPr>
          <w:p w14:paraId="5C371160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$12,596,420</w:t>
            </w:r>
          </w:p>
        </w:tc>
        <w:tc>
          <w:tcPr>
            <w:tcW w:w="1701" w:type="dxa"/>
            <w:noWrap/>
            <w:hideMark/>
          </w:tcPr>
          <w:p w14:paraId="47A27002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31%</w:t>
            </w:r>
          </w:p>
        </w:tc>
      </w:tr>
      <w:tr w:rsidR="00CA39EF" w:rsidRPr="00592A80" w14:paraId="074A2B91" w14:textId="77777777" w:rsidTr="00B633B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1E096760" w14:textId="0D37C057" w:rsidR="00CA39EF" w:rsidRPr="00592A80" w:rsidRDefault="00697E91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  <w:t>Mentorship and Train the Trainer Programs</w:t>
            </w:r>
          </w:p>
        </w:tc>
        <w:tc>
          <w:tcPr>
            <w:tcW w:w="1985" w:type="dxa"/>
            <w:noWrap/>
            <w:hideMark/>
          </w:tcPr>
          <w:p w14:paraId="69CF9534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$2,764,718</w:t>
            </w:r>
          </w:p>
        </w:tc>
        <w:tc>
          <w:tcPr>
            <w:tcW w:w="1701" w:type="dxa"/>
            <w:noWrap/>
            <w:hideMark/>
          </w:tcPr>
          <w:p w14:paraId="5B9BE918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7%</w:t>
            </w:r>
          </w:p>
        </w:tc>
      </w:tr>
      <w:tr w:rsidR="00593B1C" w:rsidRPr="00592A80" w14:paraId="6E6CB2F7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43761817" w14:textId="29A879A7" w:rsidR="00CA39EF" w:rsidRPr="00592A80" w:rsidRDefault="006741E2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auto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b w:val="0"/>
                <w:bCs w:val="0"/>
                <w:color w:val="auto"/>
                <w:sz w:val="22"/>
                <w:szCs w:val="22"/>
              </w:rPr>
              <w:t>Continuous Professional Development Modules</w:t>
            </w:r>
          </w:p>
        </w:tc>
        <w:tc>
          <w:tcPr>
            <w:tcW w:w="1985" w:type="dxa"/>
            <w:noWrap/>
            <w:hideMark/>
          </w:tcPr>
          <w:p w14:paraId="24870FF6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$1,189,360</w:t>
            </w:r>
          </w:p>
        </w:tc>
        <w:tc>
          <w:tcPr>
            <w:tcW w:w="1701" w:type="dxa"/>
            <w:noWrap/>
            <w:hideMark/>
          </w:tcPr>
          <w:p w14:paraId="6C7C0F88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3%</w:t>
            </w:r>
          </w:p>
        </w:tc>
      </w:tr>
      <w:tr w:rsidR="00CA39EF" w:rsidRPr="00592A80" w14:paraId="66FDF3AC" w14:textId="77777777" w:rsidTr="00B633B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5B1A908F" w14:textId="45A5C841" w:rsidR="00CA39EF" w:rsidRPr="00592A80" w:rsidRDefault="006741E2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Competency Frameworks for evidence synthesis production and knowledge translation</w:t>
            </w:r>
          </w:p>
        </w:tc>
        <w:tc>
          <w:tcPr>
            <w:tcW w:w="1985" w:type="dxa"/>
            <w:noWrap/>
            <w:hideMark/>
          </w:tcPr>
          <w:p w14:paraId="2528AE45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$1,316,938</w:t>
            </w:r>
          </w:p>
        </w:tc>
        <w:tc>
          <w:tcPr>
            <w:tcW w:w="1701" w:type="dxa"/>
            <w:noWrap/>
            <w:hideMark/>
          </w:tcPr>
          <w:p w14:paraId="24B24B42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3%</w:t>
            </w:r>
          </w:p>
        </w:tc>
      </w:tr>
      <w:tr w:rsidR="006777D4" w:rsidRPr="00592A80" w14:paraId="5861294F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3779FF60" w14:textId="1C717226" w:rsidR="00CA39EF" w:rsidRPr="00592A80" w:rsidRDefault="006741E2" w:rsidP="006777D4">
            <w:pPr>
              <w:spacing w:after="160" w:line="278" w:lineRule="auto"/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Curriculum for UN national evaluation capacity development</w:t>
            </w:r>
            <w:r w:rsidR="00480733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 </w:t>
            </w:r>
            <w:r w:rsidR="00841353"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National Schools of Government</w:t>
            </w:r>
            <w:r w:rsidR="00480733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r w:rsidR="00841353"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Training Institutions for Public Administration</w:t>
            </w:r>
          </w:p>
        </w:tc>
        <w:tc>
          <w:tcPr>
            <w:tcW w:w="1985" w:type="dxa"/>
            <w:noWrap/>
            <w:hideMark/>
          </w:tcPr>
          <w:p w14:paraId="5E46E34F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$41,359</w:t>
            </w:r>
          </w:p>
        </w:tc>
        <w:tc>
          <w:tcPr>
            <w:tcW w:w="1701" w:type="dxa"/>
            <w:noWrap/>
            <w:hideMark/>
          </w:tcPr>
          <w:p w14:paraId="608B3AF1" w14:textId="7D1C6ADD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0%</w:t>
            </w:r>
            <w:r w:rsidR="00F647C1"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(&lt;1%)</w:t>
            </w:r>
          </w:p>
        </w:tc>
      </w:tr>
      <w:tr w:rsidR="00CA39EF" w:rsidRPr="00592A80" w14:paraId="187A9889" w14:textId="77777777" w:rsidTr="00B633B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227A9BE9" w14:textId="53E3A139" w:rsidR="00CA39EF" w:rsidRPr="00592A80" w:rsidRDefault="00DC246D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Global Evidence Synthesis Innovation Fund (GESIF</w:t>
            </w:r>
            <w:r w:rsidR="0025255B"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54BBF5D0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$8,267,722</w:t>
            </w:r>
          </w:p>
        </w:tc>
        <w:tc>
          <w:tcPr>
            <w:tcW w:w="1701" w:type="dxa"/>
            <w:noWrap/>
            <w:hideMark/>
          </w:tcPr>
          <w:p w14:paraId="49D200EE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21%</w:t>
            </w:r>
          </w:p>
        </w:tc>
      </w:tr>
      <w:tr w:rsidR="00593B1C" w:rsidRPr="00592A80" w14:paraId="4D587230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323A6CBA" w14:textId="5824F37C" w:rsidR="00CA39EF" w:rsidRPr="00592A80" w:rsidRDefault="00DC246D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Funders Forum</w:t>
            </w:r>
          </w:p>
        </w:tc>
        <w:tc>
          <w:tcPr>
            <w:tcW w:w="1985" w:type="dxa"/>
            <w:noWrap/>
            <w:hideMark/>
          </w:tcPr>
          <w:p w14:paraId="0669F4D0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$693,395</w:t>
            </w:r>
          </w:p>
        </w:tc>
        <w:tc>
          <w:tcPr>
            <w:tcW w:w="1701" w:type="dxa"/>
            <w:noWrap/>
            <w:hideMark/>
          </w:tcPr>
          <w:p w14:paraId="29E18FDA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2%</w:t>
            </w:r>
          </w:p>
        </w:tc>
      </w:tr>
      <w:tr w:rsidR="00CA39EF" w:rsidRPr="00592A80" w14:paraId="36784E44" w14:textId="77777777" w:rsidTr="00B633B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55218D07" w14:textId="0F4B46D4" w:rsidR="00CA39EF" w:rsidRPr="00592A80" w:rsidRDefault="00DC246D" w:rsidP="006777D4">
            <w:pPr>
              <w:spacing w:line="278" w:lineRule="auto"/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Capacity sharing monitoring, evaluation and learning </w:t>
            </w:r>
          </w:p>
        </w:tc>
        <w:tc>
          <w:tcPr>
            <w:tcW w:w="1985" w:type="dxa"/>
            <w:noWrap/>
            <w:hideMark/>
          </w:tcPr>
          <w:p w14:paraId="032C2D79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$1,074,276</w:t>
            </w:r>
          </w:p>
        </w:tc>
        <w:tc>
          <w:tcPr>
            <w:tcW w:w="1701" w:type="dxa"/>
            <w:noWrap/>
            <w:hideMark/>
          </w:tcPr>
          <w:p w14:paraId="50D92BF6" w14:textId="77777777" w:rsidR="00CA39EF" w:rsidRPr="00592A80" w:rsidRDefault="00CA39EF" w:rsidP="006777D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3%</w:t>
            </w:r>
          </w:p>
        </w:tc>
      </w:tr>
      <w:tr w:rsidR="00593B1C" w:rsidRPr="00592A80" w14:paraId="124D041B" w14:textId="77777777" w:rsidTr="00B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noWrap/>
            <w:hideMark/>
          </w:tcPr>
          <w:p w14:paraId="405F65A3" w14:textId="7F2224D0" w:rsidR="00CA39EF" w:rsidRPr="00592A80" w:rsidRDefault="00CA39EF" w:rsidP="006777D4">
            <w:pPr>
              <w:spacing w:line="278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</w:t>
            </w:r>
          </w:p>
        </w:tc>
        <w:tc>
          <w:tcPr>
            <w:tcW w:w="1985" w:type="dxa"/>
            <w:noWrap/>
            <w:hideMark/>
          </w:tcPr>
          <w:p w14:paraId="26CAFD60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$40,200,646</w:t>
            </w:r>
          </w:p>
        </w:tc>
        <w:tc>
          <w:tcPr>
            <w:tcW w:w="1701" w:type="dxa"/>
            <w:noWrap/>
            <w:hideMark/>
          </w:tcPr>
          <w:p w14:paraId="54671993" w14:textId="77777777" w:rsidR="00CA39EF" w:rsidRPr="00592A80" w:rsidRDefault="00CA39EF" w:rsidP="006777D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100%</w:t>
            </w:r>
          </w:p>
        </w:tc>
      </w:tr>
    </w:tbl>
    <w:p w14:paraId="3981D0D1" w14:textId="77777777" w:rsidR="00CA39EF" w:rsidRPr="00592A80" w:rsidRDefault="00CA39EF" w:rsidP="009A7678">
      <w:pPr>
        <w:spacing w:line="256" w:lineRule="auto"/>
        <w:jc w:val="both"/>
        <w:rPr>
          <w:sz w:val="22"/>
          <w:szCs w:val="22"/>
          <w:lang w:val="en-US"/>
        </w:rPr>
      </w:pPr>
    </w:p>
    <w:p w14:paraId="41F61A03" w14:textId="007F826C" w:rsidR="00A80095" w:rsidRPr="00592A80" w:rsidRDefault="008A22C6" w:rsidP="009A7678">
      <w:pPr>
        <w:spacing w:line="256" w:lineRule="auto"/>
        <w:jc w:val="both"/>
        <w:rPr>
          <w:sz w:val="22"/>
          <w:szCs w:val="22"/>
          <w:lang w:val="en-US"/>
        </w:rPr>
      </w:pPr>
      <w:r w:rsidRPr="00592A80">
        <w:rPr>
          <w:sz w:val="22"/>
          <w:szCs w:val="22"/>
          <w:lang w:val="en-US"/>
        </w:rPr>
        <w:t>The</w:t>
      </w:r>
      <w:r w:rsidR="00593B1C">
        <w:rPr>
          <w:sz w:val="22"/>
          <w:szCs w:val="22"/>
          <w:lang w:val="en-US"/>
        </w:rPr>
        <w:t xml:space="preserve"> above</w:t>
      </w:r>
      <w:r w:rsidRPr="00592A80">
        <w:rPr>
          <w:sz w:val="22"/>
          <w:szCs w:val="22"/>
          <w:lang w:val="en-US"/>
        </w:rPr>
        <w:t xml:space="preserve"> </w:t>
      </w:r>
      <w:r w:rsidR="00273E8D" w:rsidRPr="00592A80">
        <w:rPr>
          <w:sz w:val="22"/>
          <w:szCs w:val="22"/>
          <w:lang w:val="en-US"/>
        </w:rPr>
        <w:t>estimates</w:t>
      </w:r>
      <w:r w:rsidRPr="00592A80">
        <w:rPr>
          <w:sz w:val="22"/>
          <w:szCs w:val="22"/>
          <w:lang w:val="en-US"/>
        </w:rPr>
        <w:t xml:space="preserve"> reflect</w:t>
      </w:r>
      <w:r w:rsidR="00273E8D" w:rsidRPr="00592A80">
        <w:rPr>
          <w:sz w:val="22"/>
          <w:szCs w:val="22"/>
          <w:lang w:val="en-US"/>
        </w:rPr>
        <w:t xml:space="preserve"> the cost of</w:t>
      </w:r>
      <w:r w:rsidRPr="00592A80">
        <w:rPr>
          <w:sz w:val="22"/>
          <w:szCs w:val="22"/>
          <w:lang w:val="en-US"/>
        </w:rPr>
        <w:t xml:space="preserve"> inputs </w:t>
      </w:r>
      <w:r w:rsidR="00593B1C">
        <w:rPr>
          <w:sz w:val="22"/>
          <w:szCs w:val="22"/>
          <w:lang w:val="en-US"/>
        </w:rPr>
        <w:t>that will be require</w:t>
      </w:r>
      <w:r w:rsidR="002263DB">
        <w:rPr>
          <w:sz w:val="22"/>
          <w:szCs w:val="22"/>
          <w:lang w:val="en-US"/>
        </w:rPr>
        <w:t>d</w:t>
      </w:r>
      <w:r w:rsidR="00593B1C">
        <w:rPr>
          <w:sz w:val="22"/>
          <w:szCs w:val="22"/>
          <w:lang w:val="en-US"/>
        </w:rPr>
        <w:t xml:space="preserve"> for </w:t>
      </w:r>
      <w:r w:rsidR="000A209A" w:rsidRPr="00592A80">
        <w:rPr>
          <w:sz w:val="22"/>
          <w:szCs w:val="22"/>
          <w:lang w:val="en-US"/>
        </w:rPr>
        <w:t xml:space="preserve">development and </w:t>
      </w:r>
      <w:r w:rsidR="00345376" w:rsidRPr="00592A80">
        <w:rPr>
          <w:sz w:val="22"/>
          <w:szCs w:val="22"/>
          <w:lang w:val="en-US"/>
        </w:rPr>
        <w:t xml:space="preserve">operationalization </w:t>
      </w:r>
      <w:r w:rsidR="000A209A" w:rsidRPr="00592A80">
        <w:rPr>
          <w:sz w:val="22"/>
          <w:szCs w:val="22"/>
          <w:lang w:val="en-US"/>
        </w:rPr>
        <w:t xml:space="preserve">of </w:t>
      </w:r>
      <w:r w:rsidR="003E5394" w:rsidRPr="00592A80">
        <w:rPr>
          <w:sz w:val="22"/>
          <w:szCs w:val="22"/>
          <w:lang w:val="en-US"/>
        </w:rPr>
        <w:t>each</w:t>
      </w:r>
      <w:r w:rsidR="000A209A" w:rsidRPr="00592A80">
        <w:rPr>
          <w:sz w:val="22"/>
          <w:szCs w:val="22"/>
          <w:lang w:val="en-US"/>
        </w:rPr>
        <w:t xml:space="preserve"> solution</w:t>
      </w:r>
      <w:r w:rsidR="006741E2" w:rsidRPr="00592A80">
        <w:rPr>
          <w:sz w:val="22"/>
          <w:szCs w:val="22"/>
          <w:lang w:val="en-US"/>
        </w:rPr>
        <w:t xml:space="preserve"> over a </w:t>
      </w:r>
      <w:r w:rsidR="00347CDF" w:rsidRPr="00592A80">
        <w:rPr>
          <w:sz w:val="22"/>
          <w:szCs w:val="22"/>
          <w:lang w:val="en-US"/>
        </w:rPr>
        <w:t>5-year</w:t>
      </w:r>
      <w:r w:rsidR="005F73C2" w:rsidRPr="00592A80">
        <w:rPr>
          <w:sz w:val="22"/>
          <w:szCs w:val="22"/>
          <w:lang w:val="en-US"/>
        </w:rPr>
        <w:t xml:space="preserve"> </w:t>
      </w:r>
      <w:r w:rsidR="003E5394" w:rsidRPr="00592A80">
        <w:rPr>
          <w:sz w:val="22"/>
          <w:szCs w:val="22"/>
          <w:lang w:val="en-US"/>
        </w:rPr>
        <w:t>period</w:t>
      </w:r>
      <w:r w:rsidR="00B55FAB" w:rsidRPr="00592A80">
        <w:rPr>
          <w:sz w:val="22"/>
          <w:szCs w:val="22"/>
          <w:lang w:val="en-US"/>
        </w:rPr>
        <w:t>.</w:t>
      </w:r>
    </w:p>
    <w:p w14:paraId="065D2E6D" w14:textId="473372FD" w:rsidR="005845B9" w:rsidRPr="00592A80" w:rsidRDefault="00515BBD" w:rsidP="00623141">
      <w:pPr>
        <w:pStyle w:val="ESIC1"/>
        <w:contextualSpacing/>
        <w:rPr>
          <w:rFonts w:asciiTheme="minorHAnsi" w:hAnsiTheme="minorHAnsi"/>
          <w:sz w:val="22"/>
          <w:szCs w:val="22"/>
        </w:rPr>
      </w:pPr>
      <w:r w:rsidRPr="00592A80">
        <w:rPr>
          <w:rFonts w:asciiTheme="minorHAnsi" w:hAnsiTheme="minorHAnsi"/>
          <w:sz w:val="22"/>
          <w:szCs w:val="22"/>
        </w:rPr>
        <w:t>cost</w:t>
      </w:r>
      <w:r w:rsidR="00623141" w:rsidRPr="00592A80">
        <w:rPr>
          <w:rFonts w:asciiTheme="minorHAnsi" w:hAnsiTheme="minorHAnsi"/>
          <w:sz w:val="22"/>
          <w:szCs w:val="22"/>
        </w:rPr>
        <w:t xml:space="preserve"> </w:t>
      </w:r>
      <w:r w:rsidR="002263DB" w:rsidRPr="00592A80">
        <w:rPr>
          <w:rFonts w:asciiTheme="minorHAnsi" w:hAnsiTheme="minorHAnsi"/>
          <w:sz w:val="22"/>
          <w:szCs w:val="22"/>
        </w:rPr>
        <w:t>breakdown</w:t>
      </w:r>
    </w:p>
    <w:p w14:paraId="031B0D24" w14:textId="2A3F804D" w:rsidR="00623141" w:rsidRPr="00592A80" w:rsidRDefault="00623141" w:rsidP="00214E53">
      <w:pPr>
        <w:spacing w:line="259" w:lineRule="auto"/>
        <w:contextualSpacing/>
        <w:jc w:val="both"/>
        <w:rPr>
          <w:sz w:val="22"/>
          <w:szCs w:val="22"/>
          <w:lang w:val="en-US"/>
        </w:rPr>
      </w:pPr>
      <w:r w:rsidRPr="00592A80">
        <w:rPr>
          <w:sz w:val="22"/>
          <w:szCs w:val="22"/>
          <w:lang w:val="en-US"/>
        </w:rPr>
        <w:t xml:space="preserve">In this section we present a breakdown </w:t>
      </w:r>
      <w:r w:rsidR="00E926EA" w:rsidRPr="00592A80">
        <w:rPr>
          <w:sz w:val="22"/>
          <w:szCs w:val="22"/>
          <w:lang w:val="en-US"/>
        </w:rPr>
        <w:t xml:space="preserve">of </w:t>
      </w:r>
      <w:r w:rsidR="009729B8" w:rsidRPr="00592A80">
        <w:rPr>
          <w:sz w:val="22"/>
          <w:szCs w:val="22"/>
          <w:lang w:val="en-US"/>
        </w:rPr>
        <w:t xml:space="preserve">the </w:t>
      </w:r>
      <w:r w:rsidR="00E926EA" w:rsidRPr="00592A80">
        <w:rPr>
          <w:sz w:val="22"/>
          <w:szCs w:val="22"/>
          <w:lang w:val="en-US"/>
        </w:rPr>
        <w:t>costs</w:t>
      </w:r>
      <w:r w:rsidR="005F73C2" w:rsidRPr="00592A80">
        <w:rPr>
          <w:sz w:val="22"/>
          <w:szCs w:val="22"/>
          <w:lang w:val="en-US"/>
        </w:rPr>
        <w:t xml:space="preserve"> for each solution</w:t>
      </w:r>
      <w:r w:rsidR="00E926EA" w:rsidRPr="00592A80">
        <w:rPr>
          <w:sz w:val="22"/>
          <w:szCs w:val="22"/>
          <w:lang w:val="en-US"/>
        </w:rPr>
        <w:t xml:space="preserve"> </w:t>
      </w:r>
      <w:r w:rsidR="00710A63" w:rsidRPr="00592A80">
        <w:rPr>
          <w:sz w:val="22"/>
          <w:szCs w:val="22"/>
          <w:lang w:val="en-US"/>
        </w:rPr>
        <w:t xml:space="preserve">by the </w:t>
      </w:r>
      <w:r w:rsidR="009729B8" w:rsidRPr="00592A80">
        <w:rPr>
          <w:sz w:val="22"/>
          <w:szCs w:val="22"/>
          <w:lang w:val="en-US"/>
        </w:rPr>
        <w:t xml:space="preserve">main </w:t>
      </w:r>
      <w:r w:rsidR="00FB31F4" w:rsidRPr="00592A80">
        <w:rPr>
          <w:sz w:val="22"/>
          <w:szCs w:val="22"/>
          <w:lang w:val="en-US"/>
        </w:rPr>
        <w:t>cost drivers</w:t>
      </w:r>
      <w:r w:rsidR="009729B8" w:rsidRPr="00592A80">
        <w:rPr>
          <w:sz w:val="22"/>
          <w:szCs w:val="22"/>
          <w:lang w:val="en-US"/>
        </w:rPr>
        <w:t xml:space="preserve">. </w:t>
      </w:r>
      <w:r w:rsidR="00FB31F4" w:rsidRPr="00592A80">
        <w:rPr>
          <w:sz w:val="22"/>
          <w:szCs w:val="22"/>
          <w:lang w:val="en-US"/>
        </w:rPr>
        <w:t xml:space="preserve">These are: </w:t>
      </w:r>
    </w:p>
    <w:p w14:paraId="15F11A75" w14:textId="5CA75186" w:rsidR="007C635C" w:rsidRPr="00592A80" w:rsidRDefault="007C635C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People</w:t>
      </w:r>
      <w:r w:rsidRPr="00592A80">
        <w:rPr>
          <w:sz w:val="22"/>
          <w:szCs w:val="22"/>
          <w:lang w:val="en-US"/>
        </w:rPr>
        <w:t>: Human resources involved in delivering the solution.</w:t>
      </w:r>
    </w:p>
    <w:p w14:paraId="11DB54D2" w14:textId="7F2EA377" w:rsidR="007C635C" w:rsidRPr="00592A80" w:rsidRDefault="007C635C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Contracts</w:t>
      </w:r>
      <w:r w:rsidR="0003135C" w:rsidRPr="00592A80">
        <w:rPr>
          <w:sz w:val="22"/>
          <w:szCs w:val="22"/>
          <w:lang w:val="en-US"/>
        </w:rPr>
        <w:t xml:space="preserve">: Third-party contracts, not including IT maintenance, needed </w:t>
      </w:r>
      <w:r w:rsidR="008729F1" w:rsidRPr="00592A80">
        <w:rPr>
          <w:sz w:val="22"/>
          <w:szCs w:val="22"/>
          <w:lang w:val="en-US"/>
        </w:rPr>
        <w:t>to deliver the solution</w:t>
      </w:r>
      <w:r w:rsidR="009729B8" w:rsidRPr="00592A80">
        <w:rPr>
          <w:sz w:val="22"/>
          <w:szCs w:val="22"/>
          <w:lang w:val="en-US"/>
        </w:rPr>
        <w:t>.</w:t>
      </w:r>
    </w:p>
    <w:p w14:paraId="51B8C9BB" w14:textId="7F5136A0" w:rsidR="007C635C" w:rsidRPr="00592A80" w:rsidRDefault="007C635C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Tools</w:t>
      </w:r>
      <w:r w:rsidR="005C4160" w:rsidRPr="00592A80">
        <w:rPr>
          <w:color w:val="0B769F"/>
          <w:sz w:val="22"/>
          <w:szCs w:val="22"/>
          <w:lang w:val="en-US"/>
        </w:rPr>
        <w:t xml:space="preserve"> </w:t>
      </w:r>
      <w:r w:rsidR="005C4160" w:rsidRPr="00592A80">
        <w:rPr>
          <w:sz w:val="22"/>
          <w:szCs w:val="22"/>
          <w:lang w:val="en-US"/>
        </w:rPr>
        <w:t xml:space="preserve">such as </w:t>
      </w:r>
      <w:r w:rsidR="009E4F19" w:rsidRPr="00592A80">
        <w:rPr>
          <w:sz w:val="22"/>
          <w:szCs w:val="22"/>
          <w:lang w:val="en-US"/>
        </w:rPr>
        <w:t>software license, data sharing tools, or new computer hardware.</w:t>
      </w:r>
    </w:p>
    <w:p w14:paraId="2FB83476" w14:textId="11B71360" w:rsidR="007C635C" w:rsidRPr="00592A80" w:rsidRDefault="008729F1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Training</w:t>
      </w:r>
      <w:r w:rsidR="00D9652A" w:rsidRPr="00592A80">
        <w:rPr>
          <w:sz w:val="22"/>
          <w:szCs w:val="22"/>
          <w:lang w:val="en-US"/>
        </w:rPr>
        <w:t xml:space="preserve">: </w:t>
      </w:r>
      <w:r w:rsidR="009729B8" w:rsidRPr="00592A80">
        <w:rPr>
          <w:sz w:val="22"/>
          <w:szCs w:val="22"/>
          <w:lang w:val="en-US"/>
        </w:rPr>
        <w:t xml:space="preserve">Attendance </w:t>
      </w:r>
      <w:r w:rsidR="00D9652A" w:rsidRPr="00592A80">
        <w:rPr>
          <w:sz w:val="22"/>
          <w:szCs w:val="22"/>
          <w:lang w:val="en-US"/>
        </w:rPr>
        <w:t>at</w:t>
      </w:r>
      <w:r w:rsidR="004A2AD6" w:rsidRPr="00592A80">
        <w:rPr>
          <w:sz w:val="22"/>
          <w:szCs w:val="22"/>
          <w:lang w:val="en-US"/>
        </w:rPr>
        <w:t xml:space="preserve"> training events.  </w:t>
      </w:r>
    </w:p>
    <w:p w14:paraId="42A45926" w14:textId="41E2CB56" w:rsidR="008729F1" w:rsidRPr="00592A80" w:rsidRDefault="008729F1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Citizens</w:t>
      </w:r>
      <w:r w:rsidR="00827994" w:rsidRPr="00592A80">
        <w:rPr>
          <w:color w:val="0B769F"/>
          <w:sz w:val="22"/>
          <w:szCs w:val="22"/>
          <w:lang w:val="en-US"/>
        </w:rPr>
        <w:t>’</w:t>
      </w:r>
      <w:r w:rsidRPr="00592A80">
        <w:rPr>
          <w:color w:val="0B769F"/>
          <w:sz w:val="22"/>
          <w:szCs w:val="22"/>
          <w:lang w:val="en-US"/>
        </w:rPr>
        <w:t xml:space="preserve"> engagement</w:t>
      </w:r>
      <w:r w:rsidR="00A82F6D" w:rsidRPr="00592A80">
        <w:rPr>
          <w:sz w:val="22"/>
          <w:szCs w:val="22"/>
          <w:lang w:val="en-US"/>
        </w:rPr>
        <w:t xml:space="preserve">: </w:t>
      </w:r>
      <w:r w:rsidR="009729B8" w:rsidRPr="00592A80">
        <w:rPr>
          <w:sz w:val="22"/>
          <w:szCs w:val="22"/>
          <w:lang w:val="en-US"/>
        </w:rPr>
        <w:t xml:space="preserve">Hours </w:t>
      </w:r>
      <w:r w:rsidR="00A82F6D" w:rsidRPr="00592A80">
        <w:rPr>
          <w:sz w:val="22"/>
          <w:szCs w:val="22"/>
          <w:lang w:val="en-US"/>
        </w:rPr>
        <w:t xml:space="preserve">of citizen engagement </w:t>
      </w:r>
      <w:r w:rsidR="009729B8" w:rsidRPr="00592A80">
        <w:rPr>
          <w:sz w:val="22"/>
          <w:szCs w:val="22"/>
          <w:lang w:val="en-US"/>
        </w:rPr>
        <w:t xml:space="preserve">envisaged </w:t>
      </w:r>
      <w:r w:rsidR="00A82F6D" w:rsidRPr="00592A80">
        <w:rPr>
          <w:sz w:val="22"/>
          <w:szCs w:val="22"/>
          <w:lang w:val="en-US"/>
        </w:rPr>
        <w:t>during the length of the solution</w:t>
      </w:r>
      <w:r w:rsidR="009729B8" w:rsidRPr="00592A80">
        <w:rPr>
          <w:sz w:val="22"/>
          <w:szCs w:val="22"/>
          <w:lang w:val="en-US"/>
        </w:rPr>
        <w:t>.</w:t>
      </w:r>
    </w:p>
    <w:p w14:paraId="43AC103F" w14:textId="0A21C8E2" w:rsidR="008729F1" w:rsidRPr="00592A80" w:rsidRDefault="008729F1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Travel</w:t>
      </w:r>
      <w:r w:rsidR="00DD3AD1" w:rsidRPr="00592A80">
        <w:rPr>
          <w:sz w:val="22"/>
          <w:szCs w:val="22"/>
          <w:lang w:val="en-US"/>
        </w:rPr>
        <w:t xml:space="preserve">: </w:t>
      </w:r>
      <w:r w:rsidR="002263DB" w:rsidRPr="00592A80">
        <w:rPr>
          <w:sz w:val="22"/>
          <w:szCs w:val="22"/>
          <w:lang w:val="en-US"/>
        </w:rPr>
        <w:t xml:space="preserve">Local </w:t>
      </w:r>
      <w:r w:rsidR="00B40060" w:rsidRPr="00592A80">
        <w:rPr>
          <w:sz w:val="22"/>
          <w:szCs w:val="22"/>
          <w:lang w:val="en-US"/>
        </w:rPr>
        <w:t xml:space="preserve">and international </w:t>
      </w:r>
      <w:r w:rsidR="00DD3AD1" w:rsidRPr="00592A80">
        <w:rPr>
          <w:sz w:val="22"/>
          <w:szCs w:val="22"/>
          <w:lang w:val="en-US"/>
        </w:rPr>
        <w:t xml:space="preserve">travel and accommodation </w:t>
      </w:r>
      <w:r w:rsidR="00002C7C" w:rsidRPr="00592A80">
        <w:rPr>
          <w:sz w:val="22"/>
          <w:szCs w:val="22"/>
          <w:lang w:val="en-US"/>
        </w:rPr>
        <w:t xml:space="preserve">costs </w:t>
      </w:r>
      <w:r w:rsidR="00DD3AD1" w:rsidRPr="00592A80">
        <w:rPr>
          <w:sz w:val="22"/>
          <w:szCs w:val="22"/>
          <w:lang w:val="en-US"/>
        </w:rPr>
        <w:t xml:space="preserve">for the administration </w:t>
      </w:r>
      <w:r w:rsidR="00002C7C" w:rsidRPr="00592A80">
        <w:rPr>
          <w:sz w:val="22"/>
          <w:szCs w:val="22"/>
          <w:lang w:val="en-US"/>
        </w:rPr>
        <w:t xml:space="preserve">or promotion </w:t>
      </w:r>
      <w:r w:rsidR="00DD3AD1" w:rsidRPr="00592A80">
        <w:rPr>
          <w:sz w:val="22"/>
          <w:szCs w:val="22"/>
          <w:lang w:val="en-US"/>
        </w:rPr>
        <w:t xml:space="preserve">of </w:t>
      </w:r>
      <w:r w:rsidR="00002C7C" w:rsidRPr="00592A80">
        <w:rPr>
          <w:sz w:val="22"/>
          <w:szCs w:val="22"/>
          <w:lang w:val="en-US"/>
        </w:rPr>
        <w:t>the</w:t>
      </w:r>
      <w:r w:rsidR="00DD3AD1" w:rsidRPr="00592A80">
        <w:rPr>
          <w:sz w:val="22"/>
          <w:szCs w:val="22"/>
          <w:lang w:val="en-US"/>
        </w:rPr>
        <w:t xml:space="preserve"> solution</w:t>
      </w:r>
      <w:r w:rsidR="009729B8" w:rsidRPr="00592A80">
        <w:rPr>
          <w:sz w:val="22"/>
          <w:szCs w:val="22"/>
          <w:lang w:val="en-US"/>
        </w:rPr>
        <w:t>.</w:t>
      </w:r>
    </w:p>
    <w:p w14:paraId="3CDB33B4" w14:textId="5E14CA52" w:rsidR="00A82F6D" w:rsidRPr="00592A80" w:rsidRDefault="004D2E3D" w:rsidP="001D6A94">
      <w:pPr>
        <w:pStyle w:val="ListParagraph"/>
        <w:numPr>
          <w:ilvl w:val="0"/>
          <w:numId w:val="3"/>
        </w:num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color w:val="0B769F"/>
          <w:sz w:val="22"/>
          <w:szCs w:val="22"/>
          <w:lang w:val="en-US"/>
        </w:rPr>
        <w:t>Dissemination</w:t>
      </w:r>
      <w:r w:rsidRPr="00592A80">
        <w:rPr>
          <w:sz w:val="22"/>
          <w:szCs w:val="22"/>
          <w:lang w:val="en-US"/>
        </w:rPr>
        <w:t xml:space="preserve">: </w:t>
      </w:r>
      <w:r w:rsidR="00592214" w:rsidRPr="00592A80">
        <w:rPr>
          <w:sz w:val="22"/>
          <w:szCs w:val="22"/>
          <w:lang w:val="en-US"/>
        </w:rPr>
        <w:t xml:space="preserve">Publication </w:t>
      </w:r>
      <w:r w:rsidR="00002C7C" w:rsidRPr="00592A80">
        <w:rPr>
          <w:sz w:val="22"/>
          <w:szCs w:val="22"/>
          <w:lang w:val="en-US"/>
        </w:rPr>
        <w:t>and promotional expenses.</w:t>
      </w:r>
    </w:p>
    <w:p w14:paraId="03059A85" w14:textId="5859A314" w:rsidR="00E926EA" w:rsidRPr="00592A80" w:rsidRDefault="00F92CB4" w:rsidP="00214E53">
      <w:pPr>
        <w:spacing w:line="259" w:lineRule="auto"/>
        <w:contextualSpacing/>
        <w:jc w:val="both"/>
        <w:rPr>
          <w:sz w:val="22"/>
          <w:szCs w:val="22"/>
          <w:lang w:val="en-US"/>
        </w:rPr>
      </w:pPr>
      <w:r w:rsidRPr="00592A80">
        <w:rPr>
          <w:sz w:val="22"/>
          <w:szCs w:val="22"/>
          <w:lang w:val="en-US"/>
        </w:rPr>
        <w:t>All</w:t>
      </w:r>
      <w:r w:rsidR="00445854" w:rsidRPr="00592A80">
        <w:rPr>
          <w:sz w:val="22"/>
          <w:szCs w:val="22"/>
          <w:lang w:val="en-US"/>
        </w:rPr>
        <w:t xml:space="preserve"> </w:t>
      </w:r>
      <w:r w:rsidR="0066221E" w:rsidRPr="00592A80">
        <w:rPr>
          <w:sz w:val="22"/>
          <w:szCs w:val="22"/>
          <w:lang w:val="en-US"/>
        </w:rPr>
        <w:t xml:space="preserve">total </w:t>
      </w:r>
      <w:r w:rsidR="00445854" w:rsidRPr="00592A80">
        <w:rPr>
          <w:sz w:val="22"/>
          <w:szCs w:val="22"/>
          <w:lang w:val="en-US"/>
        </w:rPr>
        <w:t>cost</w:t>
      </w:r>
      <w:r w:rsidR="00153D0E">
        <w:rPr>
          <w:sz w:val="22"/>
          <w:szCs w:val="22"/>
          <w:lang w:val="en-US"/>
        </w:rPr>
        <w:t xml:space="preserve">s </w:t>
      </w:r>
      <w:r w:rsidR="0066221E" w:rsidRPr="00592A80">
        <w:rPr>
          <w:sz w:val="22"/>
          <w:szCs w:val="22"/>
          <w:lang w:val="en-US"/>
        </w:rPr>
        <w:t>include</w:t>
      </w:r>
      <w:r w:rsidR="00445854" w:rsidRPr="00592A80">
        <w:rPr>
          <w:sz w:val="22"/>
          <w:szCs w:val="22"/>
          <w:lang w:val="en-US"/>
        </w:rPr>
        <w:t xml:space="preserve"> a standard 20% </w:t>
      </w:r>
      <w:r w:rsidRPr="00592A80">
        <w:rPr>
          <w:sz w:val="22"/>
          <w:szCs w:val="22"/>
          <w:lang w:val="en-US"/>
        </w:rPr>
        <w:t xml:space="preserve">of </w:t>
      </w:r>
      <w:r w:rsidR="003111F5" w:rsidRPr="00592A80">
        <w:rPr>
          <w:sz w:val="22"/>
          <w:szCs w:val="22"/>
          <w:lang w:val="en-US"/>
        </w:rPr>
        <w:t>total</w:t>
      </w:r>
      <w:r w:rsidRPr="00592A80">
        <w:rPr>
          <w:sz w:val="22"/>
          <w:szCs w:val="22"/>
          <w:lang w:val="en-US"/>
        </w:rPr>
        <w:t xml:space="preserve"> direct costs</w:t>
      </w:r>
      <w:r w:rsidR="0066221E" w:rsidRPr="00592A80">
        <w:rPr>
          <w:sz w:val="22"/>
          <w:szCs w:val="22"/>
          <w:lang w:val="en-US"/>
        </w:rPr>
        <w:t xml:space="preserve"> for </w:t>
      </w:r>
      <w:r w:rsidR="003111F5" w:rsidRPr="00592A80">
        <w:rPr>
          <w:sz w:val="22"/>
          <w:szCs w:val="22"/>
          <w:lang w:val="en-US"/>
        </w:rPr>
        <w:t xml:space="preserve">overheads. </w:t>
      </w:r>
      <w:r w:rsidR="001F6F4C" w:rsidRPr="00592A80">
        <w:rPr>
          <w:sz w:val="22"/>
          <w:szCs w:val="22"/>
          <w:lang w:val="en-US"/>
        </w:rPr>
        <w:t xml:space="preserve">All figures are </w:t>
      </w:r>
      <w:r w:rsidR="0066221E" w:rsidRPr="00592A80">
        <w:rPr>
          <w:sz w:val="22"/>
          <w:szCs w:val="22"/>
          <w:lang w:val="en-US"/>
        </w:rPr>
        <w:t xml:space="preserve">quoted </w:t>
      </w:r>
      <w:r w:rsidR="001F6F4C" w:rsidRPr="00592A80">
        <w:rPr>
          <w:sz w:val="22"/>
          <w:szCs w:val="22"/>
          <w:lang w:val="en-US"/>
        </w:rPr>
        <w:t>in USD.</w:t>
      </w:r>
    </w:p>
    <w:p w14:paraId="1E54677D" w14:textId="77777777" w:rsidR="00592214" w:rsidRDefault="00592214" w:rsidP="00214E53">
      <w:pPr>
        <w:spacing w:line="259" w:lineRule="auto"/>
        <w:contextualSpacing/>
        <w:jc w:val="both"/>
        <w:rPr>
          <w:b/>
          <w:bCs/>
          <w:sz w:val="22"/>
          <w:szCs w:val="22"/>
          <w:lang w:val="en-US"/>
        </w:rPr>
      </w:pPr>
    </w:p>
    <w:p w14:paraId="3F8FC2CE" w14:textId="2D9C2979" w:rsidR="00214E53" w:rsidRPr="00592A80" w:rsidRDefault="00214E53" w:rsidP="00F41488">
      <w:p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1</w:t>
      </w:r>
      <w:r w:rsidR="00AF0A53" w:rsidRPr="00592A80">
        <w:rPr>
          <w:b/>
          <w:bCs/>
          <w:sz w:val="22"/>
          <w:szCs w:val="22"/>
          <w:lang w:val="en-US"/>
        </w:rPr>
        <w:t>:</w:t>
      </w:r>
      <w:r w:rsidR="00AF0A53" w:rsidRPr="00592A80">
        <w:rPr>
          <w:sz w:val="22"/>
          <w:szCs w:val="22"/>
          <w:lang w:val="en-US"/>
        </w:rPr>
        <w:t xml:space="preserve"> </w:t>
      </w:r>
      <w:r w:rsidRPr="00FF0C37">
        <w:rPr>
          <w:color w:val="0B769F"/>
          <w:sz w:val="22"/>
          <w:szCs w:val="22"/>
          <w:lang w:val="en-US"/>
        </w:rPr>
        <w:t>ESIC Knowledge Hub</w:t>
      </w:r>
    </w:p>
    <w:p w14:paraId="093137D9" w14:textId="4AA54E83" w:rsidR="000C7E70" w:rsidRPr="00592A80" w:rsidRDefault="00214E53" w:rsidP="00F41488">
      <w:p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Description:</w:t>
      </w:r>
      <w:r w:rsidR="00D75414" w:rsidRPr="00592A80">
        <w:rPr>
          <w:sz w:val="22"/>
          <w:szCs w:val="22"/>
          <w:lang w:val="en-US"/>
        </w:rPr>
        <w:t xml:space="preserve"> A resource-curating website to function as a centralized access point to high-quality, relevant content about evidence synthesis production and use, especially from the Global South. The Hub will be set up to improve discoverability and </w:t>
      </w:r>
      <w:r w:rsidR="00967403" w:rsidRPr="00592A80">
        <w:rPr>
          <w:sz w:val="22"/>
          <w:szCs w:val="22"/>
          <w:lang w:val="en-US"/>
        </w:rPr>
        <w:t>interoperability</w:t>
      </w:r>
      <w:r w:rsidR="00D75414" w:rsidRPr="00592A80">
        <w:rPr>
          <w:sz w:val="22"/>
          <w:szCs w:val="22"/>
          <w:lang w:val="en-US"/>
        </w:rPr>
        <w:t xml:space="preserve"> across systems</w:t>
      </w:r>
      <w:r w:rsidR="00967403" w:rsidRPr="00592A80">
        <w:rPr>
          <w:sz w:val="22"/>
          <w:szCs w:val="22"/>
          <w:lang w:val="en-US"/>
        </w:rPr>
        <w:t xml:space="preserve">, </w:t>
      </w:r>
      <w:r w:rsidR="00D75414" w:rsidRPr="00592A80">
        <w:rPr>
          <w:sz w:val="22"/>
          <w:szCs w:val="22"/>
          <w:lang w:val="en-US"/>
        </w:rPr>
        <w:t>multiple evidence sources.</w:t>
      </w:r>
    </w:p>
    <w:p w14:paraId="1F9AC580" w14:textId="287A8245" w:rsidR="00967403" w:rsidRPr="00592A80" w:rsidRDefault="00EE6E66" w:rsidP="00F41488">
      <w:pPr>
        <w:spacing w:line="259" w:lineRule="auto"/>
        <w:jc w:val="both"/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lastRenderedPageBreak/>
        <w:t>Cost breakdown</w:t>
      </w:r>
      <w:r w:rsidRPr="00592A80">
        <w:rPr>
          <w:sz w:val="22"/>
          <w:szCs w:val="22"/>
          <w:lang w:val="en-US"/>
        </w:rPr>
        <w:t>:</w:t>
      </w:r>
      <w:r w:rsidR="00947A26">
        <w:rPr>
          <w:sz w:val="22"/>
          <w:szCs w:val="22"/>
          <w:lang w:val="en-US"/>
        </w:rPr>
        <w:t xml:space="preserve"> </w:t>
      </w:r>
      <w:r w:rsidR="00A67575">
        <w:rPr>
          <w:sz w:val="22"/>
          <w:szCs w:val="22"/>
          <w:lang w:val="en-US"/>
        </w:rPr>
        <w:t>Table 2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3539"/>
        <w:gridCol w:w="2693"/>
        <w:gridCol w:w="3402"/>
      </w:tblGrid>
      <w:tr w:rsidR="00036B7C" w:rsidRPr="00592A80" w14:paraId="05A8071F" w14:textId="77777777" w:rsidTr="00B5763A">
        <w:trPr>
          <w:trHeight w:val="51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46CF2" w14:textId="77777777" w:rsidR="00036B7C" w:rsidRPr="00592A80" w:rsidRDefault="00036B7C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48D1" w14:textId="77777777" w:rsidR="00036B7C" w:rsidRPr="00592A80" w:rsidRDefault="00036B7C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A7003" w14:textId="13555AE1" w:rsidR="00036B7C" w:rsidRPr="00592A80" w:rsidRDefault="00036B7C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036B7C" w:rsidRPr="00592A80" w14:paraId="3F6FF930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F68C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1ADF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$6,532,477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B7D4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84.75%</w:t>
            </w:r>
          </w:p>
        </w:tc>
      </w:tr>
      <w:tr w:rsidR="00036B7C" w:rsidRPr="00592A80" w14:paraId="6C31BA9B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709E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307F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$67,000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3C79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0.87%</w:t>
            </w:r>
          </w:p>
        </w:tc>
      </w:tr>
      <w:tr w:rsidR="00036B7C" w:rsidRPr="00592A80" w14:paraId="49D44315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C58B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3B70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$155,750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EA3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2.02%</w:t>
            </w:r>
          </w:p>
        </w:tc>
      </w:tr>
      <w:tr w:rsidR="00036B7C" w:rsidRPr="00592A80" w14:paraId="5A27EF8E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5DBC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DEB8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$172,000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2890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2.23%</w:t>
            </w:r>
          </w:p>
        </w:tc>
      </w:tr>
      <w:tr w:rsidR="00036B7C" w:rsidRPr="00592A80" w14:paraId="0813ED12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1338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361E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$11,400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F084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0.15%</w:t>
            </w:r>
          </w:p>
        </w:tc>
      </w:tr>
      <w:tr w:rsidR="00036B7C" w:rsidRPr="00592A80" w14:paraId="45805C9D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7B57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B477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$69,500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F673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0.90%</w:t>
            </w:r>
          </w:p>
        </w:tc>
      </w:tr>
      <w:tr w:rsidR="00036B7C" w:rsidRPr="00592A80" w14:paraId="2C94FE69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CDC5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FD7E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$645,000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BF70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8.37%</w:t>
            </w:r>
          </w:p>
        </w:tc>
      </w:tr>
      <w:tr w:rsidR="00036B7C" w:rsidRPr="00592A80" w14:paraId="21ECF69A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CA00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4342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0C20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0.71%</w:t>
            </w:r>
          </w:p>
        </w:tc>
      </w:tr>
      <w:tr w:rsidR="00036B7C" w:rsidRPr="00592A80" w14:paraId="7FAF6558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36A8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9429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$7,708,127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CD87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036B7C" w:rsidRPr="00592A80" w14:paraId="4A5C5978" w14:textId="77777777" w:rsidTr="00B5763A">
        <w:trPr>
          <w:trHeight w:val="301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CEBE" w14:textId="77777777" w:rsidR="00036B7C" w:rsidRPr="00592A80" w:rsidRDefault="00036B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068B" w14:textId="77777777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$9,249,752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F331" w14:textId="4C8C2BF9" w:rsidR="00036B7C" w:rsidRPr="00592A80" w:rsidRDefault="00036B7C" w:rsidP="000F00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5C26E841" w14:textId="77777777" w:rsidR="00036B7C" w:rsidRPr="00592A80" w:rsidRDefault="00036B7C" w:rsidP="000C7E70">
      <w:pPr>
        <w:spacing w:line="259" w:lineRule="auto"/>
        <w:contextualSpacing/>
        <w:jc w:val="both"/>
        <w:rPr>
          <w:sz w:val="22"/>
          <w:szCs w:val="22"/>
          <w:lang w:val="en-US"/>
        </w:rPr>
      </w:pPr>
    </w:p>
    <w:p w14:paraId="114B9B3B" w14:textId="5D21DB59" w:rsidR="0025255B" w:rsidRPr="00592A80" w:rsidRDefault="000F006F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2</w:t>
      </w:r>
      <w:r w:rsidRPr="00592A80">
        <w:rPr>
          <w:sz w:val="22"/>
          <w:szCs w:val="22"/>
          <w:lang w:val="en-US"/>
        </w:rPr>
        <w:t xml:space="preserve">: </w:t>
      </w:r>
      <w:r w:rsidR="0025255B" w:rsidRPr="00FF0C37">
        <w:rPr>
          <w:color w:val="0B769F"/>
          <w:sz w:val="22"/>
          <w:szCs w:val="22"/>
          <w:lang w:val="en-US"/>
        </w:rPr>
        <w:t>Knowledge Translation AI (KTai)</w:t>
      </w:r>
    </w:p>
    <w:p w14:paraId="19DEF795" w14:textId="63ABA39F" w:rsidR="000F006F" w:rsidRPr="00592A80" w:rsidRDefault="000F006F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F41488" w:rsidRPr="00592A80">
        <w:rPr>
          <w:sz w:val="22"/>
          <w:szCs w:val="22"/>
          <w:lang w:val="en-US"/>
        </w:rPr>
        <w:t xml:space="preserve"> This application will use artificial intelligence to automate the process of translating findings from an evidence synthesis into useable tools for practice, policy, or decision-making. It will also provide the ability for citizens to view, vote, or comment on a policy-relevant summary, thereby stimulating civic engagement to make synthesized evidence actionable.</w:t>
      </w:r>
    </w:p>
    <w:p w14:paraId="0D32F43D" w14:textId="57A41B8B" w:rsidR="00F41488" w:rsidRPr="00592A80" w:rsidRDefault="00F41488" w:rsidP="00F41488">
      <w:pPr>
        <w:spacing w:line="259" w:lineRule="auto"/>
        <w:contextualSpacing/>
        <w:jc w:val="both"/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 breakdown</w:t>
      </w:r>
      <w:r w:rsidRPr="00592A80">
        <w:rPr>
          <w:sz w:val="22"/>
          <w:szCs w:val="22"/>
          <w:lang w:val="en-US"/>
        </w:rPr>
        <w:t>:</w:t>
      </w:r>
      <w:r w:rsidR="009D0C2C">
        <w:rPr>
          <w:sz w:val="22"/>
          <w:szCs w:val="22"/>
          <w:lang w:val="en-US"/>
        </w:rPr>
        <w:t xml:space="preserve"> </w:t>
      </w:r>
      <w:r w:rsidR="00A67575">
        <w:rPr>
          <w:sz w:val="22"/>
          <w:szCs w:val="22"/>
          <w:lang w:val="en-US"/>
        </w:rPr>
        <w:t>Table 3</w:t>
      </w:r>
    </w:p>
    <w:p w14:paraId="7E2C64A5" w14:textId="77777777" w:rsidR="005E2259" w:rsidRPr="00592A80" w:rsidRDefault="005E2259" w:rsidP="00F41488">
      <w:pPr>
        <w:spacing w:line="259" w:lineRule="auto"/>
        <w:contextualSpacing/>
        <w:jc w:val="both"/>
        <w:rPr>
          <w:sz w:val="22"/>
          <w:szCs w:val="22"/>
          <w:lang w:val="en-US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5E2259" w:rsidRPr="00592A80" w14:paraId="1345D977" w14:textId="77777777" w:rsidTr="00B5763A">
        <w:trPr>
          <w:trHeight w:val="401"/>
          <w:tblHeader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7254" w14:textId="77777777" w:rsidR="005E2259" w:rsidRPr="00592A80" w:rsidRDefault="005E2259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4F2EE" w14:textId="77777777" w:rsidR="005E2259" w:rsidRPr="00592A80" w:rsidRDefault="005E2259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87C4F" w14:textId="77777777" w:rsidR="005E2259" w:rsidRPr="00592A80" w:rsidRDefault="005E2259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Percentage of total direct costs </w:t>
            </w:r>
          </w:p>
        </w:tc>
      </w:tr>
      <w:tr w:rsidR="005E2259" w:rsidRPr="00592A80" w14:paraId="332FCE00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59F5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00E5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$2,070,687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1273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82.64%</w:t>
            </w:r>
          </w:p>
        </w:tc>
      </w:tr>
      <w:tr w:rsidR="005E2259" w:rsidRPr="00592A80" w14:paraId="33AF9282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922B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4FFF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8AFB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5E2259" w:rsidRPr="00592A80" w14:paraId="659A5C2A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467D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0B44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$161,400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123D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6.44%</w:t>
            </w:r>
          </w:p>
        </w:tc>
      </w:tr>
      <w:tr w:rsidR="005E2259" w:rsidRPr="00592A80" w14:paraId="1AA92FD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A553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5AD6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$172,000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CFC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6.86%</w:t>
            </w:r>
          </w:p>
        </w:tc>
      </w:tr>
      <w:tr w:rsidR="005E2259" w:rsidRPr="00592A80" w14:paraId="52B12CB2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8BC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5E4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$11,400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2D64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0.45%</w:t>
            </w:r>
          </w:p>
        </w:tc>
      </w:tr>
      <w:tr w:rsidR="005E2259" w:rsidRPr="00592A80" w14:paraId="151A5AA1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7A8F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E3E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68BF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2.00%</w:t>
            </w:r>
          </w:p>
        </w:tc>
      </w:tr>
      <w:tr w:rsidR="005E2259" w:rsidRPr="00592A80" w14:paraId="663F1723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93E7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5A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$40,100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0679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1.60%</w:t>
            </w:r>
          </w:p>
        </w:tc>
      </w:tr>
      <w:tr w:rsidR="005E2259" w:rsidRPr="00592A80" w14:paraId="50C5075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88FC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FB46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6A18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5E2259" w:rsidRPr="00592A80" w14:paraId="17314A78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6350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B674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$2,505,587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3112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5E2259" w:rsidRPr="00592A80" w14:paraId="382CE376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9A5" w14:textId="77777777" w:rsidR="005E2259" w:rsidRPr="00592A80" w:rsidRDefault="005E225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06CA" w14:textId="77777777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$3,006,705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6A24" w14:textId="081DFBCA" w:rsidR="005E2259" w:rsidRPr="00592A80" w:rsidRDefault="005E2259" w:rsidP="005E22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2D1EED6D" w14:textId="77777777" w:rsidR="005E2259" w:rsidRPr="00592A80" w:rsidRDefault="005E2259" w:rsidP="005E2259">
      <w:pPr>
        <w:rPr>
          <w:sz w:val="22"/>
          <w:szCs w:val="22"/>
        </w:rPr>
      </w:pPr>
    </w:p>
    <w:p w14:paraId="1C8EDFAE" w14:textId="5EBD95D2" w:rsidR="0025255B" w:rsidRPr="00592A80" w:rsidRDefault="00CB12A6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3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Regional collaborating centers with country nodes</w:t>
      </w:r>
    </w:p>
    <w:p w14:paraId="702E5148" w14:textId="08612F82" w:rsidR="00CB12A6" w:rsidRPr="00592A80" w:rsidRDefault="00CB12A6" w:rsidP="008A6F02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 xml:space="preserve">Description: </w:t>
      </w:r>
      <w:r w:rsidR="008A6F02" w:rsidRPr="00592A80">
        <w:rPr>
          <w:sz w:val="22"/>
          <w:szCs w:val="22"/>
          <w:lang w:val="en-US"/>
        </w:rPr>
        <w:t>Regional collaborating centres to be established with country-level nodes to localize capacity and skill in adapting global knowledge. Assumption: 1 coordinating centre (rotating secretariat) with 6 regional collaborating centres with 10 nodes covering several countries each.</w:t>
      </w:r>
    </w:p>
    <w:p w14:paraId="2D78B21B" w14:textId="39FED654" w:rsidR="00CB12A6" w:rsidRPr="00592A80" w:rsidRDefault="00E4054D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 breakdown</w:t>
      </w:r>
      <w:r w:rsidRPr="00592A80">
        <w:rPr>
          <w:sz w:val="22"/>
          <w:szCs w:val="22"/>
          <w:lang w:val="en-US"/>
        </w:rPr>
        <w:t xml:space="preserve">: </w:t>
      </w:r>
      <w:r w:rsidR="00A67575">
        <w:rPr>
          <w:sz w:val="22"/>
          <w:szCs w:val="22"/>
          <w:lang w:val="en-US"/>
        </w:rPr>
        <w:t>Table 4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FE4704" w:rsidRPr="00592A80" w14:paraId="75FEBC7E" w14:textId="77777777" w:rsidTr="00B5763A">
        <w:trPr>
          <w:trHeight w:val="38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ED1BC" w14:textId="77777777" w:rsidR="00FE4704" w:rsidRPr="00592A80" w:rsidRDefault="00FE4704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Category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D385" w14:textId="77777777" w:rsidR="00FE4704" w:rsidRPr="00592A80" w:rsidRDefault="00FE4704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F4DF7" w14:textId="06ABBCF6" w:rsidR="00FE4704" w:rsidRPr="00592A80" w:rsidRDefault="00FE4704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FE4704" w:rsidRPr="00592A80" w14:paraId="22DE4944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1DB7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DDB5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$7,530,217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35A1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71.74%</w:t>
            </w:r>
          </w:p>
        </w:tc>
      </w:tr>
      <w:tr w:rsidR="00FE4704" w:rsidRPr="00592A80" w14:paraId="4A4A551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7F35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F55C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$100,000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3D8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0.95%</w:t>
            </w:r>
          </w:p>
        </w:tc>
      </w:tr>
      <w:tr w:rsidR="00FE4704" w:rsidRPr="00592A80" w14:paraId="289F9793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05BD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F316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$67,800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5B25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0.65%</w:t>
            </w:r>
          </w:p>
        </w:tc>
      </w:tr>
      <w:tr w:rsidR="00FE4704" w:rsidRPr="00592A80" w14:paraId="17D014AF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A312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93A7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$2,160,000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244A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20.58%</w:t>
            </w:r>
          </w:p>
        </w:tc>
      </w:tr>
      <w:tr w:rsidR="00FE4704" w:rsidRPr="00592A80" w14:paraId="0B1DB95B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4ECC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BE0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$114,000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DFA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1.09%</w:t>
            </w:r>
          </w:p>
        </w:tc>
      </w:tr>
      <w:tr w:rsidR="00FE4704" w:rsidRPr="00592A80" w14:paraId="53167811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9E4F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E80C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$510,000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DE0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4.86%</w:t>
            </w:r>
          </w:p>
        </w:tc>
      </w:tr>
      <w:tr w:rsidR="00FE4704" w:rsidRPr="00592A80" w14:paraId="47CA66F0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167B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6D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8F61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0.14%</w:t>
            </w:r>
          </w:p>
        </w:tc>
      </w:tr>
      <w:tr w:rsidR="00FE4704" w:rsidRPr="00592A80" w14:paraId="2503EB0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D1D7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F7FB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079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E4704" w:rsidRPr="00592A80" w14:paraId="0F85BF84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2379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92F3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$10,497,017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64BE" w14:textId="77777777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FE4704" w:rsidRPr="00592A80" w14:paraId="19693C8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F369" w14:textId="77777777" w:rsidR="00FE4704" w:rsidRPr="00592A80" w:rsidRDefault="00FE4704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CF6C" w14:textId="5D692E59" w:rsidR="006921F6" w:rsidRPr="00592A80" w:rsidRDefault="00FE4704" w:rsidP="000E24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$12,596,420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38A1" w14:textId="057CF02E" w:rsidR="00FE4704" w:rsidRPr="00592A80" w:rsidRDefault="00FE4704" w:rsidP="00FE4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0E02B92A" w14:textId="77777777" w:rsidR="00E4054D" w:rsidRPr="00592A80" w:rsidRDefault="00E4054D" w:rsidP="0025255B">
      <w:pPr>
        <w:rPr>
          <w:sz w:val="22"/>
          <w:szCs w:val="22"/>
          <w:lang w:val="en-US"/>
        </w:rPr>
      </w:pPr>
    </w:p>
    <w:p w14:paraId="3027E75C" w14:textId="15C1ED2D" w:rsidR="0025255B" w:rsidRPr="00592A80" w:rsidRDefault="004026CE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sz w:val="22"/>
          <w:szCs w:val="22"/>
          <w:lang w:val="en-US"/>
        </w:rPr>
        <w:t xml:space="preserve"> 4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Mentorship and Train the Trainer Programs</w:t>
      </w:r>
    </w:p>
    <w:p w14:paraId="1152C6C4" w14:textId="20AB9C44" w:rsidR="004026CE" w:rsidRPr="00592A80" w:rsidRDefault="004026CE" w:rsidP="00FF362E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FF362E" w:rsidRPr="00592A80">
        <w:rPr>
          <w:sz w:val="22"/>
          <w:szCs w:val="22"/>
        </w:rPr>
        <w:t xml:space="preserve"> </w:t>
      </w:r>
      <w:r w:rsidR="00FF362E" w:rsidRPr="00592A80">
        <w:rPr>
          <w:sz w:val="22"/>
          <w:szCs w:val="22"/>
          <w:lang w:val="en-US"/>
        </w:rPr>
        <w:t>Structured and interdisciplinary mentorship and train the trainer programs. Globally pooled, certified trainers and mentors (experts in evidence synthesis and translation); regional program director; senior mentors; staff for day-to-day operations; interdisciplinary trainers and mentors; website developers; content developers; research assistants; admin</w:t>
      </w:r>
      <w:r w:rsidR="00B74790" w:rsidRPr="00592A80">
        <w:rPr>
          <w:sz w:val="22"/>
          <w:szCs w:val="22"/>
          <w:lang w:val="en-US"/>
        </w:rPr>
        <w:t>istrative</w:t>
      </w:r>
      <w:r w:rsidR="00FF362E" w:rsidRPr="00592A80">
        <w:rPr>
          <w:sz w:val="22"/>
          <w:szCs w:val="22"/>
          <w:lang w:val="en-US"/>
        </w:rPr>
        <w:t xml:space="preserve"> staff.</w:t>
      </w:r>
    </w:p>
    <w:p w14:paraId="187BBFFA" w14:textId="2767A340" w:rsidR="00B74790" w:rsidRPr="00592A80" w:rsidRDefault="00B74790" w:rsidP="00FF362E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 breakdown</w:t>
      </w:r>
      <w:r w:rsidRPr="00592A80">
        <w:rPr>
          <w:sz w:val="22"/>
          <w:szCs w:val="22"/>
          <w:lang w:val="en-US"/>
        </w:rPr>
        <w:t>:</w:t>
      </w:r>
      <w:r w:rsidR="00AB2DDF">
        <w:rPr>
          <w:sz w:val="22"/>
          <w:szCs w:val="22"/>
          <w:lang w:val="en-US"/>
        </w:rPr>
        <w:t xml:space="preserve"> </w:t>
      </w:r>
      <w:r w:rsidR="00A67575">
        <w:rPr>
          <w:sz w:val="22"/>
          <w:szCs w:val="22"/>
          <w:lang w:val="en-US"/>
        </w:rPr>
        <w:t>Table 5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2694"/>
        <w:gridCol w:w="3402"/>
      </w:tblGrid>
      <w:tr w:rsidR="008F2228" w:rsidRPr="00592A80" w14:paraId="768A55D2" w14:textId="77777777" w:rsidTr="00B5763A">
        <w:trPr>
          <w:trHeight w:val="428"/>
          <w:tblHeader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12364" w14:textId="77777777" w:rsidR="008F2228" w:rsidRPr="00592A80" w:rsidRDefault="008F2228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79077" w14:textId="77777777" w:rsidR="008F2228" w:rsidRPr="00592A80" w:rsidRDefault="008F2228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DF69A" w14:textId="77777777" w:rsidR="008F2228" w:rsidRPr="00592A80" w:rsidRDefault="008F2228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Percentage of total direct costs </w:t>
            </w:r>
          </w:p>
        </w:tc>
      </w:tr>
      <w:tr w:rsidR="008F2228" w:rsidRPr="00592A80" w14:paraId="2B1D8256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5E70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BFFC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$2,088,082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0375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90.63%</w:t>
            </w:r>
          </w:p>
        </w:tc>
      </w:tr>
      <w:tr w:rsidR="008F2228" w:rsidRPr="00592A80" w14:paraId="619BBBD2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720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6DD8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$30,000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F2A6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1.30%</w:t>
            </w:r>
          </w:p>
        </w:tc>
      </w:tr>
      <w:tr w:rsidR="008F2228" w:rsidRPr="00592A80" w14:paraId="2D1A0C82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483F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7460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$61,000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5865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2.65%</w:t>
            </w:r>
          </w:p>
        </w:tc>
      </w:tr>
      <w:tr w:rsidR="008F2228" w:rsidRPr="00592A80" w14:paraId="45413003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ADC4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3089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$28,300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ED07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1.23%</w:t>
            </w:r>
          </w:p>
        </w:tc>
      </w:tr>
      <w:tr w:rsidR="008F2228" w:rsidRPr="00592A80" w14:paraId="6C2CF9EC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B057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DDDC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$5,100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1C42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0.22%</w:t>
            </w:r>
          </w:p>
        </w:tc>
      </w:tr>
      <w:tr w:rsidR="008F2228" w:rsidRPr="00592A80" w14:paraId="3D0D938D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CCC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5D8B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$26,250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5026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1.14%</w:t>
            </w:r>
          </w:p>
        </w:tc>
      </w:tr>
      <w:tr w:rsidR="008F2228" w:rsidRPr="00592A80" w14:paraId="6554E78D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6894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E63C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$10,200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7EC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0.44%</w:t>
            </w:r>
          </w:p>
        </w:tc>
      </w:tr>
      <w:tr w:rsidR="008F2228" w:rsidRPr="00592A80" w14:paraId="1F18ED08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EDE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3AAE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E93F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2.39%</w:t>
            </w:r>
          </w:p>
        </w:tc>
      </w:tr>
      <w:tr w:rsidR="008F2228" w:rsidRPr="00592A80" w14:paraId="61C59244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08E7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33DA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$2,303,932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F2EF" w14:textId="77777777" w:rsidR="008F2228" w:rsidRPr="00592A80" w:rsidRDefault="008F2228" w:rsidP="007657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8F2228" w:rsidRPr="00592A80" w14:paraId="779B079F" w14:textId="77777777" w:rsidTr="00B5763A">
        <w:trPr>
          <w:trHeight w:val="30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391" w14:textId="77777777" w:rsidR="008F2228" w:rsidRPr="00592A80" w:rsidRDefault="008F222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8BD9" w14:textId="77777777" w:rsidR="008F2228" w:rsidRPr="00592A80" w:rsidRDefault="008F2228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$2,764,718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EC82" w14:textId="77777777" w:rsidR="008F2228" w:rsidRPr="00592A80" w:rsidRDefault="008F22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11805B25" w14:textId="77777777" w:rsidR="008F2228" w:rsidRPr="00592A80" w:rsidRDefault="008F2228" w:rsidP="008F2228">
      <w:pPr>
        <w:rPr>
          <w:sz w:val="22"/>
          <w:szCs w:val="22"/>
        </w:rPr>
      </w:pPr>
    </w:p>
    <w:p w14:paraId="05E38366" w14:textId="6B18B179" w:rsidR="0025255B" w:rsidRPr="00592A80" w:rsidRDefault="00CF160F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5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Continuous Professional Development Modules</w:t>
      </w:r>
    </w:p>
    <w:p w14:paraId="29EC5310" w14:textId="3F3C2EDF" w:rsidR="00CF160F" w:rsidRPr="00592A80" w:rsidRDefault="00CF160F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65293C" w:rsidRPr="00592A80">
        <w:rPr>
          <w:sz w:val="22"/>
          <w:szCs w:val="22"/>
        </w:rPr>
        <w:t xml:space="preserve"> </w:t>
      </w:r>
      <w:r w:rsidR="0065293C" w:rsidRPr="00592A80">
        <w:rPr>
          <w:sz w:val="22"/>
          <w:szCs w:val="22"/>
          <w:lang w:val="en-US"/>
        </w:rPr>
        <w:t>Continuing professional development modules for maintaining core competencies.</w:t>
      </w:r>
    </w:p>
    <w:p w14:paraId="3A957F80" w14:textId="08DFFCCF" w:rsidR="0065293C" w:rsidRPr="00592A80" w:rsidRDefault="0065293C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</w:t>
      </w:r>
      <w:r w:rsidRPr="00592A80">
        <w:rPr>
          <w:sz w:val="22"/>
          <w:szCs w:val="22"/>
          <w:lang w:val="en-US"/>
        </w:rPr>
        <w:t xml:space="preserve"> </w:t>
      </w:r>
      <w:r w:rsidRPr="00592A80">
        <w:rPr>
          <w:b/>
          <w:bCs/>
          <w:sz w:val="22"/>
          <w:szCs w:val="22"/>
          <w:lang w:val="en-US"/>
        </w:rPr>
        <w:t>breakdown</w:t>
      </w:r>
      <w:r w:rsidRPr="00592A80">
        <w:rPr>
          <w:sz w:val="22"/>
          <w:szCs w:val="22"/>
          <w:lang w:val="en-US"/>
        </w:rPr>
        <w:t>:</w:t>
      </w:r>
      <w:r w:rsidR="00F04B14">
        <w:rPr>
          <w:sz w:val="22"/>
          <w:szCs w:val="22"/>
          <w:lang w:val="en-US"/>
        </w:rPr>
        <w:t xml:space="preserve"> </w:t>
      </w:r>
      <w:r w:rsidR="00A67575">
        <w:rPr>
          <w:sz w:val="22"/>
          <w:szCs w:val="22"/>
          <w:lang w:val="en-US"/>
        </w:rPr>
        <w:t>Table 6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AA6AF9" w:rsidRPr="00592A80" w14:paraId="7EA01DD2" w14:textId="77777777" w:rsidTr="00EF2D07">
        <w:trPr>
          <w:trHeight w:val="385"/>
          <w:tblHeader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49CBE" w14:textId="77777777" w:rsidR="00AA6AF9" w:rsidRPr="00592A80" w:rsidRDefault="00AA6AF9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E20A8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9BC7" w14:textId="4A6772FB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AA6AF9" w:rsidRPr="00592A80" w14:paraId="6F66F130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FD25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5805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$859,633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A104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86.73%</w:t>
            </w:r>
          </w:p>
        </w:tc>
      </w:tr>
      <w:tr w:rsidR="00AA6AF9" w:rsidRPr="00592A80" w14:paraId="61039523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BD5D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8D99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073E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AA6AF9" w:rsidRPr="00592A80" w14:paraId="121E717A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41B8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Tools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202A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$12,000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972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1.21%</w:t>
            </w:r>
          </w:p>
        </w:tc>
      </w:tr>
      <w:tr w:rsidR="00AA6AF9" w:rsidRPr="00592A80" w14:paraId="7BF1A8DF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20ED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E224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$108,000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41D7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10.90%</w:t>
            </w:r>
          </w:p>
        </w:tc>
      </w:tr>
      <w:tr w:rsidR="00AA6AF9" w:rsidRPr="00592A80" w14:paraId="6AA9D0CF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611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11CF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35C7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AA6AF9" w:rsidRPr="00592A80" w14:paraId="2F3993FA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73E9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7BE6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009E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AA6AF9" w:rsidRPr="00592A80" w14:paraId="78A4473A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AAD9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162F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$11,500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CA43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1.16%</w:t>
            </w:r>
          </w:p>
        </w:tc>
      </w:tr>
      <w:tr w:rsidR="00AA6AF9" w:rsidRPr="00592A80" w14:paraId="4039E36B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6292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6776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ED57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AA6AF9" w:rsidRPr="00592A80" w14:paraId="35A44886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5E49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4E6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$991,133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961B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AA6AF9" w:rsidRPr="00592A80" w14:paraId="700630F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17CA" w14:textId="77777777" w:rsidR="00AA6AF9" w:rsidRPr="00592A80" w:rsidRDefault="00AA6AF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A740" w14:textId="77777777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$1,189,360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A8" w14:textId="7DB2D328" w:rsidR="00AA6AF9" w:rsidRPr="00592A80" w:rsidRDefault="00AA6AF9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5478581B" w14:textId="77777777" w:rsidR="0065293C" w:rsidRPr="00592A80" w:rsidRDefault="0065293C" w:rsidP="0025255B">
      <w:pPr>
        <w:rPr>
          <w:sz w:val="22"/>
          <w:szCs w:val="22"/>
          <w:lang w:val="en-US"/>
        </w:rPr>
      </w:pPr>
    </w:p>
    <w:p w14:paraId="0434A4C5" w14:textId="72C95D4C" w:rsidR="0025255B" w:rsidRPr="00592A80" w:rsidRDefault="00AA6AF9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6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Competency Frameworks for evidence synthesis production and knowledge translation</w:t>
      </w:r>
    </w:p>
    <w:p w14:paraId="1B20A435" w14:textId="2D17535A" w:rsidR="00731E14" w:rsidRPr="009B57D8" w:rsidRDefault="00AA6AF9" w:rsidP="00731E14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 xml:space="preserve">: </w:t>
      </w:r>
      <w:r w:rsidR="00731E14" w:rsidRPr="00592A80">
        <w:rPr>
          <w:sz w:val="22"/>
          <w:szCs w:val="22"/>
          <w:lang w:val="en-US"/>
        </w:rPr>
        <w:t>Competency Frameworks developed for evidence synthesis production, knowledge translation, and formal training programs, particularly at the Master's and PhD levels.</w:t>
      </w:r>
      <w:r w:rsidR="00645A76" w:rsidRPr="00592A80">
        <w:rPr>
          <w:sz w:val="22"/>
          <w:szCs w:val="22"/>
          <w:lang w:val="en-US"/>
        </w:rPr>
        <w:t xml:space="preserve"> </w:t>
      </w:r>
      <w:r w:rsidR="00731E14" w:rsidRPr="00592A80">
        <w:rPr>
          <w:sz w:val="22"/>
          <w:szCs w:val="22"/>
          <w:lang w:val="en-US"/>
        </w:rPr>
        <w:t>Methodological work</w:t>
      </w:r>
      <w:r w:rsidR="00645A76" w:rsidRPr="00592A80">
        <w:rPr>
          <w:sz w:val="22"/>
          <w:szCs w:val="22"/>
          <w:lang w:val="en-US"/>
        </w:rPr>
        <w:t xml:space="preserve"> will </w:t>
      </w:r>
      <w:r w:rsidR="00645A76" w:rsidRPr="009B57D8">
        <w:rPr>
          <w:sz w:val="22"/>
          <w:szCs w:val="22"/>
          <w:lang w:val="en-US"/>
        </w:rPr>
        <w:t>involve:</w:t>
      </w:r>
      <w:r w:rsidR="00731E14" w:rsidRPr="009B57D8">
        <w:rPr>
          <w:sz w:val="22"/>
          <w:szCs w:val="22"/>
          <w:lang w:val="en-US"/>
        </w:rPr>
        <w:t xml:space="preserve"> Convene a group, do a scoping review, </w:t>
      </w:r>
      <w:r w:rsidR="00645A76" w:rsidRPr="009B57D8">
        <w:rPr>
          <w:sz w:val="22"/>
          <w:szCs w:val="22"/>
          <w:lang w:val="en-US"/>
        </w:rPr>
        <w:t>Delphi</w:t>
      </w:r>
      <w:r w:rsidR="00731E14" w:rsidRPr="009B57D8">
        <w:rPr>
          <w:sz w:val="22"/>
          <w:szCs w:val="22"/>
          <w:lang w:val="en-US"/>
        </w:rPr>
        <w:t xml:space="preserve"> </w:t>
      </w:r>
      <w:r w:rsidR="009B57D8" w:rsidRPr="009B57D8">
        <w:rPr>
          <w:sz w:val="22"/>
          <w:szCs w:val="22"/>
          <w:lang w:val="en-US"/>
        </w:rPr>
        <w:t>testing.</w:t>
      </w:r>
      <w:r w:rsidR="00731E14" w:rsidRPr="009B57D8">
        <w:rPr>
          <w:sz w:val="22"/>
          <w:szCs w:val="22"/>
          <w:lang w:val="en-US"/>
        </w:rPr>
        <w:t xml:space="preserve"> </w:t>
      </w:r>
    </w:p>
    <w:p w14:paraId="6CABD505" w14:textId="7115018E" w:rsidR="005716B7" w:rsidRPr="00592A80" w:rsidRDefault="005716B7" w:rsidP="00731E14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 breakdown</w:t>
      </w:r>
      <w:r w:rsidRPr="00592A80">
        <w:rPr>
          <w:sz w:val="22"/>
          <w:szCs w:val="22"/>
          <w:lang w:val="en-US"/>
        </w:rPr>
        <w:t>:</w:t>
      </w:r>
      <w:r w:rsidR="00F04B14">
        <w:rPr>
          <w:sz w:val="22"/>
          <w:szCs w:val="22"/>
          <w:lang w:val="en-US"/>
        </w:rPr>
        <w:t xml:space="preserve"> </w:t>
      </w:r>
      <w:r w:rsidR="00A67575">
        <w:rPr>
          <w:sz w:val="22"/>
          <w:szCs w:val="22"/>
          <w:lang w:val="en-US"/>
        </w:rPr>
        <w:t>Table 7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397"/>
        <w:gridCol w:w="2694"/>
        <w:gridCol w:w="3402"/>
      </w:tblGrid>
      <w:tr w:rsidR="00BC13F8" w:rsidRPr="00592A80" w14:paraId="54EA216A" w14:textId="77777777" w:rsidTr="00B5763A">
        <w:trPr>
          <w:trHeight w:val="411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666C0" w14:textId="77777777" w:rsidR="00BC13F8" w:rsidRPr="00592A80" w:rsidRDefault="00BC13F8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A81E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E74F8" w14:textId="5FF633D2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BC13F8" w:rsidRPr="00592A80" w14:paraId="4646E0B7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B8C0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5E09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$997,348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79A0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90.88%</w:t>
            </w:r>
          </w:p>
        </w:tc>
      </w:tr>
      <w:tr w:rsidR="00BC13F8" w:rsidRPr="00592A80" w14:paraId="72847152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468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D127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70B3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BC13F8" w:rsidRPr="00592A80" w14:paraId="3A4D8791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F03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4968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$43,000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E329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3.92%</w:t>
            </w:r>
          </w:p>
        </w:tc>
      </w:tr>
      <w:tr w:rsidR="00BC13F8" w:rsidRPr="00592A80" w14:paraId="46449B35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A044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1B55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$20,400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626C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1.86%</w:t>
            </w:r>
          </w:p>
        </w:tc>
      </w:tr>
      <w:tr w:rsidR="00BC13F8" w:rsidRPr="00592A80" w14:paraId="17E1C08B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0F27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2F45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$2,100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5DAE" w14:textId="77777777" w:rsidR="00BC13F8" w:rsidRPr="00592A80" w:rsidRDefault="00BC13F8" w:rsidP="00BD1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0.19%</w:t>
            </w:r>
          </w:p>
        </w:tc>
      </w:tr>
      <w:tr w:rsidR="00BC13F8" w:rsidRPr="00592A80" w14:paraId="0FEEF1F9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504A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FEC7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$14,600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CE3E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1.33%</w:t>
            </w:r>
          </w:p>
        </w:tc>
      </w:tr>
      <w:tr w:rsidR="00BC13F8" w:rsidRPr="00592A80" w14:paraId="14EBE64D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A1F1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7524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B0B6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0.46%</w:t>
            </w:r>
          </w:p>
        </w:tc>
      </w:tr>
      <w:tr w:rsidR="00BC13F8" w:rsidRPr="00592A80" w14:paraId="3B45278E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395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FA07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C2A6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1.37%</w:t>
            </w:r>
          </w:p>
        </w:tc>
      </w:tr>
      <w:tr w:rsidR="00BC13F8" w:rsidRPr="00592A80" w14:paraId="11616DEB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56D7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514B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$1,097,448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8643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BC13F8" w:rsidRPr="00592A80" w14:paraId="3775F9A9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7EFA" w14:textId="77777777" w:rsidR="00BC13F8" w:rsidRPr="00592A80" w:rsidRDefault="00BC13F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15E8" w14:textId="7777777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$1,316,938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645C" w14:textId="31652097" w:rsidR="00BC13F8" w:rsidRPr="00592A80" w:rsidRDefault="00BC13F8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12531E9A" w14:textId="77777777" w:rsidR="005716B7" w:rsidRPr="00592A80" w:rsidRDefault="005716B7" w:rsidP="00731E14">
      <w:pPr>
        <w:rPr>
          <w:sz w:val="22"/>
          <w:szCs w:val="22"/>
          <w:lang w:val="en-US"/>
        </w:rPr>
      </w:pPr>
    </w:p>
    <w:p w14:paraId="72A1BC55" w14:textId="3B9A3A9F" w:rsidR="0025255B" w:rsidRPr="00592A80" w:rsidRDefault="00A27D01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7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Curriculum for UN national evaluation capacity development (NECD)</w:t>
      </w:r>
      <w:r w:rsidR="008B6F10" w:rsidRPr="00592A80">
        <w:rPr>
          <w:color w:val="0B769F"/>
          <w:sz w:val="22"/>
          <w:szCs w:val="22"/>
          <w:lang w:val="en-US"/>
        </w:rPr>
        <w:t xml:space="preserve">, </w:t>
      </w:r>
      <w:r w:rsidR="008B6F10" w:rsidRPr="00592A80">
        <w:rPr>
          <w:rFonts w:eastAsia="Times New Roman" w:cs="Times New Roman"/>
          <w:color w:val="0B769F"/>
          <w:kern w:val="0"/>
          <w:sz w:val="22"/>
          <w:szCs w:val="22"/>
          <w:lang w:eastAsia="en-GB"/>
          <w14:ligatures w14:val="none"/>
        </w:rPr>
        <w:t>National Schools of Government, or Training Institutions for Public Administration</w:t>
      </w:r>
    </w:p>
    <w:p w14:paraId="27C3938A" w14:textId="07793C57" w:rsidR="006131BD" w:rsidRPr="00592A80" w:rsidRDefault="006131BD" w:rsidP="006131BD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 xml:space="preserve">Description: </w:t>
      </w:r>
      <w:r w:rsidR="004A15D5" w:rsidRPr="00592A80">
        <w:rPr>
          <w:sz w:val="22"/>
          <w:szCs w:val="22"/>
          <w:lang w:val="en-US"/>
        </w:rPr>
        <w:t>Curriculum development to incorporate formal evidence synthesis training within the NECD and other training modules.</w:t>
      </w:r>
    </w:p>
    <w:p w14:paraId="30BE18A7" w14:textId="41A08E46" w:rsidR="006131BD" w:rsidRPr="00592A80" w:rsidRDefault="006131BD" w:rsidP="006131BD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</w:t>
      </w:r>
      <w:r w:rsidRPr="00592A80">
        <w:rPr>
          <w:sz w:val="22"/>
          <w:szCs w:val="22"/>
          <w:lang w:val="en-US"/>
        </w:rPr>
        <w:t xml:space="preserve"> </w:t>
      </w:r>
      <w:r w:rsidRPr="00592A80">
        <w:rPr>
          <w:b/>
          <w:bCs/>
          <w:sz w:val="22"/>
          <w:szCs w:val="22"/>
          <w:lang w:val="en-US"/>
        </w:rPr>
        <w:t>breakdown</w:t>
      </w:r>
      <w:r w:rsidRPr="00592A80">
        <w:rPr>
          <w:sz w:val="22"/>
          <w:szCs w:val="22"/>
          <w:lang w:val="en-US"/>
        </w:rPr>
        <w:t>:</w:t>
      </w:r>
      <w:r w:rsidR="00A67575">
        <w:rPr>
          <w:sz w:val="22"/>
          <w:szCs w:val="22"/>
          <w:lang w:val="en-US"/>
        </w:rPr>
        <w:t xml:space="preserve"> Table 8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3256"/>
        <w:gridCol w:w="2976"/>
        <w:gridCol w:w="3402"/>
      </w:tblGrid>
      <w:tr w:rsidR="0027032C" w:rsidRPr="00592A80" w14:paraId="089931C7" w14:textId="77777777" w:rsidTr="00B86464">
        <w:trPr>
          <w:trHeight w:val="375"/>
          <w:tblHeader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0D7E" w14:textId="77777777" w:rsidR="0027032C" w:rsidRPr="00592A80" w:rsidRDefault="0027032C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A7DFC" w14:textId="77777777" w:rsidR="0027032C" w:rsidRPr="00592A80" w:rsidRDefault="0027032C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FE38A" w14:textId="77777777" w:rsidR="0027032C" w:rsidRPr="00592A80" w:rsidRDefault="0027032C" w:rsidP="0027032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Percentage of total direct costs </w:t>
            </w:r>
          </w:p>
        </w:tc>
      </w:tr>
      <w:tr w:rsidR="0027032C" w:rsidRPr="00592A80" w14:paraId="78B95B5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5085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51F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$22,466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91D5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65.18%</w:t>
            </w:r>
          </w:p>
        </w:tc>
      </w:tr>
      <w:tr w:rsidR="0027032C" w:rsidRPr="00592A80" w14:paraId="7857C8B5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775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A43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88CB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13F0EBE3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659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5211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$12,000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38EE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34.82%</w:t>
            </w:r>
          </w:p>
        </w:tc>
      </w:tr>
      <w:tr w:rsidR="0027032C" w:rsidRPr="00592A80" w14:paraId="1EB67184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2CD2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Training event attendance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4776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452C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32B5ABB9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A833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7ECC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42E2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49C27792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A6F4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B2D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FCA1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4B6E37D5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6AB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04A9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BFBB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163BA87A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CA7B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C44C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7BDD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27032C" w:rsidRPr="00592A80" w14:paraId="3294C47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05F9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D707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$34,466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22E0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27032C" w:rsidRPr="00592A80" w14:paraId="6F3A07E8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1F3" w14:textId="77777777" w:rsidR="0027032C" w:rsidRPr="00592A80" w:rsidRDefault="0027032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DD27" w14:textId="77777777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$41,359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EBA6" w14:textId="6DE12EE5" w:rsidR="0027032C" w:rsidRPr="00592A80" w:rsidRDefault="0027032C" w:rsidP="0027032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202E7152" w14:textId="77777777" w:rsidR="006131BD" w:rsidRPr="00592A80" w:rsidRDefault="006131BD" w:rsidP="0025255B">
      <w:pPr>
        <w:rPr>
          <w:sz w:val="22"/>
          <w:szCs w:val="22"/>
          <w:lang w:val="en-US"/>
        </w:rPr>
      </w:pPr>
    </w:p>
    <w:p w14:paraId="41C2ED82" w14:textId="57D1EB55" w:rsidR="0025255B" w:rsidRPr="00592A80" w:rsidRDefault="001D6A94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8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>Global Evidence Synthesis Innovation Fund (GESIF)</w:t>
      </w:r>
    </w:p>
    <w:p w14:paraId="7400BCF6" w14:textId="67E0E623" w:rsidR="00470B63" w:rsidRPr="00592A80" w:rsidRDefault="00470B63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BB1EE6" w:rsidRPr="00592A80">
        <w:rPr>
          <w:sz w:val="22"/>
          <w:szCs w:val="22"/>
        </w:rPr>
        <w:t xml:space="preserve"> </w:t>
      </w:r>
      <w:r w:rsidR="00BB1EE6" w:rsidRPr="00592A80">
        <w:rPr>
          <w:sz w:val="22"/>
          <w:szCs w:val="22"/>
          <w:lang w:val="en-US"/>
        </w:rPr>
        <w:t>A global fund to pool resources for development and testing of innovative evidence synthesis and knowledge translation methods.</w:t>
      </w:r>
    </w:p>
    <w:p w14:paraId="3850930F" w14:textId="0598BBAE" w:rsidR="00470B63" w:rsidRPr="00592A80" w:rsidRDefault="00470B63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</w:t>
      </w:r>
      <w:r w:rsidRPr="00592A80">
        <w:rPr>
          <w:sz w:val="22"/>
          <w:szCs w:val="22"/>
          <w:lang w:val="en-US"/>
        </w:rPr>
        <w:t xml:space="preserve"> </w:t>
      </w:r>
      <w:r w:rsidRPr="00592A80">
        <w:rPr>
          <w:b/>
          <w:bCs/>
          <w:sz w:val="22"/>
          <w:szCs w:val="22"/>
          <w:lang w:val="en-US"/>
        </w:rPr>
        <w:t>breakdown</w:t>
      </w:r>
      <w:r w:rsidRPr="00592A80">
        <w:rPr>
          <w:sz w:val="22"/>
          <w:szCs w:val="22"/>
          <w:lang w:val="en-US"/>
        </w:rPr>
        <w:t>:</w:t>
      </w:r>
      <w:r w:rsidR="00A67575">
        <w:rPr>
          <w:sz w:val="22"/>
          <w:szCs w:val="22"/>
          <w:lang w:val="en-US"/>
        </w:rPr>
        <w:t xml:space="preserve"> Table 9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F546B1" w:rsidRPr="00592A80" w14:paraId="66B2F656" w14:textId="77777777" w:rsidTr="00B5763A">
        <w:trPr>
          <w:trHeight w:val="389"/>
          <w:tblHeader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422C1" w14:textId="77777777" w:rsidR="00F546B1" w:rsidRPr="00592A80" w:rsidRDefault="00F546B1" w:rsidP="00F546B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64185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C6B73" w14:textId="73360808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F546B1" w:rsidRPr="00592A80" w14:paraId="440CEF2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4018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C66B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$6,245,268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A759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90.65%</w:t>
            </w:r>
          </w:p>
        </w:tc>
      </w:tr>
      <w:tr w:rsidR="00F546B1" w:rsidRPr="00592A80" w14:paraId="66DB318C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647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4EF9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$100,000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5D61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1.45%</w:t>
            </w:r>
          </w:p>
        </w:tc>
      </w:tr>
      <w:tr w:rsidR="00F546B1" w:rsidRPr="00592A80" w14:paraId="185CD7F8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A380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E99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$260,100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6CB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3.78%</w:t>
            </w:r>
          </w:p>
        </w:tc>
      </w:tr>
      <w:tr w:rsidR="00F546B1" w:rsidRPr="00592A80" w14:paraId="2F662A8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FFFD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5DE8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$34,000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74B0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0.49%</w:t>
            </w:r>
          </w:p>
        </w:tc>
      </w:tr>
      <w:tr w:rsidR="00F546B1" w:rsidRPr="00592A80" w14:paraId="11455EA5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456C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2BE8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$11,400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3DE0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0.17%</w:t>
            </w:r>
          </w:p>
        </w:tc>
      </w:tr>
      <w:tr w:rsidR="00F546B1" w:rsidRPr="00592A80" w14:paraId="7FEAEBD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901F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C73B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$169,000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17B3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2.45%</w:t>
            </w:r>
          </w:p>
        </w:tc>
      </w:tr>
      <w:tr w:rsidR="00F546B1" w:rsidRPr="00592A80" w14:paraId="2B2848CF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91AF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12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$70,000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A72E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1.02%</w:t>
            </w:r>
          </w:p>
        </w:tc>
      </w:tr>
      <w:tr w:rsidR="00F546B1" w:rsidRPr="00592A80" w14:paraId="7E5A918E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F069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C35C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8ABF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546B1" w:rsidRPr="00592A80" w14:paraId="483E2236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026C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E397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$6,889,768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0986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F546B1" w:rsidRPr="00592A80" w14:paraId="51D48B0B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44DE" w14:textId="77777777" w:rsidR="00F546B1" w:rsidRPr="00592A80" w:rsidRDefault="00F546B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A48F" w14:textId="7777777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$8,267,722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C65D" w14:textId="373F2657" w:rsidR="00F546B1" w:rsidRPr="00592A80" w:rsidRDefault="00F546B1" w:rsidP="00F546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1A29C868" w14:textId="77777777" w:rsidR="00470B63" w:rsidRPr="00592A80" w:rsidRDefault="00470B63" w:rsidP="0025255B">
      <w:pPr>
        <w:rPr>
          <w:sz w:val="22"/>
          <w:szCs w:val="22"/>
          <w:lang w:val="en-US"/>
        </w:rPr>
      </w:pPr>
    </w:p>
    <w:p w14:paraId="6E1E6BF7" w14:textId="046FB55B" w:rsidR="0025255B" w:rsidRPr="00592A80" w:rsidRDefault="00031E71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9</w:t>
      </w:r>
      <w:r w:rsidRPr="00592A80">
        <w:rPr>
          <w:b/>
          <w:bCs/>
          <w:sz w:val="22"/>
          <w:szCs w:val="22"/>
          <w:lang w:val="en-US"/>
        </w:rPr>
        <w:t>:</w:t>
      </w:r>
      <w:r w:rsidRPr="00592A80">
        <w:rPr>
          <w:sz w:val="22"/>
          <w:szCs w:val="22"/>
          <w:lang w:val="en-US"/>
        </w:rPr>
        <w:t xml:space="preserve"> </w:t>
      </w:r>
      <w:r w:rsidR="0025255B" w:rsidRPr="00592A80">
        <w:rPr>
          <w:color w:val="0B769F"/>
          <w:sz w:val="22"/>
          <w:szCs w:val="22"/>
          <w:lang w:val="en-US"/>
        </w:rPr>
        <w:t>Funders Forum</w:t>
      </w:r>
    </w:p>
    <w:p w14:paraId="4CB2EB05" w14:textId="2595493A" w:rsidR="00031E71" w:rsidRPr="00592A80" w:rsidRDefault="00031E71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3C6D76" w:rsidRPr="00592A80">
        <w:rPr>
          <w:sz w:val="22"/>
          <w:szCs w:val="22"/>
          <w:lang w:val="en-US"/>
        </w:rPr>
        <w:t xml:space="preserve"> A collaboration of funders with the objective to ensure that evidence synthesis funding (from the Global Innovation Fund and other sources) is allocated in a manner that maximizes the ESIC goals and societal impact.</w:t>
      </w:r>
    </w:p>
    <w:p w14:paraId="44692AFF" w14:textId="2F4E40FF" w:rsidR="00031E71" w:rsidRPr="00592A80" w:rsidRDefault="00031E71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</w:t>
      </w:r>
      <w:r w:rsidRPr="00592A80">
        <w:rPr>
          <w:sz w:val="22"/>
          <w:szCs w:val="22"/>
          <w:lang w:val="en-US"/>
        </w:rPr>
        <w:t xml:space="preserve"> </w:t>
      </w:r>
      <w:r w:rsidRPr="00592A80">
        <w:rPr>
          <w:b/>
          <w:bCs/>
          <w:sz w:val="22"/>
          <w:szCs w:val="22"/>
          <w:lang w:val="en-US"/>
        </w:rPr>
        <w:t>breakdown</w:t>
      </w:r>
      <w:r w:rsidRPr="00592A80">
        <w:rPr>
          <w:sz w:val="22"/>
          <w:szCs w:val="22"/>
          <w:lang w:val="en-US"/>
        </w:rPr>
        <w:t>:</w:t>
      </w:r>
      <w:r w:rsidR="00A67575">
        <w:rPr>
          <w:sz w:val="22"/>
          <w:szCs w:val="22"/>
          <w:lang w:val="en-US"/>
        </w:rPr>
        <w:t xml:space="preserve"> Table 10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3256"/>
        <w:gridCol w:w="2976"/>
        <w:gridCol w:w="3402"/>
      </w:tblGrid>
      <w:tr w:rsidR="00FB7E51" w:rsidRPr="00592A80" w14:paraId="2EAFC134" w14:textId="77777777" w:rsidTr="00B5763A">
        <w:trPr>
          <w:trHeight w:val="389"/>
          <w:tblHeader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80382" w14:textId="77777777" w:rsidR="00FB7E51" w:rsidRPr="00592A80" w:rsidRDefault="00FB7E51" w:rsidP="00FB7E5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6699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BC34A" w14:textId="77792E02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FB7E51" w:rsidRPr="00592A80" w14:paraId="62289AA1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C122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F5A3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$539,879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6893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93.43%</w:t>
            </w:r>
          </w:p>
        </w:tc>
      </w:tr>
      <w:tr w:rsidR="00FB7E51" w:rsidRPr="00592A80" w14:paraId="29DA5F5D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FA6A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8BDF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E245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B7E51" w:rsidRPr="00592A80" w14:paraId="423479D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34A6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912E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$12,000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97C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2.08%</w:t>
            </w:r>
          </w:p>
        </w:tc>
      </w:tr>
      <w:tr w:rsidR="00FB7E51" w:rsidRPr="00592A80" w14:paraId="0D466EE2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073E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C312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5298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B7E51" w:rsidRPr="00592A80" w14:paraId="6F4FA6C3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8986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C713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053C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B7E51" w:rsidRPr="00592A80" w14:paraId="03A7F271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6A1E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Travel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4AA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$20,950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E997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3.63%</w:t>
            </w:r>
          </w:p>
        </w:tc>
      </w:tr>
      <w:tr w:rsidR="00FB7E51" w:rsidRPr="00592A80" w14:paraId="1D1AAA26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8F73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3AC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AF9A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0.87%</w:t>
            </w:r>
          </w:p>
        </w:tc>
      </w:tr>
      <w:tr w:rsidR="00FB7E51" w:rsidRPr="00592A80" w14:paraId="308505AF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2961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336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2158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FB7E51" w:rsidRPr="00592A80" w14:paraId="08A547E7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E6CF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40A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$577,829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62C0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FB7E51" w:rsidRPr="00592A80" w14:paraId="41C4C374" w14:textId="77777777" w:rsidTr="00B5763A">
        <w:trPr>
          <w:trHeight w:val="30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2ED3" w14:textId="77777777" w:rsidR="00FB7E51" w:rsidRPr="00592A80" w:rsidRDefault="00FB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408C" w14:textId="77777777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$693,395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2A48" w14:textId="7EE7003A" w:rsidR="00FB7E51" w:rsidRPr="00592A80" w:rsidRDefault="00FB7E51" w:rsidP="00FB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348B14EE" w14:textId="77777777" w:rsidR="00FB7E51" w:rsidRPr="00592A80" w:rsidRDefault="00FB7E51" w:rsidP="00FB7E51">
      <w:pPr>
        <w:rPr>
          <w:sz w:val="22"/>
          <w:szCs w:val="22"/>
        </w:rPr>
      </w:pPr>
    </w:p>
    <w:p w14:paraId="2020D779" w14:textId="6B501B0A" w:rsidR="0025255B" w:rsidRPr="00592A80" w:rsidRDefault="007A0E52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Solution</w:t>
      </w:r>
      <w:r w:rsidR="0066221E" w:rsidRPr="00592A80">
        <w:rPr>
          <w:b/>
          <w:bCs/>
          <w:sz w:val="22"/>
          <w:szCs w:val="22"/>
          <w:lang w:val="en-US"/>
        </w:rPr>
        <w:t xml:space="preserve"> 10</w:t>
      </w:r>
      <w:r w:rsidRPr="00592A80">
        <w:rPr>
          <w:sz w:val="22"/>
          <w:szCs w:val="22"/>
          <w:lang w:val="en-US"/>
        </w:rPr>
        <w:t xml:space="preserve">: </w:t>
      </w:r>
      <w:r w:rsidR="0025255B" w:rsidRPr="00592A80">
        <w:rPr>
          <w:color w:val="0B769F"/>
          <w:sz w:val="22"/>
          <w:szCs w:val="22"/>
          <w:lang w:val="en-US"/>
        </w:rPr>
        <w:t xml:space="preserve">Capacity sharing monitoring, evaluation and learning (MEL) system </w:t>
      </w:r>
    </w:p>
    <w:p w14:paraId="3EE1A8A9" w14:textId="1B9FF721" w:rsidR="001922B2" w:rsidRPr="00592A80" w:rsidRDefault="007A0E52" w:rsidP="001922B2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Description</w:t>
      </w:r>
      <w:r w:rsidRPr="00592A80">
        <w:rPr>
          <w:sz w:val="22"/>
          <w:szCs w:val="22"/>
          <w:lang w:val="en-US"/>
        </w:rPr>
        <w:t>:</w:t>
      </w:r>
      <w:r w:rsidR="001922B2" w:rsidRPr="00592A80">
        <w:rPr>
          <w:sz w:val="22"/>
          <w:szCs w:val="22"/>
          <w:lang w:val="en-US"/>
        </w:rPr>
        <w:t xml:space="preserve"> Monitoring, evaluation, and learning system to assess the impact of capacity-sharing initiatives across different levels of the ESIC collaboration. Costs include in-house </w:t>
      </w:r>
      <w:r w:rsidR="00BA0B8E" w:rsidRPr="00592A80">
        <w:rPr>
          <w:sz w:val="22"/>
          <w:szCs w:val="22"/>
          <w:lang w:val="en-US"/>
        </w:rPr>
        <w:t xml:space="preserve">costs </w:t>
      </w:r>
      <w:r w:rsidR="001922B2" w:rsidRPr="00592A80">
        <w:rPr>
          <w:sz w:val="22"/>
          <w:szCs w:val="22"/>
          <w:lang w:val="en-US"/>
        </w:rPr>
        <w:t xml:space="preserve">to manage the bids that </w:t>
      </w:r>
      <w:r w:rsidR="00BA0B8E" w:rsidRPr="00592A80">
        <w:rPr>
          <w:sz w:val="22"/>
          <w:szCs w:val="22"/>
          <w:lang w:val="en-US"/>
        </w:rPr>
        <w:t>providers</w:t>
      </w:r>
      <w:r w:rsidR="001922B2" w:rsidRPr="00592A80">
        <w:rPr>
          <w:sz w:val="22"/>
          <w:szCs w:val="22"/>
          <w:lang w:val="en-US"/>
        </w:rPr>
        <w:t xml:space="preserve"> could bid for</w:t>
      </w:r>
      <w:r w:rsidR="00BA0B8E" w:rsidRPr="00592A80">
        <w:rPr>
          <w:sz w:val="22"/>
          <w:szCs w:val="22"/>
          <w:lang w:val="en-US"/>
        </w:rPr>
        <w:t xml:space="preserve">. </w:t>
      </w:r>
      <w:r w:rsidR="0034294A" w:rsidRPr="0034294A">
        <w:t xml:space="preserve">Costs exclude the expenses of the bids </w:t>
      </w:r>
      <w:r w:rsidR="00233CFB">
        <w:t xml:space="preserve">to </w:t>
      </w:r>
      <w:r w:rsidR="00233CFB" w:rsidRPr="00592A80">
        <w:rPr>
          <w:sz w:val="22"/>
          <w:szCs w:val="22"/>
          <w:lang w:val="en-US"/>
        </w:rPr>
        <w:t xml:space="preserve">actually </w:t>
      </w:r>
      <w:r w:rsidR="00233CFB">
        <w:rPr>
          <w:sz w:val="22"/>
          <w:szCs w:val="22"/>
          <w:lang w:val="en-US"/>
        </w:rPr>
        <w:t xml:space="preserve">undertake the </w:t>
      </w:r>
      <w:r w:rsidR="00233CFB" w:rsidRPr="00592A80">
        <w:rPr>
          <w:sz w:val="22"/>
          <w:szCs w:val="22"/>
          <w:lang w:val="en-US"/>
        </w:rPr>
        <w:t>evaluation</w:t>
      </w:r>
      <w:r w:rsidR="00233CFB">
        <w:rPr>
          <w:sz w:val="22"/>
          <w:szCs w:val="22"/>
          <w:lang w:val="en-US"/>
        </w:rPr>
        <w:t>s</w:t>
      </w:r>
      <w:r w:rsidR="00233CFB">
        <w:t>.</w:t>
      </w:r>
    </w:p>
    <w:p w14:paraId="0BEAEDA5" w14:textId="7A2DEB99" w:rsidR="007A0E52" w:rsidRPr="00592A80" w:rsidRDefault="007A0E52" w:rsidP="0025255B">
      <w:pPr>
        <w:rPr>
          <w:sz w:val="22"/>
          <w:szCs w:val="22"/>
          <w:lang w:val="en-US"/>
        </w:rPr>
      </w:pPr>
      <w:r w:rsidRPr="00592A80">
        <w:rPr>
          <w:b/>
          <w:bCs/>
          <w:sz w:val="22"/>
          <w:szCs w:val="22"/>
          <w:lang w:val="en-US"/>
        </w:rPr>
        <w:t>Cost</w:t>
      </w:r>
      <w:r w:rsidRPr="00592A80">
        <w:rPr>
          <w:sz w:val="22"/>
          <w:szCs w:val="22"/>
          <w:lang w:val="en-US"/>
        </w:rPr>
        <w:t xml:space="preserve"> </w:t>
      </w:r>
      <w:r w:rsidRPr="00592A80">
        <w:rPr>
          <w:b/>
          <w:bCs/>
          <w:sz w:val="22"/>
          <w:szCs w:val="22"/>
          <w:lang w:val="en-US"/>
        </w:rPr>
        <w:t>breakdown</w:t>
      </w:r>
      <w:r w:rsidRPr="00592A80">
        <w:rPr>
          <w:sz w:val="22"/>
          <w:szCs w:val="22"/>
          <w:lang w:val="en-US"/>
        </w:rPr>
        <w:t>:</w:t>
      </w:r>
      <w:r w:rsidR="00A67575">
        <w:rPr>
          <w:sz w:val="22"/>
          <w:szCs w:val="22"/>
          <w:lang w:val="en-US"/>
        </w:rPr>
        <w:t xml:space="preserve"> Table 11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397"/>
        <w:gridCol w:w="2977"/>
        <w:gridCol w:w="3402"/>
      </w:tblGrid>
      <w:tr w:rsidR="00846D7C" w:rsidRPr="00592A80" w14:paraId="1EB5066D" w14:textId="77777777" w:rsidTr="00B5763A">
        <w:trPr>
          <w:trHeight w:val="31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781F9" w14:textId="77777777" w:rsidR="00846D7C" w:rsidRPr="00592A80" w:rsidRDefault="00846D7C" w:rsidP="00846D7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2104A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 Costs by category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B0C3" w14:textId="4E15B780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Percentage of total direct costs</w:t>
            </w:r>
          </w:p>
        </w:tc>
      </w:tr>
      <w:tr w:rsidR="00846D7C" w:rsidRPr="00592A80" w14:paraId="4E599134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586B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People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CC07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$729,930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323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81.54%</w:t>
            </w:r>
          </w:p>
        </w:tc>
      </w:tr>
      <w:tr w:rsidR="00846D7C" w:rsidRPr="00592A80" w14:paraId="3AC725BF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4969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Contracts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32F6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$25,000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DDD6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2.79%</w:t>
            </w:r>
          </w:p>
        </w:tc>
      </w:tr>
      <w:tr w:rsidR="00846D7C" w:rsidRPr="00592A80" w14:paraId="77D79C47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E369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Tools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F082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$88,000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A25C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9.83%</w:t>
            </w:r>
          </w:p>
        </w:tc>
      </w:tr>
      <w:tr w:rsidR="00846D7C" w:rsidRPr="00592A80" w14:paraId="74A3D229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4F79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Training event attendance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9C37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$23,300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B9DB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2.60%</w:t>
            </w:r>
          </w:p>
        </w:tc>
      </w:tr>
      <w:tr w:rsidR="00846D7C" w:rsidRPr="00592A80" w14:paraId="2DC7B403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534C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Citizen engagement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73BB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$4,200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C710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0.47%</w:t>
            </w:r>
          </w:p>
        </w:tc>
      </w:tr>
      <w:tr w:rsidR="00846D7C" w:rsidRPr="00592A80" w14:paraId="678265ED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B306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Travel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884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$18,300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C2AE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2.04%</w:t>
            </w:r>
          </w:p>
        </w:tc>
      </w:tr>
      <w:tr w:rsidR="00846D7C" w:rsidRPr="00592A80" w14:paraId="55F40CC6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156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Dissemination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AB9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$6,500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B3D1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0.73%</w:t>
            </w:r>
          </w:p>
        </w:tc>
      </w:tr>
      <w:tr w:rsidR="00846D7C" w:rsidRPr="00592A80" w14:paraId="071414B6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FC72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Other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6632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82A0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0.00%</w:t>
            </w:r>
          </w:p>
        </w:tc>
      </w:tr>
      <w:tr w:rsidR="00846D7C" w:rsidRPr="00592A80" w14:paraId="303DCD90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42C4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Total direct costs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8F8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$895,230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ABAC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100.00%</w:t>
            </w:r>
          </w:p>
        </w:tc>
      </w:tr>
      <w:tr w:rsidR="00846D7C" w:rsidRPr="00592A80" w14:paraId="21F7BE93" w14:textId="77777777" w:rsidTr="00B5763A">
        <w:trPr>
          <w:trHeight w:val="30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CC40" w14:textId="77777777" w:rsidR="00846D7C" w:rsidRPr="00592A80" w:rsidRDefault="00846D7C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Grand total with 20% overheads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A346" w14:textId="77777777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2A80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$1,074,276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56C0" w14:textId="322D915A" w:rsidR="00846D7C" w:rsidRPr="00592A80" w:rsidRDefault="00846D7C" w:rsidP="00B576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054AEE35" w14:textId="77777777" w:rsidR="003E6CED" w:rsidRPr="00592A80" w:rsidRDefault="003E6CED" w:rsidP="0025255B">
      <w:pPr>
        <w:rPr>
          <w:sz w:val="22"/>
          <w:szCs w:val="22"/>
          <w:lang w:val="en-US"/>
        </w:rPr>
      </w:pPr>
    </w:p>
    <w:p w14:paraId="32F8BC0B" w14:textId="1E688535" w:rsidR="007A4233" w:rsidRPr="00592A80" w:rsidRDefault="00EF2D07" w:rsidP="00112020">
      <w:pPr>
        <w:pStyle w:val="ESIC1"/>
        <w:spacing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solution</w:t>
      </w:r>
      <w:r w:rsidR="001D17B5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contribution to capability maturity</w:t>
      </w:r>
    </w:p>
    <w:p w14:paraId="7E5F21CC" w14:textId="52FF83C1" w:rsidR="00947404" w:rsidRDefault="00BC694A" w:rsidP="003E39F2">
      <w:pPr>
        <w:contextualSpacing/>
        <w:rPr>
          <w:sz w:val="22"/>
          <w:szCs w:val="22"/>
          <w:lang w:val="en-TT"/>
        </w:rPr>
      </w:pPr>
      <w:r w:rsidRPr="00592A80">
        <w:rPr>
          <w:sz w:val="22"/>
          <w:szCs w:val="22"/>
        </w:rPr>
        <w:t xml:space="preserve">Maturity in the context of </w:t>
      </w:r>
      <w:r w:rsidR="008A0FD8">
        <w:rPr>
          <w:sz w:val="22"/>
          <w:szCs w:val="22"/>
        </w:rPr>
        <w:t xml:space="preserve">the </w:t>
      </w:r>
      <w:r w:rsidRPr="00592A80">
        <w:rPr>
          <w:sz w:val="22"/>
          <w:szCs w:val="22"/>
        </w:rPr>
        <w:t xml:space="preserve">capability maturity assessment refers to the degree to which </w:t>
      </w:r>
      <w:r w:rsidR="00734A28">
        <w:rPr>
          <w:sz w:val="22"/>
          <w:szCs w:val="22"/>
        </w:rPr>
        <w:t>the solution</w:t>
      </w:r>
      <w:r w:rsidR="008A0FD8">
        <w:rPr>
          <w:sz w:val="22"/>
          <w:szCs w:val="22"/>
        </w:rPr>
        <w:t>s we propose</w:t>
      </w:r>
      <w:r w:rsidR="00E95916">
        <w:rPr>
          <w:sz w:val="22"/>
          <w:szCs w:val="22"/>
        </w:rPr>
        <w:t xml:space="preserve"> will</w:t>
      </w:r>
      <w:r w:rsidR="008A0FD8">
        <w:rPr>
          <w:sz w:val="22"/>
          <w:szCs w:val="22"/>
        </w:rPr>
        <w:t xml:space="preserve"> </w:t>
      </w:r>
      <w:r w:rsidR="00734A28">
        <w:rPr>
          <w:sz w:val="22"/>
          <w:szCs w:val="22"/>
        </w:rPr>
        <w:t xml:space="preserve">strengthen </w:t>
      </w:r>
      <w:r w:rsidRPr="00592A80">
        <w:rPr>
          <w:sz w:val="22"/>
          <w:szCs w:val="22"/>
        </w:rPr>
        <w:t xml:space="preserve">processes </w:t>
      </w:r>
      <w:r w:rsidR="00A67575">
        <w:rPr>
          <w:sz w:val="22"/>
          <w:szCs w:val="22"/>
        </w:rPr>
        <w:t xml:space="preserve">related to </w:t>
      </w:r>
      <w:r w:rsidR="005246AC">
        <w:rPr>
          <w:sz w:val="22"/>
          <w:szCs w:val="22"/>
        </w:rPr>
        <w:t xml:space="preserve">the capacity sharing vision. </w:t>
      </w:r>
      <w:r w:rsidR="008A0FD8">
        <w:rPr>
          <w:sz w:val="22"/>
          <w:szCs w:val="22"/>
        </w:rPr>
        <w:t xml:space="preserve">In report 2, </w:t>
      </w:r>
      <w:r w:rsidR="003E6AE0">
        <w:rPr>
          <w:sz w:val="22"/>
          <w:szCs w:val="22"/>
        </w:rPr>
        <w:t>each of the capabilities in the</w:t>
      </w:r>
      <w:r w:rsidR="0069695F">
        <w:rPr>
          <w:sz w:val="22"/>
          <w:szCs w:val="22"/>
        </w:rPr>
        <w:t xml:space="preserve"> first column </w:t>
      </w:r>
      <w:r w:rsidR="00A67575">
        <w:rPr>
          <w:sz w:val="22"/>
          <w:szCs w:val="22"/>
        </w:rPr>
        <w:t>of Table 12</w:t>
      </w:r>
      <w:r w:rsidR="00092483">
        <w:rPr>
          <w:sz w:val="22"/>
          <w:szCs w:val="22"/>
        </w:rPr>
        <w:t xml:space="preserve"> </w:t>
      </w:r>
      <w:r w:rsidR="0069695F">
        <w:rPr>
          <w:sz w:val="22"/>
          <w:szCs w:val="22"/>
        </w:rPr>
        <w:t xml:space="preserve">were </w:t>
      </w:r>
      <w:r w:rsidR="008A0FD8">
        <w:rPr>
          <w:sz w:val="22"/>
          <w:szCs w:val="22"/>
        </w:rPr>
        <w:t xml:space="preserve">assessed </w:t>
      </w:r>
      <w:r w:rsidR="00092483">
        <w:rPr>
          <w:sz w:val="22"/>
          <w:szCs w:val="22"/>
        </w:rPr>
        <w:t xml:space="preserve">as </w:t>
      </w:r>
      <w:r w:rsidR="008A0FD8">
        <w:rPr>
          <w:sz w:val="22"/>
          <w:szCs w:val="22"/>
        </w:rPr>
        <w:t>developing</w:t>
      </w:r>
      <w:r w:rsidR="009B57D8">
        <w:rPr>
          <w:sz w:val="22"/>
          <w:szCs w:val="22"/>
        </w:rPr>
        <w:t xml:space="preserve">—some </w:t>
      </w:r>
      <w:r w:rsidR="008A0FD8" w:rsidRPr="008A0FD8">
        <w:rPr>
          <w:sz w:val="22"/>
          <w:szCs w:val="22"/>
          <w:lang w:val="en-TT"/>
        </w:rPr>
        <w:t>processes defined, inconsistent application, limited management</w:t>
      </w:r>
      <w:r w:rsidR="00A9151C">
        <w:rPr>
          <w:sz w:val="22"/>
          <w:szCs w:val="22"/>
          <w:lang w:val="en-TT"/>
        </w:rPr>
        <w:t xml:space="preserve">. </w:t>
      </w:r>
      <w:r w:rsidR="00237274">
        <w:rPr>
          <w:sz w:val="22"/>
          <w:szCs w:val="22"/>
          <w:lang w:val="en-TT"/>
        </w:rPr>
        <w:t>In the</w:t>
      </w:r>
      <w:r w:rsidR="00C722FE">
        <w:rPr>
          <w:sz w:val="22"/>
          <w:szCs w:val="22"/>
          <w:lang w:val="en-TT"/>
        </w:rPr>
        <w:t xml:space="preserve"> second </w:t>
      </w:r>
      <w:r w:rsidR="00985867">
        <w:rPr>
          <w:sz w:val="22"/>
          <w:szCs w:val="22"/>
          <w:lang w:val="en-TT"/>
        </w:rPr>
        <w:t xml:space="preserve">column, </w:t>
      </w:r>
      <w:r w:rsidR="00237274">
        <w:rPr>
          <w:sz w:val="22"/>
          <w:szCs w:val="22"/>
          <w:lang w:val="en-TT"/>
        </w:rPr>
        <w:t xml:space="preserve">we provide a summary of the rationale for the CMA </w:t>
      </w:r>
      <w:r w:rsidR="00D35DF9">
        <w:rPr>
          <w:sz w:val="22"/>
          <w:szCs w:val="22"/>
          <w:lang w:val="en-TT"/>
        </w:rPr>
        <w:t xml:space="preserve">score, and </w:t>
      </w:r>
      <w:r w:rsidR="00A727B1">
        <w:rPr>
          <w:sz w:val="22"/>
          <w:szCs w:val="22"/>
          <w:lang w:val="en-TT"/>
        </w:rPr>
        <w:t>in the final column</w:t>
      </w:r>
      <w:r w:rsidR="00843474">
        <w:rPr>
          <w:sz w:val="22"/>
          <w:szCs w:val="22"/>
          <w:lang w:val="en-TT"/>
        </w:rPr>
        <w:t xml:space="preserve">, we </w:t>
      </w:r>
      <w:r w:rsidR="00A727B1">
        <w:rPr>
          <w:sz w:val="22"/>
          <w:szCs w:val="22"/>
          <w:lang w:val="en-TT"/>
        </w:rPr>
        <w:t>explain how the solutions are expected to positively impact the maturity level</w:t>
      </w:r>
      <w:r w:rsidR="00843474">
        <w:rPr>
          <w:sz w:val="22"/>
          <w:szCs w:val="22"/>
          <w:lang w:val="en-TT"/>
        </w:rPr>
        <w:t xml:space="preserve"> of the various capabilities.</w:t>
      </w:r>
    </w:p>
    <w:p w14:paraId="28A3C82B" w14:textId="77777777" w:rsidR="00A67575" w:rsidRDefault="00A67575" w:rsidP="003E39F2">
      <w:pPr>
        <w:contextualSpacing/>
        <w:rPr>
          <w:sz w:val="22"/>
          <w:szCs w:val="22"/>
          <w:lang w:val="en-TT"/>
        </w:rPr>
      </w:pPr>
    </w:p>
    <w:p w14:paraId="73BF261D" w14:textId="5DC9D7EF" w:rsidR="00A67575" w:rsidRDefault="00A67575" w:rsidP="003E39F2">
      <w:pPr>
        <w:contextualSpacing/>
        <w:rPr>
          <w:sz w:val="22"/>
          <w:szCs w:val="22"/>
        </w:rPr>
      </w:pPr>
      <w:r>
        <w:rPr>
          <w:sz w:val="22"/>
          <w:szCs w:val="22"/>
          <w:lang w:val="en-TT"/>
        </w:rPr>
        <w:t xml:space="preserve">Table 12: </w:t>
      </w:r>
      <w:r w:rsidR="00823DD4">
        <w:rPr>
          <w:sz w:val="22"/>
          <w:szCs w:val="22"/>
          <w:lang w:val="en-TT"/>
        </w:rPr>
        <w:t>Prioritized s</w:t>
      </w:r>
      <w:r w:rsidR="003E39F2">
        <w:rPr>
          <w:sz w:val="22"/>
          <w:szCs w:val="22"/>
          <w:lang w:val="en-TT"/>
        </w:rPr>
        <w:t>olutions</w:t>
      </w:r>
      <w:r w:rsidR="00AF7636">
        <w:rPr>
          <w:sz w:val="22"/>
          <w:szCs w:val="22"/>
          <w:lang w:val="en-TT"/>
        </w:rPr>
        <w:t>’ contribution to capability maturity</w:t>
      </w:r>
      <w:r w:rsidR="003E39F2">
        <w:rPr>
          <w:sz w:val="22"/>
          <w:szCs w:val="22"/>
          <w:lang w:val="en-TT"/>
        </w:rPr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3685"/>
        <w:gridCol w:w="4111"/>
      </w:tblGrid>
      <w:tr w:rsidR="00947404" w:rsidRPr="00F731F9" w14:paraId="11A0DEA3" w14:textId="77777777" w:rsidTr="009F136B">
        <w:trPr>
          <w:tblHeader/>
        </w:trPr>
        <w:tc>
          <w:tcPr>
            <w:tcW w:w="2689" w:type="dxa"/>
          </w:tcPr>
          <w:p w14:paraId="2A0B6344" w14:textId="4E19F595" w:rsidR="00947404" w:rsidRPr="00F731F9" w:rsidRDefault="00947404" w:rsidP="00923425">
            <w:pPr>
              <w:jc w:val="center"/>
              <w:rPr>
                <w:b/>
                <w:bCs/>
                <w:sz w:val="20"/>
                <w:szCs w:val="20"/>
              </w:rPr>
            </w:pPr>
            <w:r w:rsidRPr="00F731F9">
              <w:rPr>
                <w:b/>
                <w:bCs/>
                <w:sz w:val="20"/>
                <w:szCs w:val="20"/>
              </w:rPr>
              <w:t>Capability</w:t>
            </w:r>
            <w:r w:rsidR="00F053CD" w:rsidRPr="00F731F9">
              <w:rPr>
                <w:b/>
                <w:bCs/>
                <w:sz w:val="20"/>
                <w:szCs w:val="20"/>
              </w:rPr>
              <w:t xml:space="preserve"> (</w:t>
            </w:r>
            <w:r w:rsidR="00670106">
              <w:rPr>
                <w:b/>
                <w:bCs/>
                <w:sz w:val="20"/>
                <w:szCs w:val="20"/>
              </w:rPr>
              <w:t xml:space="preserve">from </w:t>
            </w:r>
            <w:r w:rsidR="00221A6A" w:rsidRPr="00F731F9">
              <w:rPr>
                <w:b/>
                <w:bCs/>
                <w:sz w:val="20"/>
                <w:szCs w:val="20"/>
              </w:rPr>
              <w:t>stage 2 report)</w:t>
            </w:r>
          </w:p>
        </w:tc>
        <w:tc>
          <w:tcPr>
            <w:tcW w:w="3685" w:type="dxa"/>
          </w:tcPr>
          <w:p w14:paraId="1F6A4A58" w14:textId="2FA3F142" w:rsidR="00D35DF9" w:rsidRDefault="00C16ED2" w:rsidP="009234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Rationale</w:t>
            </w:r>
            <w:r w:rsidR="00D35DF9">
              <w:rPr>
                <w:b/>
                <w:bCs/>
                <w:sz w:val="20"/>
                <w:szCs w:val="20"/>
              </w:rPr>
              <w:t xml:space="preserve"> for the CMA score </w:t>
            </w:r>
          </w:p>
          <w:p w14:paraId="11EBDEDA" w14:textId="581E5E90" w:rsidR="00947404" w:rsidRPr="00F731F9" w:rsidRDefault="00D35DF9" w:rsidP="009234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="00923425" w:rsidRPr="00F731F9">
              <w:rPr>
                <w:b/>
                <w:bCs/>
                <w:sz w:val="20"/>
                <w:szCs w:val="20"/>
              </w:rPr>
              <w:t xml:space="preserve">level </w:t>
            </w:r>
            <w:r w:rsidR="00221A6A" w:rsidRPr="00F731F9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, developing)</w:t>
            </w:r>
          </w:p>
        </w:tc>
        <w:tc>
          <w:tcPr>
            <w:tcW w:w="4111" w:type="dxa"/>
          </w:tcPr>
          <w:p w14:paraId="20D11F0C" w14:textId="4F43354A" w:rsidR="00947404" w:rsidRPr="00F731F9" w:rsidRDefault="0028575E" w:rsidP="00923425">
            <w:pPr>
              <w:jc w:val="center"/>
              <w:rPr>
                <w:b/>
                <w:bCs/>
                <w:sz w:val="20"/>
                <w:szCs w:val="20"/>
              </w:rPr>
            </w:pPr>
            <w:r w:rsidRPr="00F731F9">
              <w:rPr>
                <w:b/>
                <w:bCs/>
                <w:sz w:val="20"/>
                <w:szCs w:val="20"/>
              </w:rPr>
              <w:t>Solution</w:t>
            </w:r>
            <w:r w:rsidR="00D0100A">
              <w:rPr>
                <w:b/>
                <w:bCs/>
                <w:sz w:val="20"/>
                <w:szCs w:val="20"/>
              </w:rPr>
              <w:t>s</w:t>
            </w:r>
            <w:r w:rsidR="00AF7636">
              <w:rPr>
                <w:b/>
                <w:bCs/>
                <w:sz w:val="20"/>
                <w:szCs w:val="20"/>
              </w:rPr>
              <w:t>’</w:t>
            </w:r>
            <w:r w:rsidR="00D0100A">
              <w:rPr>
                <w:b/>
                <w:bCs/>
                <w:sz w:val="20"/>
                <w:szCs w:val="20"/>
              </w:rPr>
              <w:t xml:space="preserve"> </w:t>
            </w:r>
            <w:r w:rsidR="00D82E3B">
              <w:rPr>
                <w:b/>
                <w:bCs/>
                <w:sz w:val="20"/>
                <w:szCs w:val="20"/>
              </w:rPr>
              <w:t xml:space="preserve">expected </w:t>
            </w:r>
            <w:r w:rsidRPr="00F731F9">
              <w:rPr>
                <w:b/>
                <w:bCs/>
                <w:sz w:val="20"/>
                <w:szCs w:val="20"/>
              </w:rPr>
              <w:t xml:space="preserve">contribution to </w:t>
            </w:r>
            <w:r w:rsidR="00FF085F" w:rsidRPr="00F731F9">
              <w:rPr>
                <w:b/>
                <w:bCs/>
                <w:sz w:val="20"/>
                <w:szCs w:val="20"/>
              </w:rPr>
              <w:t>capability maturity</w:t>
            </w:r>
          </w:p>
        </w:tc>
      </w:tr>
      <w:tr w:rsidR="00947404" w:rsidRPr="00F731F9" w14:paraId="23CF974F" w14:textId="77777777" w:rsidTr="009F136B">
        <w:tc>
          <w:tcPr>
            <w:tcW w:w="2689" w:type="dxa"/>
          </w:tcPr>
          <w:p w14:paraId="6389CD6F" w14:textId="3A83C74A" w:rsidR="00947404" w:rsidRPr="00F731F9" w:rsidRDefault="001C7999" w:rsidP="000638FA">
            <w:pPr>
              <w:rPr>
                <w:sz w:val="20"/>
                <w:szCs w:val="20"/>
              </w:rPr>
            </w:pPr>
            <w:r w:rsidRPr="00F731F9">
              <w:rPr>
                <w:sz w:val="20"/>
                <w:szCs w:val="20"/>
              </w:rPr>
              <w:t xml:space="preserve">Websites, portals or knowledge hubs that curate </w:t>
            </w:r>
            <w:r w:rsidRPr="00F731F9">
              <w:rPr>
                <w:sz w:val="20"/>
                <w:szCs w:val="20"/>
              </w:rPr>
              <w:lastRenderedPageBreak/>
              <w:t>resources for evidence synthesis production and use</w:t>
            </w:r>
          </w:p>
        </w:tc>
        <w:tc>
          <w:tcPr>
            <w:tcW w:w="3685" w:type="dxa"/>
          </w:tcPr>
          <w:p w14:paraId="389AFA56" w14:textId="324025CE" w:rsidR="00947404" w:rsidRPr="00F731F9" w:rsidRDefault="0028575E" w:rsidP="0028575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731F9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Existing platforms for sharing resources, tools and knowledge for capacity </w:t>
            </w:r>
            <w:r w:rsidRPr="00F731F9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strengthening for evidence synthesis production and knowledge translation are operated by varied institutions with limited outreach in relation to varied sectors, </w:t>
            </w:r>
            <w:r w:rsidR="00CF1F03" w:rsidRPr="00F731F9">
              <w:rPr>
                <w:rFonts w:asciiTheme="minorHAnsi" w:hAnsiTheme="minorHAnsi"/>
                <w:sz w:val="20"/>
                <w:szCs w:val="20"/>
              </w:rPr>
              <w:t>countries,</w:t>
            </w:r>
            <w:r w:rsidRPr="00F731F9">
              <w:rPr>
                <w:rFonts w:asciiTheme="minorHAnsi" w:hAnsiTheme="minorHAnsi"/>
                <w:sz w:val="20"/>
                <w:szCs w:val="20"/>
              </w:rPr>
              <w:t xml:space="preserve"> or regions. </w:t>
            </w:r>
          </w:p>
        </w:tc>
        <w:tc>
          <w:tcPr>
            <w:tcW w:w="4111" w:type="dxa"/>
          </w:tcPr>
          <w:p w14:paraId="2C827502" w14:textId="3BA1C925" w:rsidR="002B4985" w:rsidRPr="00F731F9" w:rsidRDefault="0028575E" w:rsidP="00405F22">
            <w:pPr>
              <w:rPr>
                <w:sz w:val="20"/>
                <w:szCs w:val="20"/>
              </w:rPr>
            </w:pPr>
            <w:r w:rsidRPr="00F731F9">
              <w:rPr>
                <w:color w:val="0B769F"/>
                <w:sz w:val="20"/>
                <w:szCs w:val="20"/>
              </w:rPr>
              <w:lastRenderedPageBreak/>
              <w:t>ESIC Knowledge Hub</w:t>
            </w:r>
            <w:r w:rsidR="00DD0A61" w:rsidRPr="00F731F9">
              <w:rPr>
                <w:color w:val="0B769F"/>
                <w:sz w:val="20"/>
                <w:szCs w:val="20"/>
              </w:rPr>
              <w:t xml:space="preserve"> </w:t>
            </w:r>
            <w:r w:rsidR="00DD0A61" w:rsidRPr="00F731F9">
              <w:rPr>
                <w:color w:val="000000" w:themeColor="text1"/>
                <w:sz w:val="20"/>
                <w:szCs w:val="20"/>
              </w:rPr>
              <w:t>will</w:t>
            </w:r>
            <w:r w:rsidRPr="00F731F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731F9">
              <w:rPr>
                <w:sz w:val="20"/>
                <w:szCs w:val="20"/>
              </w:rPr>
              <w:t xml:space="preserve">provide </w:t>
            </w:r>
            <w:r w:rsidR="00D12CEB" w:rsidRPr="00F731F9">
              <w:rPr>
                <w:sz w:val="20"/>
                <w:szCs w:val="20"/>
              </w:rPr>
              <w:t xml:space="preserve">full interoperability and </w:t>
            </w:r>
            <w:r w:rsidRPr="00F731F9">
              <w:rPr>
                <w:sz w:val="20"/>
                <w:szCs w:val="20"/>
              </w:rPr>
              <w:t xml:space="preserve">seamless integration </w:t>
            </w:r>
            <w:r w:rsidRPr="00F731F9">
              <w:rPr>
                <w:sz w:val="20"/>
                <w:szCs w:val="20"/>
              </w:rPr>
              <w:lastRenderedPageBreak/>
              <w:t xml:space="preserve">across evidence synthesis platforms owned and operated by multiple institutions. </w:t>
            </w:r>
            <w:r w:rsidR="002B4985" w:rsidRPr="00F731F9">
              <w:rPr>
                <w:rFonts w:eastAsia="Times New Roman" w:cs="Times New Roman"/>
                <w:color w:val="0B769F"/>
                <w:kern w:val="0"/>
                <w:sz w:val="20"/>
                <w:szCs w:val="20"/>
                <w:lang w:eastAsia="en-GB"/>
                <w14:ligatures w14:val="none"/>
              </w:rPr>
              <w:t xml:space="preserve">Knowledge Translation AI </w:t>
            </w:r>
            <w:r w:rsidR="002B4985" w:rsidRPr="00F731F9">
              <w:rPr>
                <w:rFonts w:eastAsia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will </w:t>
            </w:r>
            <w:r w:rsidR="0014757E" w:rsidRPr="00F731F9">
              <w:rPr>
                <w:rFonts w:eastAsia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r w:rsidR="00F731F9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>ugment</w:t>
            </w:r>
            <w:r w:rsidR="0014757E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 the </w:t>
            </w:r>
            <w:r w:rsidR="00F731F9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>Knowledge H</w:t>
            </w:r>
            <w:r w:rsidR="0014757E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ub with </w:t>
            </w:r>
            <w:r w:rsidR="002B0460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an </w:t>
            </w:r>
            <w:r w:rsidR="0014757E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>AI-driven</w:t>
            </w:r>
            <w:r w:rsidR="002B0460" w:rsidRPr="00F731F9">
              <w:rPr>
                <w:rFonts w:eastAsia="Times New Roman"/>
                <w:color w:val="000000" w:themeColor="text1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 tool.</w:t>
            </w:r>
          </w:p>
        </w:tc>
      </w:tr>
      <w:tr w:rsidR="00947404" w:rsidRPr="00F731F9" w14:paraId="6FC99DF2" w14:textId="77777777" w:rsidTr="009F136B">
        <w:tc>
          <w:tcPr>
            <w:tcW w:w="2689" w:type="dxa"/>
          </w:tcPr>
          <w:p w14:paraId="5EACF64E" w14:textId="16F179A1" w:rsidR="00947404" w:rsidRPr="00F731F9" w:rsidRDefault="00AC21D8" w:rsidP="000638FA">
            <w:pPr>
              <w:rPr>
                <w:sz w:val="20"/>
                <w:szCs w:val="20"/>
              </w:rPr>
            </w:pPr>
            <w:r w:rsidRPr="00F731F9">
              <w:rPr>
                <w:sz w:val="20"/>
                <w:szCs w:val="20"/>
              </w:rPr>
              <w:lastRenderedPageBreak/>
              <w:t>Multi-country, cross-sectoral and transdisciplinary partnerships (networks or communities) for capacity sharing</w:t>
            </w:r>
          </w:p>
        </w:tc>
        <w:tc>
          <w:tcPr>
            <w:tcW w:w="3685" w:type="dxa"/>
          </w:tcPr>
          <w:p w14:paraId="090286AF" w14:textId="57BC33E7" w:rsidR="00F053CD" w:rsidRPr="00F731F9" w:rsidRDefault="00B00891" w:rsidP="00F05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F053CD" w:rsidRPr="00F731F9">
              <w:rPr>
                <w:sz w:val="20"/>
                <w:szCs w:val="20"/>
              </w:rPr>
              <w:t>There is limited systematic approach to cross-learning and sharing of best practices for evidence synthesis.</w:t>
            </w:r>
          </w:p>
          <w:p w14:paraId="2C71F97C" w14:textId="692F6221" w:rsidR="00947404" w:rsidRPr="00F731F9" w:rsidRDefault="00B00891" w:rsidP="00F05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40F97">
              <w:rPr>
                <w:sz w:val="20"/>
                <w:szCs w:val="20"/>
              </w:rPr>
              <w:t>W</w:t>
            </w:r>
            <w:r w:rsidR="00F053CD" w:rsidRPr="00F731F9">
              <w:rPr>
                <w:sz w:val="20"/>
                <w:szCs w:val="20"/>
              </w:rPr>
              <w:t>eak incentives for transdisciplinary and cross-sectoral evidence synthesis collaborations, therefore Evidence is produced in silos across sectors and fields of study.</w:t>
            </w:r>
          </w:p>
        </w:tc>
        <w:tc>
          <w:tcPr>
            <w:tcW w:w="4111" w:type="dxa"/>
          </w:tcPr>
          <w:p w14:paraId="2B7CDA26" w14:textId="0E776791" w:rsidR="00362AE6" w:rsidRPr="00F731F9" w:rsidRDefault="0061602F" w:rsidP="00140F97">
            <w:pPr>
              <w:rPr>
                <w:sz w:val="20"/>
                <w:szCs w:val="20"/>
              </w:rPr>
            </w:pPr>
            <w:r w:rsidRPr="00F731F9">
              <w:rPr>
                <w:color w:val="0B769F"/>
                <w:sz w:val="20"/>
                <w:szCs w:val="20"/>
              </w:rPr>
              <w:t xml:space="preserve">Regional collaborating centres with country nodes </w:t>
            </w:r>
            <w:r w:rsidRPr="00F731F9">
              <w:rPr>
                <w:sz w:val="20"/>
                <w:szCs w:val="20"/>
              </w:rPr>
              <w:t>will support south-south, north-south collaboration</w:t>
            </w:r>
            <w:r w:rsidR="00140F97">
              <w:rPr>
                <w:sz w:val="20"/>
                <w:szCs w:val="20"/>
              </w:rPr>
              <w:t>; e</w:t>
            </w:r>
            <w:r w:rsidRPr="00F731F9">
              <w:rPr>
                <w:sz w:val="20"/>
                <w:szCs w:val="20"/>
              </w:rPr>
              <w:t>nable evidence synthesis training and development that integrates knowledge and experience from varied sectors and regions.</w:t>
            </w:r>
          </w:p>
        </w:tc>
      </w:tr>
      <w:tr w:rsidR="00947404" w:rsidRPr="00F731F9" w14:paraId="1D90E402" w14:textId="77777777" w:rsidTr="009F136B">
        <w:tc>
          <w:tcPr>
            <w:tcW w:w="2689" w:type="dxa"/>
          </w:tcPr>
          <w:p w14:paraId="6DEC7369" w14:textId="4EEE04CC" w:rsidR="00947404" w:rsidRPr="00F731F9" w:rsidRDefault="003E6AE0" w:rsidP="000638FA">
            <w:pPr>
              <w:rPr>
                <w:sz w:val="20"/>
                <w:szCs w:val="20"/>
              </w:rPr>
            </w:pPr>
            <w:r w:rsidRPr="00F731F9">
              <w:rPr>
                <w:sz w:val="20"/>
                <w:szCs w:val="20"/>
              </w:rPr>
              <w:t>Training programs for evidence synthesis production, dissemination and use</w:t>
            </w:r>
          </w:p>
        </w:tc>
        <w:tc>
          <w:tcPr>
            <w:tcW w:w="3685" w:type="dxa"/>
          </w:tcPr>
          <w:p w14:paraId="7C1C79EC" w14:textId="463631F6" w:rsidR="00CE651D" w:rsidRPr="00F731F9" w:rsidRDefault="00B00891" w:rsidP="00B34C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34C94" w:rsidRPr="00F731F9">
              <w:rPr>
                <w:sz w:val="20"/>
                <w:szCs w:val="20"/>
              </w:rPr>
              <w:t>Uneven capacity to synthesizing different types of evidence (e.g., economic, qualitative, effectiveness, across jurisdictions</w:t>
            </w:r>
            <w:r w:rsidR="00CE651D" w:rsidRPr="00F731F9">
              <w:rPr>
                <w:sz w:val="20"/>
                <w:szCs w:val="20"/>
              </w:rPr>
              <w:t xml:space="preserve">. </w:t>
            </w:r>
          </w:p>
          <w:p w14:paraId="23146873" w14:textId="0EB17ACF" w:rsidR="00947404" w:rsidRPr="00F731F9" w:rsidRDefault="00B00891" w:rsidP="00B34C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34C94" w:rsidRPr="00F731F9">
              <w:rPr>
                <w:sz w:val="20"/>
                <w:szCs w:val="20"/>
              </w:rPr>
              <w:t>Lack of incentives in some research system to engage in evidence synthesis production and knowledge translation.</w:t>
            </w:r>
          </w:p>
        </w:tc>
        <w:tc>
          <w:tcPr>
            <w:tcW w:w="4111" w:type="dxa"/>
          </w:tcPr>
          <w:p w14:paraId="07845F48" w14:textId="77777777" w:rsidR="00A93A4F" w:rsidRDefault="00AC4E3F" w:rsidP="009E4AFA">
            <w:pPr>
              <w:rPr>
                <w:sz w:val="20"/>
                <w:szCs w:val="20"/>
              </w:rPr>
            </w:pPr>
            <w:r w:rsidRPr="00F731F9">
              <w:rPr>
                <w:color w:val="0B769F"/>
                <w:sz w:val="20"/>
                <w:szCs w:val="20"/>
              </w:rPr>
              <w:t xml:space="preserve">Competency frameworks </w:t>
            </w:r>
            <w:r w:rsidR="00B779FE" w:rsidRPr="00F731F9">
              <w:rPr>
                <w:sz w:val="20"/>
                <w:szCs w:val="20"/>
              </w:rPr>
              <w:t xml:space="preserve">will </w:t>
            </w:r>
            <w:r w:rsidR="007516D4" w:rsidRPr="00F731F9">
              <w:rPr>
                <w:sz w:val="20"/>
                <w:szCs w:val="20"/>
              </w:rPr>
              <w:t xml:space="preserve">enable </w:t>
            </w:r>
            <w:r w:rsidR="00B1096A" w:rsidRPr="00F731F9">
              <w:rPr>
                <w:sz w:val="20"/>
                <w:szCs w:val="20"/>
              </w:rPr>
              <w:t>standardized</w:t>
            </w:r>
            <w:r w:rsidR="00B1096A">
              <w:rPr>
                <w:sz w:val="20"/>
                <w:szCs w:val="20"/>
              </w:rPr>
              <w:t xml:space="preserve"> </w:t>
            </w:r>
            <w:r w:rsidR="00DF2B0B">
              <w:rPr>
                <w:sz w:val="20"/>
                <w:szCs w:val="20"/>
              </w:rPr>
              <w:t>t</w:t>
            </w:r>
            <w:r w:rsidR="007516D4" w:rsidRPr="00F731F9">
              <w:rPr>
                <w:sz w:val="20"/>
                <w:szCs w:val="20"/>
              </w:rPr>
              <w:t>raining</w:t>
            </w:r>
            <w:r w:rsidR="00AE0FAF">
              <w:rPr>
                <w:sz w:val="20"/>
                <w:szCs w:val="20"/>
              </w:rPr>
              <w:t>.</w:t>
            </w:r>
            <w:r w:rsidR="007516D4" w:rsidRPr="00F731F9">
              <w:rPr>
                <w:sz w:val="20"/>
                <w:szCs w:val="20"/>
              </w:rPr>
              <w:t xml:space="preserve"> </w:t>
            </w:r>
            <w:r w:rsidR="00E1453C" w:rsidRPr="00405F22">
              <w:rPr>
                <w:color w:val="0B769F"/>
                <w:sz w:val="20"/>
                <w:szCs w:val="20"/>
              </w:rPr>
              <w:t xml:space="preserve">Continuous Professional Development modules </w:t>
            </w:r>
            <w:r w:rsidR="00AE0FAF">
              <w:rPr>
                <w:sz w:val="20"/>
                <w:szCs w:val="20"/>
              </w:rPr>
              <w:t xml:space="preserve">will allow training institutions to include CPD modules, </w:t>
            </w:r>
            <w:r w:rsidR="00AE0FAF" w:rsidRPr="00F731F9">
              <w:rPr>
                <w:sz w:val="20"/>
                <w:szCs w:val="20"/>
              </w:rPr>
              <w:t>aligned with technological advancements in the synthesis fiel</w:t>
            </w:r>
            <w:r w:rsidR="00AE0FAF">
              <w:rPr>
                <w:sz w:val="20"/>
                <w:szCs w:val="20"/>
              </w:rPr>
              <w:t xml:space="preserve">d, in their programme offerings. </w:t>
            </w:r>
            <w:r w:rsidR="007067D2" w:rsidRPr="00F731F9">
              <w:rPr>
                <w:color w:val="0B769F"/>
                <w:sz w:val="20"/>
                <w:szCs w:val="20"/>
              </w:rPr>
              <w:t>Mentorship and Train the Trainer Programs</w:t>
            </w:r>
            <w:r w:rsidR="00CF3F73">
              <w:rPr>
                <w:color w:val="0B769F"/>
                <w:sz w:val="20"/>
                <w:szCs w:val="20"/>
              </w:rPr>
              <w:t xml:space="preserve"> </w:t>
            </w:r>
            <w:r w:rsidR="00CF3F73" w:rsidRPr="00CF3F73">
              <w:rPr>
                <w:sz w:val="20"/>
                <w:szCs w:val="20"/>
              </w:rPr>
              <w:t>w</w:t>
            </w:r>
            <w:r w:rsidR="00CE651D" w:rsidRPr="00F731F9">
              <w:rPr>
                <w:sz w:val="20"/>
                <w:szCs w:val="20"/>
              </w:rPr>
              <w:t xml:space="preserve">ill </w:t>
            </w:r>
            <w:r w:rsidR="00ED7AA0" w:rsidRPr="00F731F9">
              <w:rPr>
                <w:sz w:val="20"/>
                <w:szCs w:val="20"/>
              </w:rPr>
              <w:t>support hands on learning and expand skills across institutions</w:t>
            </w:r>
            <w:r w:rsidR="003E1CB5" w:rsidRPr="00F731F9">
              <w:rPr>
                <w:sz w:val="20"/>
                <w:szCs w:val="20"/>
              </w:rPr>
              <w:t>, regions and sectors.</w:t>
            </w:r>
            <w:r w:rsidR="009E4AFA">
              <w:rPr>
                <w:sz w:val="20"/>
                <w:szCs w:val="20"/>
              </w:rPr>
              <w:t xml:space="preserve"> </w:t>
            </w:r>
            <w:r w:rsidR="00A93A4F" w:rsidRPr="00F731F9">
              <w:rPr>
                <w:color w:val="0B769F"/>
                <w:sz w:val="20"/>
                <w:szCs w:val="20"/>
              </w:rPr>
              <w:t xml:space="preserve">Curriculum for UN </w:t>
            </w:r>
            <w:r w:rsidR="00B1096A">
              <w:rPr>
                <w:color w:val="0B769F"/>
                <w:sz w:val="20"/>
                <w:szCs w:val="20"/>
              </w:rPr>
              <w:t xml:space="preserve">and </w:t>
            </w:r>
            <w:r w:rsidR="00A93A4F" w:rsidRPr="00F731F9">
              <w:rPr>
                <w:color w:val="0B769F"/>
                <w:sz w:val="20"/>
                <w:szCs w:val="20"/>
              </w:rPr>
              <w:t xml:space="preserve">national </w:t>
            </w:r>
            <w:r w:rsidR="00B1096A">
              <w:rPr>
                <w:color w:val="0B769F"/>
                <w:sz w:val="20"/>
                <w:szCs w:val="20"/>
              </w:rPr>
              <w:t>training agencies</w:t>
            </w:r>
            <w:r w:rsidR="00A93A4F" w:rsidRPr="00F731F9">
              <w:rPr>
                <w:color w:val="0B769F"/>
                <w:sz w:val="20"/>
                <w:szCs w:val="20"/>
              </w:rPr>
              <w:t xml:space="preserve"> </w:t>
            </w:r>
            <w:r w:rsidR="00A93A4F" w:rsidRPr="00B1096A">
              <w:rPr>
                <w:sz w:val="20"/>
                <w:szCs w:val="20"/>
              </w:rPr>
              <w:t>will</w:t>
            </w:r>
            <w:r w:rsidR="00F731F9" w:rsidRPr="00B1096A">
              <w:rPr>
                <w:sz w:val="20"/>
                <w:szCs w:val="20"/>
              </w:rPr>
              <w:t xml:space="preserve"> </w:t>
            </w:r>
            <w:r w:rsidR="00CF3F73" w:rsidRPr="00B1096A">
              <w:rPr>
                <w:sz w:val="20"/>
                <w:szCs w:val="20"/>
              </w:rPr>
              <w:t>m</w:t>
            </w:r>
            <w:r w:rsidR="00F731F9" w:rsidRPr="00F731F9">
              <w:rPr>
                <w:sz w:val="20"/>
                <w:szCs w:val="20"/>
              </w:rPr>
              <w:t xml:space="preserve">ainstream evidence synthesis in national training systems </w:t>
            </w:r>
            <w:r w:rsidR="00F731F9" w:rsidRPr="00B1096A">
              <w:rPr>
                <w:sz w:val="20"/>
                <w:szCs w:val="20"/>
              </w:rPr>
              <w:t>thereby ensuring legitimacy and sustainability</w:t>
            </w:r>
            <w:r w:rsidR="00CF3F73" w:rsidRPr="00B1096A">
              <w:rPr>
                <w:sz w:val="20"/>
                <w:szCs w:val="20"/>
              </w:rPr>
              <w:t>.</w:t>
            </w:r>
          </w:p>
          <w:p w14:paraId="28E61807" w14:textId="60DF3712" w:rsidR="00A51AB2" w:rsidRDefault="005D2C3F" w:rsidP="009E4AFA">
            <w:pPr>
              <w:rPr>
                <w:color w:val="0B769F"/>
                <w:sz w:val="20"/>
                <w:szCs w:val="20"/>
              </w:rPr>
            </w:pPr>
            <w:r w:rsidRPr="00F731F9">
              <w:rPr>
                <w:color w:val="0B769F"/>
                <w:sz w:val="20"/>
                <w:szCs w:val="20"/>
              </w:rPr>
              <w:t xml:space="preserve">Regional collaborating centres with country nodes </w:t>
            </w:r>
            <w:r w:rsidR="00A51AB2" w:rsidRPr="00A51AB2">
              <w:rPr>
                <w:sz w:val="20"/>
                <w:szCs w:val="20"/>
              </w:rPr>
              <w:t>will support training</w:t>
            </w:r>
          </w:p>
          <w:p w14:paraId="60F7CD6E" w14:textId="071F07E7" w:rsidR="005D2C3F" w:rsidRPr="00F731F9" w:rsidRDefault="005D2C3F" w:rsidP="009E4AFA">
            <w:pPr>
              <w:rPr>
                <w:sz w:val="20"/>
                <w:szCs w:val="20"/>
              </w:rPr>
            </w:pPr>
            <w:r w:rsidRPr="00FF0C37">
              <w:rPr>
                <w:color w:val="0B769F"/>
                <w:sz w:val="20"/>
                <w:szCs w:val="20"/>
              </w:rPr>
              <w:t>Global Evidence Synthesis Innovation Fund</w:t>
            </w:r>
            <w:r>
              <w:rPr>
                <w:color w:val="0B769F"/>
                <w:sz w:val="20"/>
                <w:szCs w:val="20"/>
              </w:rPr>
              <w:t xml:space="preserve"> </w:t>
            </w:r>
            <w:r w:rsidR="00A51AB2" w:rsidRPr="00A51AB2">
              <w:rPr>
                <w:sz w:val="20"/>
                <w:szCs w:val="20"/>
              </w:rPr>
              <w:t>can be used to support training</w:t>
            </w:r>
          </w:p>
        </w:tc>
      </w:tr>
      <w:tr w:rsidR="00947404" w:rsidRPr="00F731F9" w14:paraId="52AFB47C" w14:textId="77777777" w:rsidTr="009F136B">
        <w:tc>
          <w:tcPr>
            <w:tcW w:w="2689" w:type="dxa"/>
          </w:tcPr>
          <w:p w14:paraId="5A87DB8B" w14:textId="56727833" w:rsidR="00947404" w:rsidRPr="00F731F9" w:rsidRDefault="003E6AE0" w:rsidP="000638FA">
            <w:pPr>
              <w:rPr>
                <w:sz w:val="20"/>
                <w:szCs w:val="20"/>
              </w:rPr>
            </w:pPr>
            <w:r w:rsidRPr="00F731F9">
              <w:rPr>
                <w:sz w:val="20"/>
                <w:szCs w:val="20"/>
              </w:rPr>
              <w:t>Funding for capacity-sharing initiatives in evidence synthesis</w:t>
            </w:r>
          </w:p>
        </w:tc>
        <w:tc>
          <w:tcPr>
            <w:tcW w:w="3685" w:type="dxa"/>
          </w:tcPr>
          <w:p w14:paraId="28FE53E4" w14:textId="08DCF292" w:rsidR="00947404" w:rsidRPr="00F731F9" w:rsidRDefault="003E3ECC" w:rsidP="000638FA">
            <w:pPr>
              <w:rPr>
                <w:sz w:val="20"/>
                <w:szCs w:val="20"/>
              </w:rPr>
            </w:pPr>
            <w:r w:rsidRPr="003E3ECC">
              <w:rPr>
                <w:sz w:val="20"/>
                <w:szCs w:val="20"/>
              </w:rPr>
              <w:t>Insufficient funding for evidence generation and application</w:t>
            </w:r>
          </w:p>
        </w:tc>
        <w:tc>
          <w:tcPr>
            <w:tcW w:w="4111" w:type="dxa"/>
          </w:tcPr>
          <w:p w14:paraId="3FE516FD" w14:textId="1ACC488B" w:rsidR="00D0100A" w:rsidRPr="00F731F9" w:rsidRDefault="00D0100A" w:rsidP="00E177A8">
            <w:pPr>
              <w:rPr>
                <w:sz w:val="20"/>
                <w:szCs w:val="20"/>
              </w:rPr>
            </w:pPr>
            <w:r w:rsidRPr="00FF0C37">
              <w:rPr>
                <w:color w:val="0B769F"/>
                <w:sz w:val="20"/>
                <w:szCs w:val="20"/>
              </w:rPr>
              <w:t>Global Evidence Synthesis Innovation Fund</w:t>
            </w:r>
            <w:r w:rsidR="00DA211F" w:rsidRPr="00FF0C37">
              <w:rPr>
                <w:color w:val="0B769F"/>
                <w:sz w:val="20"/>
                <w:szCs w:val="20"/>
              </w:rPr>
              <w:t xml:space="preserve"> </w:t>
            </w:r>
            <w:r w:rsidR="00DA211F">
              <w:rPr>
                <w:sz w:val="20"/>
                <w:szCs w:val="20"/>
              </w:rPr>
              <w:t xml:space="preserve">will provide long -term flexible funding </w:t>
            </w:r>
            <w:r w:rsidR="00FF0C37">
              <w:rPr>
                <w:sz w:val="20"/>
                <w:szCs w:val="20"/>
              </w:rPr>
              <w:t>for experimentation and innovation in evidence synthesis</w:t>
            </w:r>
            <w:r w:rsidR="009E4AFA">
              <w:rPr>
                <w:sz w:val="20"/>
                <w:szCs w:val="20"/>
              </w:rPr>
              <w:t xml:space="preserve">. The </w:t>
            </w:r>
            <w:r w:rsidRPr="00FF0C37">
              <w:rPr>
                <w:color w:val="0B769F"/>
                <w:sz w:val="20"/>
                <w:szCs w:val="20"/>
              </w:rPr>
              <w:t>Funders Forum</w:t>
            </w:r>
            <w:r w:rsidR="00871A20" w:rsidRPr="00FF0C37">
              <w:rPr>
                <w:color w:val="0B769F"/>
                <w:sz w:val="20"/>
                <w:szCs w:val="20"/>
              </w:rPr>
              <w:t xml:space="preserve"> </w:t>
            </w:r>
            <w:r w:rsidR="00871A20">
              <w:rPr>
                <w:sz w:val="20"/>
                <w:szCs w:val="20"/>
              </w:rPr>
              <w:t>will f</w:t>
            </w:r>
            <w:r w:rsidR="00871A20" w:rsidRPr="00871A20">
              <w:rPr>
                <w:sz w:val="20"/>
                <w:szCs w:val="20"/>
              </w:rPr>
              <w:t>ill a coordination gap to ensure evidence synthesis investments</w:t>
            </w:r>
            <w:r w:rsidR="00E177A8">
              <w:rPr>
                <w:sz w:val="20"/>
                <w:szCs w:val="20"/>
              </w:rPr>
              <w:t xml:space="preserve"> maximizes ESIC goals and societal impact. </w:t>
            </w:r>
          </w:p>
        </w:tc>
      </w:tr>
    </w:tbl>
    <w:p w14:paraId="20B4A461" w14:textId="77777777" w:rsidR="0026398D" w:rsidRDefault="0026398D" w:rsidP="000638FA">
      <w:pPr>
        <w:rPr>
          <w:sz w:val="22"/>
          <w:szCs w:val="22"/>
        </w:rPr>
        <w:sectPr w:rsidR="0026398D" w:rsidSect="00996EAF"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 w:code="1"/>
          <w:pgMar w:top="284" w:right="1134" w:bottom="1134" w:left="1134" w:header="709" w:footer="653" w:gutter="0"/>
          <w:cols w:space="708"/>
          <w:titlePg/>
          <w:docGrid w:linePitch="360"/>
        </w:sectPr>
      </w:pPr>
    </w:p>
    <w:p w14:paraId="5FD25D73" w14:textId="5BC70D89" w:rsidR="00BC694A" w:rsidRDefault="00BC694A" w:rsidP="000638FA">
      <w:pPr>
        <w:rPr>
          <w:sz w:val="22"/>
          <w:szCs w:val="22"/>
        </w:rPr>
      </w:pPr>
    </w:p>
    <w:p w14:paraId="29FA40DB" w14:textId="6AC9E750" w:rsidR="00D84C74" w:rsidRPr="002F0BD5" w:rsidRDefault="002F0BD5" w:rsidP="002F0BD5">
      <w:pPr>
        <w:pStyle w:val="ESIC1"/>
        <w:spacing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2F0BD5">
        <w:rPr>
          <w:rFonts w:asciiTheme="minorHAnsi" w:hAnsiTheme="minorHAnsi"/>
          <w:sz w:val="22"/>
          <w:szCs w:val="22"/>
        </w:rPr>
        <w:t xml:space="preserve">Alignment with show me </w:t>
      </w:r>
      <w:r w:rsidR="00FF085F">
        <w:rPr>
          <w:rFonts w:asciiTheme="minorHAnsi" w:hAnsiTheme="minorHAnsi"/>
          <w:sz w:val="22"/>
          <w:szCs w:val="22"/>
        </w:rPr>
        <w:t>the evi</w:t>
      </w:r>
      <w:r w:rsidR="0026398D">
        <w:rPr>
          <w:rFonts w:asciiTheme="minorHAnsi" w:hAnsiTheme="minorHAnsi"/>
          <w:sz w:val="22"/>
          <w:szCs w:val="22"/>
        </w:rPr>
        <w:t>dence</w:t>
      </w:r>
    </w:p>
    <w:p w14:paraId="254CCBA2" w14:textId="77777777" w:rsidR="003977C8" w:rsidRDefault="003977C8" w:rsidP="00112020">
      <w:pPr>
        <w:spacing w:line="259" w:lineRule="auto"/>
        <w:contextualSpacing/>
        <w:jc w:val="both"/>
        <w:rPr>
          <w:sz w:val="22"/>
          <w:szCs w:val="22"/>
          <w:lang w:val="en-US"/>
        </w:rPr>
      </w:pPr>
    </w:p>
    <w:p w14:paraId="0708535D" w14:textId="1163309E" w:rsidR="00180108" w:rsidRPr="00592A80" w:rsidRDefault="009F136B" w:rsidP="003977C8">
      <w:pPr>
        <w:spacing w:line="259" w:lineRule="auto"/>
        <w:contextualSpacing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Table 13: </w:t>
      </w:r>
      <w:r w:rsidR="00823DD4" w:rsidRPr="00823DD4">
        <w:rPr>
          <w:sz w:val="22"/>
          <w:szCs w:val="22"/>
          <w:lang w:val="en-US"/>
        </w:rPr>
        <w:t>Prioritized solutions recommended for inclusion in the menu of options for funder investment, aligned to the SHOW ME the evidence features.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718"/>
        <w:gridCol w:w="1947"/>
        <w:gridCol w:w="2082"/>
        <w:gridCol w:w="1820"/>
        <w:gridCol w:w="2255"/>
        <w:gridCol w:w="2716"/>
      </w:tblGrid>
      <w:tr w:rsidR="002E1B78" w:rsidRPr="003E6FBC" w14:paraId="024ACFAF" w14:textId="77777777" w:rsidTr="4617D4AA">
        <w:trPr>
          <w:trHeight w:val="1290"/>
          <w:tblHeader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4AF2856" w14:textId="77777777" w:rsidR="005A51CE" w:rsidRPr="005A51CE" w:rsidRDefault="005A51CE" w:rsidP="00303706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2DBD544" w14:textId="77777777" w:rsidR="0005126E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Support Systems </w:t>
            </w:r>
            <w:r w:rsidR="00C96429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locally</w:t>
            </w:r>
          </w:p>
          <w:p w14:paraId="4EAB12E1" w14:textId="66915284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(S)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E3E7487" w14:textId="77777777" w:rsidR="0005126E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Harmonized Efforts </w:t>
            </w:r>
            <w:r w:rsidR="0005126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globally</w:t>
            </w:r>
          </w:p>
          <w:p w14:paraId="14001EF4" w14:textId="4D0949AA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(H)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94BB7D3" w14:textId="77777777" w:rsidR="0005126E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Open Science Approaches</w:t>
            </w:r>
          </w:p>
          <w:p w14:paraId="63B0289E" w14:textId="68D81582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(O)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80B6B09" w14:textId="77777777" w:rsidR="0005126E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Waste Reduction </w:t>
            </w:r>
            <w:r w:rsidR="0005126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efforts</w:t>
            </w:r>
          </w:p>
          <w:p w14:paraId="78131527" w14:textId="79161301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(W)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CD95C9C" w14:textId="77777777" w:rsidR="007E08B6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Measured Communication</w:t>
            </w:r>
            <w:r w:rsidR="007E08B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</w:t>
            </w:r>
          </w:p>
          <w:p w14:paraId="0F1F7E9E" w14:textId="19C2BAAB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(M)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F524551" w14:textId="77777777" w:rsidR="007E08B6" w:rsidRDefault="005A51CE" w:rsidP="00303706">
            <w:pPr>
              <w:spacing w:line="259" w:lineRule="auto"/>
              <w:contextualSpacing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Equity and Efficiency</w:t>
            </w:r>
          </w:p>
          <w:p w14:paraId="46493A35" w14:textId="423A1AB4" w:rsidR="005A51CE" w:rsidRPr="005A51CE" w:rsidRDefault="005A51CE" w:rsidP="00303706">
            <w:pPr>
              <w:spacing w:line="259" w:lineRule="auto"/>
              <w:contextualSpacing/>
              <w:jc w:val="center"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(E)</w:t>
            </w:r>
          </w:p>
        </w:tc>
      </w:tr>
      <w:tr w:rsidR="002E1B78" w:rsidRPr="003E6FBC" w14:paraId="3EBB3FF3" w14:textId="77777777" w:rsidTr="4617D4AA">
        <w:trPr>
          <w:trHeight w:val="1511"/>
          <w:jc w:val="center"/>
        </w:trPr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B0E2A8B" w14:textId="394E78D5" w:rsidR="00D37ED8" w:rsidRPr="005A51CE" w:rsidRDefault="00D37ED8" w:rsidP="00D37ED8">
            <w:pPr>
              <w:spacing w:line="259" w:lineRule="auto"/>
              <w:contextualSpacing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ESIC Knowledge Hub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3982D24B" w14:textId="2BA07879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Strengthens infrastructure with automated ES tools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6ACA4FC4" w14:textId="7DB788FB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Provides a</w:t>
            </w:r>
            <w:r>
              <w:rPr>
                <w:sz w:val="20"/>
                <w:szCs w:val="20"/>
                <w:lang w:val="en-US"/>
              </w:rPr>
              <w:t xml:space="preserve">n interoperable </w:t>
            </w:r>
            <w:r w:rsidRPr="005A51CE">
              <w:rPr>
                <w:sz w:val="20"/>
                <w:szCs w:val="20"/>
                <w:lang w:val="en-US"/>
              </w:rPr>
              <w:t>platform to access and share ES resources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E62FC86" w14:textId="63440CD4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 xml:space="preserve">Enhances transparency by </w:t>
            </w:r>
            <w:r w:rsidR="00F0194A">
              <w:rPr>
                <w:sz w:val="20"/>
                <w:szCs w:val="20"/>
                <w:lang w:val="en-US"/>
              </w:rPr>
              <w:t>knowledge shari</w:t>
            </w:r>
            <w:r w:rsidR="0004796A">
              <w:rPr>
                <w:sz w:val="20"/>
                <w:szCs w:val="20"/>
                <w:lang w:val="en-US"/>
              </w:rPr>
              <w:t>ng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67E974A" w14:textId="77777777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Helps users avoid duplication by discovering existing evidence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17EE067" w14:textId="225C19FD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B73A630" w14:textId="77777777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Improves access to knowledge across regions and institutions</w:t>
            </w:r>
          </w:p>
        </w:tc>
      </w:tr>
      <w:tr w:rsidR="002E1B78" w:rsidRPr="003E6FBC" w14:paraId="5ECC2481" w14:textId="77777777" w:rsidTr="4617D4AA">
        <w:trPr>
          <w:trHeight w:val="1293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091362E" w14:textId="6271AF76" w:rsidR="009917C0" w:rsidRPr="005A51CE" w:rsidRDefault="009917C0" w:rsidP="009917C0">
            <w:pPr>
              <w:spacing w:line="259" w:lineRule="auto"/>
              <w:contextualSpacing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KTai 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DD84193" w14:textId="77777777" w:rsidR="009917C0" w:rsidRPr="005A51CE" w:rsidRDefault="009917C0" w:rsidP="009917C0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Strengthens infrastructure with automated ES tools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C588D73" w14:textId="4EC8A701" w:rsidR="009917C0" w:rsidRPr="005A51CE" w:rsidRDefault="0097788D" w:rsidP="00995E74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Real time harmonization of global efforts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C3767F1" w14:textId="2F6E5C5B" w:rsidR="009917C0" w:rsidRPr="005A51CE" w:rsidRDefault="009917C0" w:rsidP="009917C0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Enhances transparency</w:t>
            </w:r>
            <w:r w:rsidR="009B57D8">
              <w:rPr>
                <w:sz w:val="20"/>
                <w:szCs w:val="20"/>
                <w:lang w:val="en-US"/>
              </w:rPr>
              <w:t>,</w:t>
            </w:r>
            <w:r w:rsidRPr="005A51CE">
              <w:rPr>
                <w:sz w:val="20"/>
                <w:szCs w:val="20"/>
                <w:lang w:val="en-US"/>
              </w:rPr>
              <w:t xml:space="preserve"> if tools and outputs are open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49B696F" w14:textId="77777777" w:rsidR="009917C0" w:rsidRPr="005A51CE" w:rsidRDefault="009917C0" w:rsidP="009917C0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Automates processes to reduce time and resource use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9289BEA" w14:textId="1A953175" w:rsidR="009917C0" w:rsidRPr="005A51CE" w:rsidRDefault="009917C0" w:rsidP="009917C0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Allows stakeholders to engage with, and shape interpretation of evidence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5F262FC" w14:textId="3D681826" w:rsidR="009917C0" w:rsidRPr="005A51CE" w:rsidRDefault="009917C0" w:rsidP="009917C0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 xml:space="preserve">Makes ES more accessible and </w:t>
            </w:r>
            <w:r>
              <w:rPr>
                <w:sz w:val="20"/>
                <w:szCs w:val="20"/>
                <w:lang w:val="en-US"/>
              </w:rPr>
              <w:t>develops actionable messages faster</w:t>
            </w:r>
          </w:p>
        </w:tc>
      </w:tr>
      <w:tr w:rsidR="002E1B78" w:rsidRPr="003E6FBC" w14:paraId="1E2DECA3" w14:textId="77777777" w:rsidTr="4617D4AA">
        <w:trPr>
          <w:trHeight w:val="1478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8A1433A" w14:textId="79B66214" w:rsidR="00D37ED8" w:rsidRPr="005A51CE" w:rsidRDefault="00D37ED8" w:rsidP="00D37ED8">
            <w:pPr>
              <w:spacing w:line="259" w:lineRule="auto"/>
              <w:contextualSpacing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Regional Collaborating Centers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D9CE428" w14:textId="77777777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Establishes localized support &amp;/or structure for ES activities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DCFBA33" w14:textId="67021394" w:rsidR="0093685E" w:rsidRDefault="0093685E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TT"/>
              </w:rPr>
              <w:t>- Incorporate global and regional approaches</w:t>
            </w:r>
          </w:p>
          <w:p w14:paraId="46E9B570" w14:textId="44AE4702" w:rsidR="00D37ED8" w:rsidRPr="005A51CE" w:rsidRDefault="0093685E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D37ED8" w:rsidRPr="005A51CE">
              <w:rPr>
                <w:sz w:val="20"/>
                <w:szCs w:val="20"/>
                <w:lang w:val="en-US"/>
              </w:rPr>
              <w:t>Facilitates coordinated action and shared strategies across regions</w:t>
            </w:r>
            <w:r w:rsidR="00D37ED8">
              <w:rPr>
                <w:sz w:val="20"/>
                <w:szCs w:val="20"/>
                <w:lang w:val="en-US"/>
              </w:rPr>
              <w:t xml:space="preserve"> and sectors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0EE25A8A" w14:textId="1B5FFB53" w:rsidR="00D37ED8" w:rsidRPr="005A51CE" w:rsidRDefault="003C4F1A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Enhance sharing of new knowledge on ES methods and capacity sharing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CB8133D" w14:textId="77777777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5A51CE">
              <w:rPr>
                <w:sz w:val="20"/>
                <w:szCs w:val="20"/>
                <w:lang w:val="en-US"/>
              </w:rPr>
              <w:t>Helps reduce redundancy through regional coordination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CC6B9FD" w14:textId="37D9CF59" w:rsidR="00D37ED8" w:rsidRPr="005A51CE" w:rsidRDefault="008533DA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Can focus communication to citizens to build capacity to use evidence in daily life</w:t>
            </w:r>
            <w:r w:rsidR="009B57D8">
              <w:rPr>
                <w:sz w:val="20"/>
                <w:szCs w:val="20"/>
                <w:lang w:val="en-TT"/>
              </w:rPr>
              <w:t>.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EDA0CE8" w14:textId="23428D3F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Develops South-led leadership and capacity</w:t>
            </w:r>
          </w:p>
        </w:tc>
      </w:tr>
      <w:tr w:rsidR="002E1B78" w:rsidRPr="003E6FBC" w14:paraId="4874A650" w14:textId="77777777" w:rsidTr="4617D4AA">
        <w:trPr>
          <w:trHeight w:val="1547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2DBE036" w14:textId="7EB6864D" w:rsidR="00D37ED8" w:rsidRPr="005A51CE" w:rsidRDefault="00D37ED8" w:rsidP="00D37ED8">
            <w:pPr>
              <w:spacing w:line="259" w:lineRule="auto"/>
              <w:contextualSpacing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Mentorship and Train-the-Trainer Programs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8355DE5" w14:textId="4C396942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US"/>
              </w:rPr>
              <w:t>Build technical capacity and support for local ES actors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2197F79" w14:textId="5187D51A" w:rsidR="00D37ED8" w:rsidRDefault="00541451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4617D4AA">
              <w:rPr>
                <w:sz w:val="20"/>
                <w:szCs w:val="20"/>
                <w:lang w:val="en-US"/>
              </w:rPr>
              <w:t xml:space="preserve">- </w:t>
            </w:r>
            <w:r w:rsidR="00D37ED8" w:rsidRPr="4617D4AA">
              <w:rPr>
                <w:sz w:val="20"/>
                <w:szCs w:val="20"/>
                <w:lang w:val="en-US"/>
              </w:rPr>
              <w:t>Make it easy to learn from experts in multiple regions</w:t>
            </w:r>
          </w:p>
          <w:p w14:paraId="225FF1B6" w14:textId="63073543" w:rsidR="00541451" w:rsidRPr="005A51CE" w:rsidRDefault="00541451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US"/>
              </w:rPr>
              <w:t>- Build technical and leadership capacity locally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5C88C96" w14:textId="0AF5CF5C" w:rsidR="00D37ED8" w:rsidRPr="005A51CE" w:rsidRDefault="00136243" w:rsidP="00136243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Training and CPD programs can mainstream </w:t>
            </w:r>
            <w:r w:rsidR="00F956E5">
              <w:rPr>
                <w:sz w:val="20"/>
                <w:szCs w:val="20"/>
                <w:lang w:val="en-TT"/>
              </w:rPr>
              <w:t>open science practices by teaching FAIR/CARE principles.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9C63C8C" w14:textId="26933DFB" w:rsidR="00D37ED8" w:rsidRPr="005A51CE" w:rsidRDefault="00B542E7" w:rsidP="00B542E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TT"/>
              </w:rPr>
              <w:t>Provide support to evidence support institutions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50D8979" w14:textId="77777777" w:rsidR="00D37ED8" w:rsidRPr="005A51CE" w:rsidRDefault="00D37ED8" w:rsidP="00D37ED8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35FACCA" w14:textId="7A2C9DCC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US"/>
              </w:rPr>
              <w:t>Build</w:t>
            </w:r>
            <w:r w:rsidR="009B57D8">
              <w:rPr>
                <w:sz w:val="20"/>
                <w:szCs w:val="20"/>
                <w:lang w:val="en-US"/>
              </w:rPr>
              <w:t xml:space="preserve"> </w:t>
            </w:r>
            <w:r w:rsidRPr="4617D4AA">
              <w:rPr>
                <w:sz w:val="20"/>
                <w:szCs w:val="20"/>
                <w:lang w:val="en-US"/>
              </w:rPr>
              <w:t>capacity in underrepresented regions.  skills in underserved areas. Empowering diverse actors.</w:t>
            </w:r>
          </w:p>
        </w:tc>
      </w:tr>
      <w:tr w:rsidR="002E1B78" w:rsidRPr="003E6FBC" w14:paraId="55DE5559" w14:textId="77777777" w:rsidTr="4617D4AA">
        <w:trPr>
          <w:trHeight w:val="1498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E1D183D" w14:textId="623FB7C3" w:rsidR="00D37ED8" w:rsidRPr="005A51CE" w:rsidRDefault="00D37ED8" w:rsidP="00D37ED8">
            <w:pPr>
              <w:spacing w:line="259" w:lineRule="auto"/>
              <w:contextualSpacing/>
              <w:rPr>
                <w:color w:val="FFFFFF" w:themeColor="background1"/>
                <w:sz w:val="20"/>
                <w:szCs w:val="20"/>
                <w:lang w:val="en-TT"/>
              </w:rPr>
            </w:pPr>
            <w:r w:rsidRPr="005A51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Continuous Professional Development Modules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D37B971" w14:textId="1CAE989E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US"/>
              </w:rPr>
              <w:t>Provide ongoing education for local actors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5DD229B9" w14:textId="5EEE5105" w:rsidR="00D37ED8" w:rsidRPr="005A51CE" w:rsidRDefault="00A61995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Create common standards</w:t>
            </w:r>
            <w:r w:rsidR="0041047E">
              <w:rPr>
                <w:sz w:val="20"/>
                <w:szCs w:val="20"/>
                <w:lang w:val="en-TT"/>
              </w:rPr>
              <w:t xml:space="preserve"> and shared languages for evidence use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29779D8" w14:textId="77777777" w:rsidR="00D37ED8" w:rsidRPr="005A51CE" w:rsidRDefault="00D37ED8" w:rsidP="00D37ED8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82A32ED" w14:textId="77777777" w:rsidR="00D37ED8" w:rsidRPr="005A51CE" w:rsidRDefault="00D37ED8" w:rsidP="00D37ED8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5F097AC" w14:textId="77777777" w:rsidR="00D37ED8" w:rsidRPr="005A51CE" w:rsidRDefault="00D37ED8" w:rsidP="00D37ED8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9F778B3" w14:textId="7121A276" w:rsidR="00D37ED8" w:rsidRPr="005A51CE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4617D4AA">
              <w:rPr>
                <w:sz w:val="20"/>
                <w:szCs w:val="20"/>
                <w:lang w:val="en-US"/>
              </w:rPr>
              <w:t>Improve workforce efficiency and career development opportunities in underserved areas</w:t>
            </w:r>
          </w:p>
        </w:tc>
      </w:tr>
      <w:tr w:rsidR="002E1B78" w:rsidRPr="003E6FBC" w14:paraId="36FC9FC2" w14:textId="77777777" w:rsidTr="4617D4AA">
        <w:trPr>
          <w:trHeight w:val="1248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5A0B034" w14:textId="7ED15FA5" w:rsidR="00D37ED8" w:rsidRPr="003E6FBC" w:rsidRDefault="00D37ED8" w:rsidP="00D37ED8">
            <w:pPr>
              <w:spacing w:line="259" w:lineRule="auto"/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r w:rsidRPr="003E6FBC">
              <w:rPr>
                <w:rFonts w:cs="Arial"/>
                <w:b/>
                <w:bCs/>
                <w:color w:val="FFFFFF" w:themeColor="light1"/>
                <w:sz w:val="20"/>
                <w:szCs w:val="20"/>
                <w:lang w:val="en-US"/>
              </w:rPr>
              <w:t>Competency Frameworks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0947DF4" w14:textId="32628A7F" w:rsidR="00D37ED8" w:rsidRPr="003E6FBC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4617D4AA">
              <w:rPr>
                <w:sz w:val="20"/>
                <w:szCs w:val="20"/>
                <w:lang w:val="en-US"/>
              </w:rPr>
              <w:t>Provide a standard approach to build local ES training systems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7BB0C2EB" w14:textId="3A3CC096" w:rsidR="00D37ED8" w:rsidRPr="003E6FBC" w:rsidRDefault="770AEEC1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4617D4AA">
              <w:rPr>
                <w:sz w:val="20"/>
                <w:szCs w:val="20"/>
                <w:lang w:val="en-US"/>
              </w:rPr>
              <w:t>Provide</w:t>
            </w:r>
            <w:r w:rsidR="009B57D8">
              <w:rPr>
                <w:sz w:val="20"/>
                <w:szCs w:val="20"/>
                <w:lang w:val="en-US"/>
              </w:rPr>
              <w:t xml:space="preserve"> </w:t>
            </w:r>
            <w:r w:rsidRPr="4617D4AA">
              <w:rPr>
                <w:sz w:val="20"/>
                <w:szCs w:val="20"/>
                <w:lang w:val="en-US"/>
              </w:rPr>
              <w:t>standard approaches globally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4732A3F0" w14:textId="1DC1860B" w:rsidR="00D37ED8" w:rsidRPr="003E6FBC" w:rsidRDefault="001F4D3E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Frameworks will be shared openly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7CC7FDAF" w14:textId="4A35703E" w:rsidR="00D37ED8" w:rsidRPr="003E6FBC" w:rsidRDefault="001F45F3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Reduce waste</w:t>
            </w:r>
            <w:r w:rsidR="0062513E">
              <w:rPr>
                <w:sz w:val="20"/>
                <w:szCs w:val="20"/>
                <w:lang w:val="en-US"/>
              </w:rPr>
              <w:t xml:space="preserve"> in training and education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1F5C1810" w14:textId="77777777" w:rsidR="00D37ED8" w:rsidRPr="003E6FBC" w:rsidRDefault="00D37ED8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AED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B13F076" w14:textId="47B510E2" w:rsidR="00D37ED8" w:rsidRPr="003E6FBC" w:rsidRDefault="001F4D3E" w:rsidP="00D37E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4617D4AA">
              <w:rPr>
                <w:sz w:val="20"/>
                <w:szCs w:val="20"/>
                <w:lang w:val="en-US"/>
              </w:rPr>
              <w:t>Improve equitable</w:t>
            </w:r>
            <w:r w:rsidR="00394837" w:rsidRPr="4617D4AA">
              <w:rPr>
                <w:sz w:val="20"/>
                <w:szCs w:val="20"/>
                <w:lang w:val="en-US"/>
              </w:rPr>
              <w:t xml:space="preserve"> distribution of capacity</w:t>
            </w:r>
          </w:p>
        </w:tc>
      </w:tr>
      <w:tr w:rsidR="002E1B78" w:rsidRPr="003E6FBC" w14:paraId="0933FF08" w14:textId="77777777" w:rsidTr="4617D4AA">
        <w:trPr>
          <w:trHeight w:val="1483"/>
          <w:jc w:val="center"/>
        </w:trPr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5BFEB645" w14:textId="515A9393" w:rsidR="00394837" w:rsidRPr="003E6FBC" w:rsidRDefault="00394837" w:rsidP="00394837">
            <w:pPr>
              <w:spacing w:line="259" w:lineRule="auto"/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r w:rsidRPr="003E6FBC">
              <w:rPr>
                <w:rFonts w:cs="Arial"/>
                <w:b/>
                <w:bCs/>
                <w:color w:val="FFFFFF" w:themeColor="light1"/>
                <w:sz w:val="20"/>
                <w:szCs w:val="20"/>
                <w:lang w:val="en-US"/>
              </w:rPr>
              <w:t>Curriculum for UN national evaluation capacity development (NECD)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11135D7C" w14:textId="77777777" w:rsidR="00394837" w:rsidRDefault="00407459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394837" w:rsidRPr="003E6FBC">
              <w:rPr>
                <w:sz w:val="20"/>
                <w:szCs w:val="20"/>
                <w:lang w:val="en-US"/>
              </w:rPr>
              <w:t xml:space="preserve">Builds capacity to embed ES in existing </w:t>
            </w:r>
            <w:r w:rsidR="00394837">
              <w:rPr>
                <w:sz w:val="20"/>
                <w:szCs w:val="20"/>
                <w:lang w:val="en-US"/>
              </w:rPr>
              <w:t xml:space="preserve">local training </w:t>
            </w:r>
            <w:r w:rsidR="00394837" w:rsidRPr="003E6FBC">
              <w:rPr>
                <w:sz w:val="20"/>
                <w:szCs w:val="20"/>
                <w:lang w:val="en-US"/>
              </w:rPr>
              <w:t>systems</w:t>
            </w:r>
          </w:p>
          <w:p w14:paraId="55A352CD" w14:textId="7EB2EF66" w:rsidR="00407459" w:rsidRPr="003E6FBC" w:rsidRDefault="00407459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Deepens local system </w:t>
            </w:r>
            <w:r w:rsidR="002D1ACA">
              <w:rPr>
                <w:sz w:val="20"/>
                <w:szCs w:val="20"/>
                <w:lang w:val="en-US"/>
              </w:rPr>
              <w:t>i</w:t>
            </w:r>
            <w:r w:rsidR="005A733D">
              <w:rPr>
                <w:sz w:val="20"/>
                <w:szCs w:val="20"/>
                <w:lang w:val="en-US"/>
              </w:rPr>
              <w:t>ntegration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75AC653A" w14:textId="593C8BA2" w:rsidR="00394837" w:rsidRPr="003E6FBC" w:rsidRDefault="0021480B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Potential to create cross</w:t>
            </w:r>
            <w:r w:rsidR="00F4386D">
              <w:rPr>
                <w:sz w:val="20"/>
                <w:szCs w:val="20"/>
                <w:lang w:val="en-US"/>
              </w:rPr>
              <w:t>-country learning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71B44B58" w14:textId="77777777" w:rsidR="00394837" w:rsidRPr="003E6FBC" w:rsidRDefault="00394837" w:rsidP="00394837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CBB50C0" w14:textId="388A4A08" w:rsidR="00394837" w:rsidRPr="003E6FBC" w:rsidRDefault="0079628D" w:rsidP="009B57D8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National agencies will use the same </w:t>
            </w:r>
            <w:r w:rsidR="005C31E1">
              <w:rPr>
                <w:sz w:val="20"/>
                <w:szCs w:val="20"/>
                <w:lang w:val="en-US"/>
              </w:rPr>
              <w:t>curricu</w:t>
            </w:r>
            <w:r w:rsidR="00CB59CF">
              <w:rPr>
                <w:sz w:val="20"/>
                <w:szCs w:val="20"/>
                <w:lang w:val="en-US"/>
              </w:rPr>
              <w:t xml:space="preserve">lum, thereby reducing </w:t>
            </w:r>
            <w:r w:rsidR="002E1B78">
              <w:rPr>
                <w:sz w:val="20"/>
                <w:szCs w:val="20"/>
                <w:lang w:val="en-US"/>
              </w:rPr>
              <w:t>duplication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915B13D" w14:textId="77777777" w:rsidR="00394837" w:rsidRPr="003E6FBC" w:rsidRDefault="00394837" w:rsidP="00394837">
            <w:pPr>
              <w:spacing w:line="259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60875A7B" w14:textId="58D1F0DB" w:rsidR="00394837" w:rsidRDefault="00CB65EF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394837">
              <w:rPr>
                <w:sz w:val="20"/>
                <w:szCs w:val="20"/>
                <w:lang w:val="en-US"/>
              </w:rPr>
              <w:t>Improves equitable distribution of capacity</w:t>
            </w:r>
          </w:p>
          <w:p w14:paraId="403D42AF" w14:textId="11F3B300" w:rsidR="00802E46" w:rsidRPr="003E6FBC" w:rsidRDefault="00802E46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Mainstreams ES in</w:t>
            </w:r>
            <w:r w:rsidR="00F26EC9">
              <w:rPr>
                <w:sz w:val="20"/>
                <w:szCs w:val="20"/>
                <w:lang w:val="en-US"/>
              </w:rPr>
              <w:t xml:space="preserve"> underserved systems</w:t>
            </w:r>
          </w:p>
        </w:tc>
      </w:tr>
      <w:tr w:rsidR="002E1B78" w:rsidRPr="003E6FBC" w14:paraId="28452BC7" w14:textId="77777777" w:rsidTr="4617D4AA">
        <w:trPr>
          <w:trHeight w:val="1388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2D0F142" w14:textId="134D1BD9" w:rsidR="00394837" w:rsidRPr="001F344D" w:rsidRDefault="00394837" w:rsidP="00394837">
            <w:pPr>
              <w:spacing w:line="259" w:lineRule="auto"/>
              <w:contextualSpacing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F344D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Global Evidence Synthesis Innovation Fund (GESIF)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4C42DD2" w14:textId="38E7F3DD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001F344D">
              <w:rPr>
                <w:sz w:val="20"/>
                <w:szCs w:val="20"/>
                <w:lang w:val="en-US"/>
              </w:rPr>
              <w:t xml:space="preserve">Supports </w:t>
            </w:r>
            <w:r>
              <w:rPr>
                <w:sz w:val="20"/>
                <w:szCs w:val="20"/>
                <w:lang w:val="en-US"/>
              </w:rPr>
              <w:t xml:space="preserve">local </w:t>
            </w:r>
            <w:r w:rsidRPr="001F344D">
              <w:rPr>
                <w:sz w:val="20"/>
                <w:szCs w:val="20"/>
                <w:lang w:val="en-US"/>
              </w:rPr>
              <w:t>system innovation and development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351E97A6" w14:textId="2E63D2CD" w:rsidR="00394837" w:rsidRPr="001F344D" w:rsidRDefault="00CA5074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Fund can include principles </w:t>
            </w:r>
            <w:r w:rsidR="00AA524C">
              <w:rPr>
                <w:sz w:val="20"/>
                <w:szCs w:val="20"/>
                <w:lang w:val="en-US"/>
              </w:rPr>
              <w:t>to leverage the work of others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1AC8448" w14:textId="1A232B56" w:rsidR="00394837" w:rsidRPr="001F344D" w:rsidRDefault="009C51EB" w:rsidP="009B57D8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Can be used to support </w:t>
            </w:r>
            <w:r w:rsidR="00DD3277">
              <w:rPr>
                <w:sz w:val="20"/>
                <w:szCs w:val="20"/>
                <w:lang w:val="en-TT"/>
              </w:rPr>
              <w:t xml:space="preserve">development of </w:t>
            </w:r>
            <w:r>
              <w:rPr>
                <w:sz w:val="20"/>
                <w:szCs w:val="20"/>
                <w:lang w:val="en-TT"/>
              </w:rPr>
              <w:t xml:space="preserve">open-source </w:t>
            </w:r>
            <w:r w:rsidR="00DD3277">
              <w:rPr>
                <w:sz w:val="20"/>
                <w:szCs w:val="20"/>
                <w:lang w:val="en-TT"/>
              </w:rPr>
              <w:t xml:space="preserve">ES </w:t>
            </w:r>
            <w:r>
              <w:rPr>
                <w:sz w:val="20"/>
                <w:szCs w:val="20"/>
                <w:lang w:val="en-TT"/>
              </w:rPr>
              <w:t>tools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25BBB37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1F344D">
              <w:rPr>
                <w:sz w:val="20"/>
                <w:szCs w:val="20"/>
                <w:lang w:val="en-TT"/>
              </w:rPr>
              <w:t>Reduces duplication and focus on scalable approaches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429E69A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</w:tcPr>
          <w:p w14:paraId="26806F93" w14:textId="6B7A1B70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 i</w:t>
            </w:r>
            <w:r w:rsidRPr="00A6462C">
              <w:rPr>
                <w:sz w:val="20"/>
                <w:szCs w:val="20"/>
                <w:lang w:val="en-US"/>
              </w:rPr>
              <w:t xml:space="preserve">ncrease participation </w:t>
            </w:r>
            <w:r>
              <w:rPr>
                <w:sz w:val="20"/>
                <w:szCs w:val="20"/>
                <w:lang w:val="en-US"/>
              </w:rPr>
              <w:t xml:space="preserve">in ES </w:t>
            </w:r>
            <w:r w:rsidRPr="00A6462C">
              <w:rPr>
                <w:sz w:val="20"/>
                <w:szCs w:val="20"/>
                <w:lang w:val="en-US"/>
              </w:rPr>
              <w:t>by underrepresented institutions and regions (especially from the global South and vulnerable settings)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E1B78" w:rsidRPr="003E6FBC" w14:paraId="40C5D859" w14:textId="77777777" w:rsidTr="4617D4AA">
        <w:trPr>
          <w:trHeight w:val="1366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0AD2ED0" w14:textId="3A02B671" w:rsidR="00394837" w:rsidRPr="001F344D" w:rsidRDefault="00394837" w:rsidP="00394837">
            <w:pPr>
              <w:spacing w:line="259" w:lineRule="auto"/>
              <w:contextualSpacing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F344D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Funders Forum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EE999E9" w14:textId="081954CA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001F344D">
              <w:rPr>
                <w:sz w:val="20"/>
                <w:szCs w:val="20"/>
                <w:lang w:val="en-US"/>
              </w:rPr>
              <w:t xml:space="preserve">Supports </w:t>
            </w:r>
            <w:r>
              <w:rPr>
                <w:sz w:val="20"/>
                <w:szCs w:val="20"/>
                <w:lang w:val="en-US"/>
              </w:rPr>
              <w:t xml:space="preserve">local </w:t>
            </w:r>
            <w:r w:rsidRPr="001F344D">
              <w:rPr>
                <w:sz w:val="20"/>
                <w:szCs w:val="20"/>
                <w:lang w:val="en-US"/>
              </w:rPr>
              <w:t>system innovation and development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2C249E7" w14:textId="0094F6C3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001F344D">
              <w:rPr>
                <w:sz w:val="20"/>
                <w:szCs w:val="20"/>
                <w:lang w:val="en-US"/>
              </w:rPr>
              <w:t xml:space="preserve">Aligns donor strategies to reduce fragmentation </w:t>
            </w:r>
            <w:r>
              <w:rPr>
                <w:sz w:val="20"/>
                <w:szCs w:val="20"/>
                <w:lang w:val="en-US"/>
              </w:rPr>
              <w:t xml:space="preserve">and scale up good practices 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299E21E" w14:textId="3010E943" w:rsidR="00394837" w:rsidRPr="001F344D" w:rsidRDefault="00C4759C" w:rsidP="00087971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Can </w:t>
            </w:r>
            <w:r w:rsidR="00476BD8">
              <w:rPr>
                <w:sz w:val="20"/>
                <w:szCs w:val="20"/>
                <w:lang w:val="en-TT"/>
              </w:rPr>
              <w:t xml:space="preserve">mandate </w:t>
            </w:r>
            <w:r w:rsidR="00CE470D">
              <w:rPr>
                <w:sz w:val="20"/>
                <w:szCs w:val="20"/>
                <w:lang w:val="en-TT"/>
              </w:rPr>
              <w:t xml:space="preserve">open science as a </w:t>
            </w:r>
            <w:r w:rsidR="00C942DE">
              <w:rPr>
                <w:sz w:val="20"/>
                <w:szCs w:val="20"/>
                <w:lang w:val="en-TT"/>
              </w:rPr>
              <w:t>condition of participation</w:t>
            </w:r>
            <w:r w:rsidR="00087971">
              <w:rPr>
                <w:sz w:val="20"/>
                <w:szCs w:val="20"/>
                <w:lang w:val="en-TT"/>
              </w:rPr>
              <w:t xml:space="preserve"> in funding opportunities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4848E20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1F344D">
              <w:rPr>
                <w:sz w:val="20"/>
                <w:szCs w:val="20"/>
                <w:lang w:val="en-TT"/>
              </w:rPr>
              <w:t>Minimizes funding duplication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C4D2F1A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814CB3E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001F344D">
              <w:rPr>
                <w:sz w:val="20"/>
                <w:szCs w:val="20"/>
                <w:lang w:val="en-US"/>
              </w:rPr>
              <w:t>Promotes efficiency by pooling resources and aligning priorities</w:t>
            </w:r>
          </w:p>
        </w:tc>
      </w:tr>
      <w:tr w:rsidR="002E1B78" w:rsidRPr="003E6FBC" w14:paraId="76B4ABD3" w14:textId="77777777" w:rsidTr="4617D4AA">
        <w:trPr>
          <w:trHeight w:val="1214"/>
          <w:jc w:val="center"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156082" w:themeFill="accent1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109AB79" w14:textId="039AE48C" w:rsidR="00394837" w:rsidRPr="001F344D" w:rsidRDefault="00394837" w:rsidP="00394837">
            <w:pPr>
              <w:spacing w:line="259" w:lineRule="auto"/>
              <w:contextualSpacing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F344D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Capacity Sharing MEL System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B03EBF7" w14:textId="6920193B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Evaluates local ES and knowledge translation efforts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080469D" w14:textId="3EE72F78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Identifies best practices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421B8FF" w14:textId="2D3F4B50" w:rsidR="00394837" w:rsidRPr="001F344D" w:rsidRDefault="00AA524C" w:rsidP="00995E74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>Findings from capacity sharing evaluations open</w:t>
            </w:r>
            <w:r w:rsidR="00746CFF">
              <w:rPr>
                <w:sz w:val="20"/>
                <w:szCs w:val="20"/>
                <w:lang w:val="en-TT"/>
              </w:rPr>
              <w:t xml:space="preserve"> and free</w:t>
            </w:r>
            <w:r>
              <w:rPr>
                <w:sz w:val="20"/>
                <w:szCs w:val="20"/>
                <w:lang w:val="en-TT"/>
              </w:rPr>
              <w:t>ly</w:t>
            </w:r>
            <w:r w:rsidR="00746CFF">
              <w:rPr>
                <w:sz w:val="20"/>
                <w:szCs w:val="20"/>
                <w:lang w:val="en-TT"/>
              </w:rPr>
              <w:t xml:space="preserve"> accessible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CC2DECF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1F344D">
              <w:rPr>
                <w:sz w:val="20"/>
                <w:szCs w:val="20"/>
                <w:lang w:val="en-TT"/>
              </w:rPr>
              <w:t>Allows identification and elimination of ineffective or redundant practices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AEA92AE" w14:textId="77777777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TT"/>
              </w:rPr>
            </w:pPr>
            <w:r w:rsidRPr="001F344D">
              <w:rPr>
                <w:sz w:val="20"/>
                <w:szCs w:val="20"/>
                <w:lang w:val="en-TT"/>
              </w:rPr>
              <w:t>Generates evidence on what capacity sharing approaches work best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D2D8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409CAC5" w14:textId="441B0313" w:rsidR="00394837" w:rsidRPr="001F344D" w:rsidRDefault="00394837" w:rsidP="00394837">
            <w:pPr>
              <w:spacing w:line="259" w:lineRule="auto"/>
              <w:contextualSpacing/>
              <w:rPr>
                <w:sz w:val="20"/>
                <w:szCs w:val="20"/>
                <w:lang w:val="en-US"/>
              </w:rPr>
            </w:pPr>
            <w:r w:rsidRPr="001F344D">
              <w:rPr>
                <w:sz w:val="20"/>
                <w:szCs w:val="20"/>
                <w:lang w:val="en-US"/>
              </w:rPr>
              <w:t>Promotes learnin</w:t>
            </w:r>
            <w:r>
              <w:rPr>
                <w:sz w:val="20"/>
                <w:szCs w:val="20"/>
                <w:lang w:val="en-US"/>
              </w:rPr>
              <w:t>g</w:t>
            </w:r>
            <w:r w:rsidRPr="001F344D">
              <w:rPr>
                <w:sz w:val="20"/>
                <w:szCs w:val="20"/>
                <w:lang w:val="en-US"/>
              </w:rPr>
              <w:t xml:space="preserve"> -driven, equitable improvement across institutions</w:t>
            </w:r>
          </w:p>
        </w:tc>
      </w:tr>
    </w:tbl>
    <w:p w14:paraId="7E0E71CC" w14:textId="77777777" w:rsidR="00180108" w:rsidRPr="00592A80" w:rsidRDefault="00180108" w:rsidP="00112020">
      <w:pPr>
        <w:spacing w:line="259" w:lineRule="auto"/>
        <w:contextualSpacing/>
        <w:jc w:val="both"/>
        <w:rPr>
          <w:sz w:val="22"/>
          <w:szCs w:val="22"/>
          <w:lang w:val="en-US"/>
        </w:rPr>
      </w:pPr>
    </w:p>
    <w:p w14:paraId="600C97E2" w14:textId="77777777" w:rsidR="00180108" w:rsidRPr="00592A80" w:rsidRDefault="00180108" w:rsidP="00112020">
      <w:pPr>
        <w:spacing w:line="259" w:lineRule="auto"/>
        <w:contextualSpacing/>
        <w:jc w:val="both"/>
        <w:rPr>
          <w:sz w:val="22"/>
          <w:szCs w:val="22"/>
          <w:lang w:val="en-US"/>
        </w:rPr>
      </w:pPr>
    </w:p>
    <w:p w14:paraId="390DD528" w14:textId="0E2CBC1A" w:rsidR="00751496" w:rsidRPr="00592A80" w:rsidRDefault="00751496">
      <w:pPr>
        <w:rPr>
          <w:b/>
          <w:bCs/>
          <w:sz w:val="22"/>
          <w:szCs w:val="22"/>
          <w:lang w:val="en-US"/>
        </w:rPr>
      </w:pPr>
    </w:p>
    <w:sectPr w:rsidR="00751496" w:rsidRPr="00592A80" w:rsidSect="0026398D">
      <w:pgSz w:w="15840" w:h="12240" w:orient="landscape" w:code="1"/>
      <w:pgMar w:top="1134" w:right="284" w:bottom="1134" w:left="1134" w:header="709" w:footer="6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2AA2B" w14:textId="77777777" w:rsidR="003262B0" w:rsidRDefault="003262B0" w:rsidP="00676559">
      <w:pPr>
        <w:spacing w:after="0" w:line="240" w:lineRule="auto"/>
      </w:pPr>
      <w:r>
        <w:separator/>
      </w:r>
    </w:p>
  </w:endnote>
  <w:endnote w:type="continuationSeparator" w:id="0">
    <w:p w14:paraId="52483126" w14:textId="77777777" w:rsidR="003262B0" w:rsidRDefault="003262B0" w:rsidP="00676559">
      <w:pPr>
        <w:spacing w:after="0" w:line="240" w:lineRule="auto"/>
      </w:pPr>
      <w:r>
        <w:continuationSeparator/>
      </w:r>
    </w:p>
  </w:endnote>
  <w:endnote w:type="continuationNotice" w:id="1">
    <w:p w14:paraId="2867F7B8" w14:textId="77777777" w:rsidR="003262B0" w:rsidRDefault="003262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DC12AD9-8CA6-4E03-972F-EEE59092083B}"/>
    <w:embedBold r:id="rId2" w:fontKey="{0D9356B9-D099-4EBA-8609-49AAB7A62721}"/>
    <w:embedItalic r:id="rId3" w:fontKey="{3470A15B-9BEA-4A19-8A6F-56EB04F8F9E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F4C571F-7F56-4405-97F3-2059B88BC389}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36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278892" w14:textId="3CF5F77B" w:rsidR="00B31BC8" w:rsidRDefault="00B31BC8" w:rsidP="00AD08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F42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EE0AAB" w14:textId="77777777" w:rsidR="00B31BC8" w:rsidRDefault="00B31BC8" w:rsidP="00B31BC8">
    <w:pPr>
      <w:pStyle w:val="Footer"/>
      <w:ind w:right="360"/>
    </w:pPr>
  </w:p>
  <w:p w14:paraId="3EE04523" w14:textId="77777777" w:rsidR="00140835" w:rsidRDefault="00140835"/>
  <w:p w14:paraId="1CC9B6C9" w14:textId="77777777" w:rsidR="00A63C72" w:rsidRDefault="00A63C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84400639"/>
      <w:docPartObj>
        <w:docPartGallery w:val="Page Numbers (Bottom of Page)"/>
        <w:docPartUnique/>
      </w:docPartObj>
    </w:sdtPr>
    <w:sdtEndPr>
      <w:rPr>
        <w:rStyle w:val="PageNumber"/>
        <w:b/>
        <w:bCs/>
        <w:color w:val="0B769F" w:themeColor="accent4" w:themeShade="BF"/>
        <w:sz w:val="20"/>
        <w:szCs w:val="20"/>
      </w:rPr>
    </w:sdtEndPr>
    <w:sdtContent>
      <w:p w14:paraId="40D94417" w14:textId="14C744A1" w:rsidR="00AD08CA" w:rsidRDefault="00AD08CA" w:rsidP="007F32E1">
        <w:pPr>
          <w:pStyle w:val="Footer"/>
          <w:framePr w:wrap="none" w:vAnchor="text" w:hAnchor="margin" w:xAlign="right" w:y="162"/>
          <w:rPr>
            <w:rStyle w:val="PageNumber"/>
          </w:rPr>
        </w:pPr>
        <w:r w:rsidRPr="007F32E1">
          <w:rPr>
            <w:rStyle w:val="PageNumber"/>
            <w:b/>
            <w:bCs/>
            <w:sz w:val="20"/>
            <w:szCs w:val="20"/>
          </w:rPr>
          <w:fldChar w:fldCharType="begin"/>
        </w:r>
        <w:r w:rsidRPr="007F32E1">
          <w:rPr>
            <w:rStyle w:val="PageNumber"/>
            <w:b/>
            <w:bCs/>
            <w:sz w:val="20"/>
            <w:szCs w:val="20"/>
          </w:rPr>
          <w:instrText xml:space="preserve"> PAGE </w:instrText>
        </w:r>
        <w:r w:rsidRPr="007F32E1">
          <w:rPr>
            <w:rStyle w:val="PageNumber"/>
            <w:b/>
            <w:bCs/>
            <w:sz w:val="20"/>
            <w:szCs w:val="20"/>
          </w:rPr>
          <w:fldChar w:fldCharType="separate"/>
        </w:r>
        <w:r w:rsidRPr="007F32E1">
          <w:rPr>
            <w:rStyle w:val="PageNumber"/>
            <w:b/>
            <w:bCs/>
            <w:noProof/>
            <w:sz w:val="20"/>
            <w:szCs w:val="20"/>
          </w:rPr>
          <w:t>1</w:t>
        </w:r>
        <w:r w:rsidRPr="007F32E1">
          <w:rPr>
            <w:rStyle w:val="PageNumber"/>
            <w:b/>
            <w:bCs/>
            <w:sz w:val="20"/>
            <w:szCs w:val="20"/>
          </w:rPr>
          <w:fldChar w:fldCharType="end"/>
        </w:r>
      </w:p>
    </w:sdtContent>
  </w:sdt>
  <w:p w14:paraId="0FFFEB82" w14:textId="1C38ADA1" w:rsidR="00DB3FAD" w:rsidRPr="00B31BC8" w:rsidRDefault="00DB3FAD" w:rsidP="00B31BC8">
    <w:pPr>
      <w:pStyle w:val="Footer"/>
      <w:ind w:right="360"/>
      <w:jc w:val="right"/>
      <w:rPr>
        <w:rFonts w:ascii="Arial Narrow" w:hAnsi="Arial Narrow"/>
        <w:color w:val="000000" w:themeColor="text1"/>
        <w:sz w:val="22"/>
        <w:szCs w:val="22"/>
      </w:rPr>
    </w:pPr>
  </w:p>
  <w:p w14:paraId="79C1A483" w14:textId="105D3AAB" w:rsidR="00586698" w:rsidRPr="003F5579" w:rsidRDefault="007A62B5" w:rsidP="007A62B5">
    <w:pPr>
      <w:pStyle w:val="Footer"/>
      <w:jc w:val="center"/>
      <w:rPr>
        <w:rFonts w:ascii="Arial" w:hAnsi="Arial" w:cs="Arial"/>
        <w:color w:val="156082" w:themeColor="accent1"/>
        <w:sz w:val="18"/>
        <w:szCs w:val="18"/>
      </w:rPr>
    </w:pPr>
    <w:r w:rsidRPr="003F5579">
      <w:rPr>
        <w:rFonts w:ascii="Arial" w:hAnsi="Arial" w:cs="Arial"/>
        <w:color w:val="156082" w:themeColor="accent1"/>
        <w:sz w:val="18"/>
        <w:szCs w:val="18"/>
      </w:rPr>
      <w:t>The</w:t>
    </w:r>
    <w:r w:rsidR="007B3035" w:rsidRPr="003F5579">
      <w:rPr>
        <w:rFonts w:ascii="Arial" w:hAnsi="Arial" w:cs="Arial"/>
        <w:color w:val="156082" w:themeColor="accent1"/>
        <w:sz w:val="18"/>
        <w:szCs w:val="18"/>
      </w:rPr>
      <w:t xml:space="preserve"> ESIC </w:t>
    </w:r>
    <w:r w:rsidRPr="003F5579">
      <w:rPr>
        <w:rFonts w:ascii="Arial" w:hAnsi="Arial" w:cs="Arial"/>
        <w:color w:val="156082" w:themeColor="accent1"/>
        <w:sz w:val="18"/>
        <w:szCs w:val="18"/>
      </w:rPr>
      <w:t>planning process is</w:t>
    </w:r>
    <w:r w:rsidR="00516FCA" w:rsidRPr="003F5579">
      <w:rPr>
        <w:rFonts w:ascii="Arial" w:hAnsi="Arial" w:cs="Arial"/>
        <w:color w:val="156082" w:themeColor="accent1"/>
        <w:sz w:val="18"/>
        <w:szCs w:val="18"/>
      </w:rPr>
      <w:t xml:space="preserve"> funded by the Wellcome Trust</w:t>
    </w:r>
    <w:r w:rsidR="00C8169B" w:rsidRPr="003F5579">
      <w:rPr>
        <w:rFonts w:ascii="Arial" w:hAnsi="Arial" w:cs="Arial"/>
        <w:color w:val="156082" w:themeColor="accent1"/>
        <w:sz w:val="18"/>
        <w:szCs w:val="18"/>
      </w:rPr>
      <w:t>.</w:t>
    </w:r>
    <w:r w:rsidR="004B5BF9" w:rsidRPr="003F5579">
      <w:rPr>
        <w:rFonts w:ascii="Arial" w:hAnsi="Arial" w:cs="Arial"/>
        <w:color w:val="156082" w:themeColor="accent1"/>
        <w:sz w:val="18"/>
        <w:szCs w:val="18"/>
      </w:rPr>
      <w:t xml:space="preserve"> </w:t>
    </w:r>
  </w:p>
  <w:p w14:paraId="7801B593" w14:textId="77777777" w:rsidR="00140835" w:rsidRDefault="001408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38FB" w14:textId="1B3FBD42" w:rsidR="00DA18B8" w:rsidRPr="003F5579" w:rsidRDefault="00B43398" w:rsidP="00DA18B8">
    <w:pPr>
      <w:pStyle w:val="Footer"/>
      <w:jc w:val="center"/>
      <w:rPr>
        <w:rFonts w:ascii="Arial" w:hAnsi="Arial" w:cs="Arial"/>
        <w:color w:val="156082" w:themeColor="accent1"/>
        <w:sz w:val="18"/>
        <w:szCs w:val="18"/>
      </w:rPr>
    </w:pPr>
    <w:r w:rsidRPr="00E562E1">
      <w:rPr>
        <w:rFonts w:asciiTheme="minorBidi" w:hAnsiTheme="minorBidi"/>
        <w:b/>
        <w:bCs/>
        <w:noProof/>
        <w:color w:val="156082" w:themeColor="accent1"/>
        <w:sz w:val="22"/>
        <w:szCs w:val="22"/>
      </w:rPr>
      <w:drawing>
        <wp:anchor distT="0" distB="0" distL="114300" distR="114300" simplePos="0" relativeHeight="251658240" behindDoc="0" locked="0" layoutInCell="1" allowOverlap="1" wp14:anchorId="774C4518" wp14:editId="4D0238C0">
          <wp:simplePos x="0" y="0"/>
          <wp:positionH relativeFrom="margin">
            <wp:posOffset>1174750</wp:posOffset>
          </wp:positionH>
          <wp:positionV relativeFrom="page">
            <wp:posOffset>9448800</wp:posOffset>
          </wp:positionV>
          <wp:extent cx="360000" cy="360000"/>
          <wp:effectExtent l="0" t="0" r="0" b="0"/>
          <wp:wrapNone/>
          <wp:docPr id="1847129948" name="Picture 2" descr="A blue sign with black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36453" name="Picture 2" descr="A blue sign with black letters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18B8" w:rsidRPr="003F5579">
      <w:rPr>
        <w:rFonts w:ascii="Arial" w:hAnsi="Arial" w:cs="Arial"/>
        <w:color w:val="156082" w:themeColor="accent1"/>
        <w:sz w:val="18"/>
        <w:szCs w:val="18"/>
      </w:rPr>
      <w:t xml:space="preserve">The ESIC planning process is funded by the Wellcome Trust.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A067C" w14:textId="77777777" w:rsidR="003262B0" w:rsidRDefault="003262B0" w:rsidP="00676559">
      <w:pPr>
        <w:spacing w:after="0" w:line="240" w:lineRule="auto"/>
      </w:pPr>
      <w:r>
        <w:separator/>
      </w:r>
    </w:p>
  </w:footnote>
  <w:footnote w:type="continuationSeparator" w:id="0">
    <w:p w14:paraId="556AF41D" w14:textId="77777777" w:rsidR="003262B0" w:rsidRDefault="003262B0" w:rsidP="00676559">
      <w:pPr>
        <w:spacing w:after="0" w:line="240" w:lineRule="auto"/>
      </w:pPr>
      <w:r>
        <w:continuationSeparator/>
      </w:r>
    </w:p>
  </w:footnote>
  <w:footnote w:type="continuationNotice" w:id="1">
    <w:p w14:paraId="106E17DA" w14:textId="77777777" w:rsidR="003262B0" w:rsidRDefault="003262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144D0" w14:textId="36F52E8E" w:rsidR="004111C8" w:rsidRDefault="004111C8">
    <w:pPr>
      <w:pStyle w:val="Header"/>
    </w:pPr>
  </w:p>
  <w:p w14:paraId="30BEED0F" w14:textId="27991631" w:rsidR="009C3C8A" w:rsidRDefault="009C3C8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965"/>
    <w:multiLevelType w:val="hybridMultilevel"/>
    <w:tmpl w:val="E6F4B6DC"/>
    <w:lvl w:ilvl="0" w:tplc="0EAC6314">
      <w:start w:val="1"/>
      <w:numFmt w:val="decimal"/>
      <w:lvlText w:val="%1."/>
      <w:lvlJc w:val="left"/>
      <w:pPr>
        <w:ind w:left="720" w:hanging="360"/>
      </w:pPr>
      <w:rPr>
        <w:rFonts w:hint="default"/>
        <w:color w:val="156082" w:themeColor="accent1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3118"/>
    <w:multiLevelType w:val="hybridMultilevel"/>
    <w:tmpl w:val="4E30F0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5DE3"/>
    <w:multiLevelType w:val="hybridMultilevel"/>
    <w:tmpl w:val="1324C6E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3CA3"/>
    <w:multiLevelType w:val="hybridMultilevel"/>
    <w:tmpl w:val="65B2ED6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C02"/>
    <w:multiLevelType w:val="hybridMultilevel"/>
    <w:tmpl w:val="1960DD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77023"/>
    <w:multiLevelType w:val="multilevel"/>
    <w:tmpl w:val="9ECC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75709"/>
    <w:multiLevelType w:val="hybridMultilevel"/>
    <w:tmpl w:val="863E67F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3005">
    <w:abstractNumId w:val="0"/>
  </w:num>
  <w:num w:numId="2" w16cid:durableId="1001086561">
    <w:abstractNumId w:val="5"/>
  </w:num>
  <w:num w:numId="3" w16cid:durableId="275258149">
    <w:abstractNumId w:val="2"/>
  </w:num>
  <w:num w:numId="4" w16cid:durableId="1163012257">
    <w:abstractNumId w:val="6"/>
  </w:num>
  <w:num w:numId="5" w16cid:durableId="1538003644">
    <w:abstractNumId w:val="4"/>
  </w:num>
  <w:num w:numId="6" w16cid:durableId="144246794">
    <w:abstractNumId w:val="1"/>
  </w:num>
  <w:num w:numId="7" w16cid:durableId="106780319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49"/>
    <w:rsid w:val="000014DD"/>
    <w:rsid w:val="00002C7C"/>
    <w:rsid w:val="0000574D"/>
    <w:rsid w:val="000067C4"/>
    <w:rsid w:val="000072FE"/>
    <w:rsid w:val="00010E5C"/>
    <w:rsid w:val="00014ECD"/>
    <w:rsid w:val="0001560A"/>
    <w:rsid w:val="00015CFC"/>
    <w:rsid w:val="00016AB3"/>
    <w:rsid w:val="000211BB"/>
    <w:rsid w:val="00021CD1"/>
    <w:rsid w:val="00023418"/>
    <w:rsid w:val="00024143"/>
    <w:rsid w:val="00026208"/>
    <w:rsid w:val="0003080B"/>
    <w:rsid w:val="0003115A"/>
    <w:rsid w:val="0003135C"/>
    <w:rsid w:val="00031785"/>
    <w:rsid w:val="00031893"/>
    <w:rsid w:val="00031E71"/>
    <w:rsid w:val="000323EF"/>
    <w:rsid w:val="00032C46"/>
    <w:rsid w:val="00033132"/>
    <w:rsid w:val="000337C5"/>
    <w:rsid w:val="000357D0"/>
    <w:rsid w:val="00036B7C"/>
    <w:rsid w:val="0003716D"/>
    <w:rsid w:val="00037986"/>
    <w:rsid w:val="000405F6"/>
    <w:rsid w:val="000409B2"/>
    <w:rsid w:val="00042C06"/>
    <w:rsid w:val="00042D7C"/>
    <w:rsid w:val="0004427D"/>
    <w:rsid w:val="000444B5"/>
    <w:rsid w:val="00047106"/>
    <w:rsid w:val="00047193"/>
    <w:rsid w:val="00047501"/>
    <w:rsid w:val="0004796A"/>
    <w:rsid w:val="00050D28"/>
    <w:rsid w:val="0005126E"/>
    <w:rsid w:val="0005311D"/>
    <w:rsid w:val="00054E6B"/>
    <w:rsid w:val="00055A4E"/>
    <w:rsid w:val="00056A5C"/>
    <w:rsid w:val="00057DAC"/>
    <w:rsid w:val="000638FA"/>
    <w:rsid w:val="000671D2"/>
    <w:rsid w:val="000701E3"/>
    <w:rsid w:val="00070A67"/>
    <w:rsid w:val="00070BB9"/>
    <w:rsid w:val="000711D4"/>
    <w:rsid w:val="0007304B"/>
    <w:rsid w:val="0007395D"/>
    <w:rsid w:val="000742EF"/>
    <w:rsid w:val="00075809"/>
    <w:rsid w:val="00076C66"/>
    <w:rsid w:val="00080D3B"/>
    <w:rsid w:val="00081656"/>
    <w:rsid w:val="00081A2C"/>
    <w:rsid w:val="00081AB7"/>
    <w:rsid w:val="00083C12"/>
    <w:rsid w:val="00086512"/>
    <w:rsid w:val="00087971"/>
    <w:rsid w:val="0009109F"/>
    <w:rsid w:val="00092483"/>
    <w:rsid w:val="00094F21"/>
    <w:rsid w:val="000960BB"/>
    <w:rsid w:val="000970C8"/>
    <w:rsid w:val="00097492"/>
    <w:rsid w:val="000A14E4"/>
    <w:rsid w:val="000A1B5F"/>
    <w:rsid w:val="000A209A"/>
    <w:rsid w:val="000A3455"/>
    <w:rsid w:val="000A49D3"/>
    <w:rsid w:val="000A5E53"/>
    <w:rsid w:val="000A6701"/>
    <w:rsid w:val="000B0712"/>
    <w:rsid w:val="000B37AC"/>
    <w:rsid w:val="000B3B8D"/>
    <w:rsid w:val="000B501C"/>
    <w:rsid w:val="000B7615"/>
    <w:rsid w:val="000C0B45"/>
    <w:rsid w:val="000C24B1"/>
    <w:rsid w:val="000C4984"/>
    <w:rsid w:val="000C7E70"/>
    <w:rsid w:val="000D0CD7"/>
    <w:rsid w:val="000D14E8"/>
    <w:rsid w:val="000D35E2"/>
    <w:rsid w:val="000D6111"/>
    <w:rsid w:val="000D63BA"/>
    <w:rsid w:val="000D6577"/>
    <w:rsid w:val="000D799D"/>
    <w:rsid w:val="000E003E"/>
    <w:rsid w:val="000E1389"/>
    <w:rsid w:val="000E1510"/>
    <w:rsid w:val="000E24FD"/>
    <w:rsid w:val="000E29CC"/>
    <w:rsid w:val="000E38E1"/>
    <w:rsid w:val="000E47CD"/>
    <w:rsid w:val="000F006F"/>
    <w:rsid w:val="000F2145"/>
    <w:rsid w:val="000F2E0D"/>
    <w:rsid w:val="000F2E96"/>
    <w:rsid w:val="000F3EDA"/>
    <w:rsid w:val="000F41FA"/>
    <w:rsid w:val="000F56B5"/>
    <w:rsid w:val="000F75C8"/>
    <w:rsid w:val="000F7A2E"/>
    <w:rsid w:val="00100F3E"/>
    <w:rsid w:val="001024A0"/>
    <w:rsid w:val="00103B5F"/>
    <w:rsid w:val="0010497F"/>
    <w:rsid w:val="00104B69"/>
    <w:rsid w:val="001053D6"/>
    <w:rsid w:val="0010550D"/>
    <w:rsid w:val="001059E8"/>
    <w:rsid w:val="00106D32"/>
    <w:rsid w:val="001103F3"/>
    <w:rsid w:val="00110F2E"/>
    <w:rsid w:val="001114FA"/>
    <w:rsid w:val="00112020"/>
    <w:rsid w:val="00112A4D"/>
    <w:rsid w:val="00114723"/>
    <w:rsid w:val="001150EB"/>
    <w:rsid w:val="00115C4F"/>
    <w:rsid w:val="001165FB"/>
    <w:rsid w:val="00121163"/>
    <w:rsid w:val="001216AF"/>
    <w:rsid w:val="00122471"/>
    <w:rsid w:val="001227B1"/>
    <w:rsid w:val="00122820"/>
    <w:rsid w:val="00124121"/>
    <w:rsid w:val="001241CA"/>
    <w:rsid w:val="00124692"/>
    <w:rsid w:val="0012469C"/>
    <w:rsid w:val="001247D9"/>
    <w:rsid w:val="00124E20"/>
    <w:rsid w:val="00124E84"/>
    <w:rsid w:val="00125607"/>
    <w:rsid w:val="0012572C"/>
    <w:rsid w:val="00125C57"/>
    <w:rsid w:val="00126425"/>
    <w:rsid w:val="00131FEB"/>
    <w:rsid w:val="00132F29"/>
    <w:rsid w:val="00136243"/>
    <w:rsid w:val="00140835"/>
    <w:rsid w:val="00140D0E"/>
    <w:rsid w:val="00140F97"/>
    <w:rsid w:val="00141D67"/>
    <w:rsid w:val="00141F05"/>
    <w:rsid w:val="001437D1"/>
    <w:rsid w:val="00146228"/>
    <w:rsid w:val="001462D7"/>
    <w:rsid w:val="00146834"/>
    <w:rsid w:val="00146FA5"/>
    <w:rsid w:val="0014757E"/>
    <w:rsid w:val="00150D9F"/>
    <w:rsid w:val="00153223"/>
    <w:rsid w:val="00153846"/>
    <w:rsid w:val="00153D0E"/>
    <w:rsid w:val="001549B2"/>
    <w:rsid w:val="00156349"/>
    <w:rsid w:val="001574C6"/>
    <w:rsid w:val="00157C15"/>
    <w:rsid w:val="00160639"/>
    <w:rsid w:val="00161659"/>
    <w:rsid w:val="001631AE"/>
    <w:rsid w:val="00163E05"/>
    <w:rsid w:val="00165AAC"/>
    <w:rsid w:val="00166018"/>
    <w:rsid w:val="0016775F"/>
    <w:rsid w:val="00167796"/>
    <w:rsid w:val="00167C12"/>
    <w:rsid w:val="00170A25"/>
    <w:rsid w:val="00171DCF"/>
    <w:rsid w:val="00172962"/>
    <w:rsid w:val="001732A5"/>
    <w:rsid w:val="0017402C"/>
    <w:rsid w:val="00174AD3"/>
    <w:rsid w:val="00174BD5"/>
    <w:rsid w:val="0017584D"/>
    <w:rsid w:val="00175F0F"/>
    <w:rsid w:val="0017671F"/>
    <w:rsid w:val="00176ADF"/>
    <w:rsid w:val="0017733B"/>
    <w:rsid w:val="00180108"/>
    <w:rsid w:val="00180580"/>
    <w:rsid w:val="00180BBA"/>
    <w:rsid w:val="00182472"/>
    <w:rsid w:val="00183455"/>
    <w:rsid w:val="00184E61"/>
    <w:rsid w:val="00184FA8"/>
    <w:rsid w:val="00185DE8"/>
    <w:rsid w:val="00185FA1"/>
    <w:rsid w:val="0018645E"/>
    <w:rsid w:val="00187036"/>
    <w:rsid w:val="00187DF8"/>
    <w:rsid w:val="00187E82"/>
    <w:rsid w:val="001922B2"/>
    <w:rsid w:val="0019383D"/>
    <w:rsid w:val="00194870"/>
    <w:rsid w:val="00194AD4"/>
    <w:rsid w:val="00196830"/>
    <w:rsid w:val="001A04AF"/>
    <w:rsid w:val="001A23A8"/>
    <w:rsid w:val="001A26C0"/>
    <w:rsid w:val="001A3384"/>
    <w:rsid w:val="001A4271"/>
    <w:rsid w:val="001A5514"/>
    <w:rsid w:val="001A5D81"/>
    <w:rsid w:val="001A6907"/>
    <w:rsid w:val="001A7A4F"/>
    <w:rsid w:val="001A7A7F"/>
    <w:rsid w:val="001B00FD"/>
    <w:rsid w:val="001B1473"/>
    <w:rsid w:val="001B1B1C"/>
    <w:rsid w:val="001B21DB"/>
    <w:rsid w:val="001B337D"/>
    <w:rsid w:val="001B376E"/>
    <w:rsid w:val="001B5808"/>
    <w:rsid w:val="001B5823"/>
    <w:rsid w:val="001B60C2"/>
    <w:rsid w:val="001B6B3C"/>
    <w:rsid w:val="001C0772"/>
    <w:rsid w:val="001C1671"/>
    <w:rsid w:val="001C329B"/>
    <w:rsid w:val="001C39F6"/>
    <w:rsid w:val="001C3A72"/>
    <w:rsid w:val="001C4B6F"/>
    <w:rsid w:val="001C5E79"/>
    <w:rsid w:val="001C5F48"/>
    <w:rsid w:val="001C6A37"/>
    <w:rsid w:val="001C7999"/>
    <w:rsid w:val="001D0F7D"/>
    <w:rsid w:val="001D17B5"/>
    <w:rsid w:val="001D3C09"/>
    <w:rsid w:val="001D6A94"/>
    <w:rsid w:val="001D6D6C"/>
    <w:rsid w:val="001D7C59"/>
    <w:rsid w:val="001E0011"/>
    <w:rsid w:val="001E05A9"/>
    <w:rsid w:val="001E2336"/>
    <w:rsid w:val="001E235F"/>
    <w:rsid w:val="001E52D5"/>
    <w:rsid w:val="001E6D11"/>
    <w:rsid w:val="001E79BF"/>
    <w:rsid w:val="001E79C2"/>
    <w:rsid w:val="001E7A15"/>
    <w:rsid w:val="001F0861"/>
    <w:rsid w:val="001F2592"/>
    <w:rsid w:val="001F344D"/>
    <w:rsid w:val="001F45F3"/>
    <w:rsid w:val="001F48D7"/>
    <w:rsid w:val="001F4D3E"/>
    <w:rsid w:val="001F5282"/>
    <w:rsid w:val="001F52AC"/>
    <w:rsid w:val="001F6F4C"/>
    <w:rsid w:val="001F758D"/>
    <w:rsid w:val="001F7A35"/>
    <w:rsid w:val="001F7A7B"/>
    <w:rsid w:val="001F7BFD"/>
    <w:rsid w:val="002012CA"/>
    <w:rsid w:val="00203F28"/>
    <w:rsid w:val="0020518C"/>
    <w:rsid w:val="002079E8"/>
    <w:rsid w:val="0021078E"/>
    <w:rsid w:val="00210C8B"/>
    <w:rsid w:val="00211A20"/>
    <w:rsid w:val="0021256A"/>
    <w:rsid w:val="0021299E"/>
    <w:rsid w:val="00213375"/>
    <w:rsid w:val="002138AC"/>
    <w:rsid w:val="00213D20"/>
    <w:rsid w:val="00214725"/>
    <w:rsid w:val="0021480B"/>
    <w:rsid w:val="00214E53"/>
    <w:rsid w:val="002157D4"/>
    <w:rsid w:val="0022082E"/>
    <w:rsid w:val="0022086C"/>
    <w:rsid w:val="0022158A"/>
    <w:rsid w:val="00221697"/>
    <w:rsid w:val="00221A6A"/>
    <w:rsid w:val="002234F2"/>
    <w:rsid w:val="002236CE"/>
    <w:rsid w:val="00224393"/>
    <w:rsid w:val="00224839"/>
    <w:rsid w:val="002255B6"/>
    <w:rsid w:val="002263DB"/>
    <w:rsid w:val="00230043"/>
    <w:rsid w:val="00230400"/>
    <w:rsid w:val="00231E8F"/>
    <w:rsid w:val="0023265B"/>
    <w:rsid w:val="00233940"/>
    <w:rsid w:val="00233CFB"/>
    <w:rsid w:val="002342E0"/>
    <w:rsid w:val="00235F20"/>
    <w:rsid w:val="00237274"/>
    <w:rsid w:val="002372EB"/>
    <w:rsid w:val="002417DF"/>
    <w:rsid w:val="00241B82"/>
    <w:rsid w:val="002424C2"/>
    <w:rsid w:val="00242743"/>
    <w:rsid w:val="00245792"/>
    <w:rsid w:val="0025255B"/>
    <w:rsid w:val="00253827"/>
    <w:rsid w:val="0025389C"/>
    <w:rsid w:val="00255984"/>
    <w:rsid w:val="00256F6D"/>
    <w:rsid w:val="0025747B"/>
    <w:rsid w:val="002606F3"/>
    <w:rsid w:val="00262B0D"/>
    <w:rsid w:val="00262C2F"/>
    <w:rsid w:val="00263189"/>
    <w:rsid w:val="0026398D"/>
    <w:rsid w:val="00264179"/>
    <w:rsid w:val="00264657"/>
    <w:rsid w:val="002650D7"/>
    <w:rsid w:val="00265D8E"/>
    <w:rsid w:val="0026640D"/>
    <w:rsid w:val="0027032C"/>
    <w:rsid w:val="00271F64"/>
    <w:rsid w:val="00272051"/>
    <w:rsid w:val="00273339"/>
    <w:rsid w:val="00273E8D"/>
    <w:rsid w:val="0027417A"/>
    <w:rsid w:val="0027441A"/>
    <w:rsid w:val="002754B6"/>
    <w:rsid w:val="002755BE"/>
    <w:rsid w:val="00275686"/>
    <w:rsid w:val="00275B97"/>
    <w:rsid w:val="002765F0"/>
    <w:rsid w:val="002766D3"/>
    <w:rsid w:val="0028174C"/>
    <w:rsid w:val="00282E0C"/>
    <w:rsid w:val="0028403E"/>
    <w:rsid w:val="00284116"/>
    <w:rsid w:val="00285308"/>
    <w:rsid w:val="0028575E"/>
    <w:rsid w:val="00287186"/>
    <w:rsid w:val="002936DC"/>
    <w:rsid w:val="00293CC2"/>
    <w:rsid w:val="00295B89"/>
    <w:rsid w:val="002968BC"/>
    <w:rsid w:val="002A3550"/>
    <w:rsid w:val="002A3E1D"/>
    <w:rsid w:val="002A4331"/>
    <w:rsid w:val="002A4990"/>
    <w:rsid w:val="002B0460"/>
    <w:rsid w:val="002B172D"/>
    <w:rsid w:val="002B2901"/>
    <w:rsid w:val="002B2C0B"/>
    <w:rsid w:val="002B32E3"/>
    <w:rsid w:val="002B4985"/>
    <w:rsid w:val="002B4D12"/>
    <w:rsid w:val="002B5776"/>
    <w:rsid w:val="002B5A28"/>
    <w:rsid w:val="002B7D6D"/>
    <w:rsid w:val="002C1823"/>
    <w:rsid w:val="002C19C1"/>
    <w:rsid w:val="002C205F"/>
    <w:rsid w:val="002C5146"/>
    <w:rsid w:val="002C5E61"/>
    <w:rsid w:val="002D1ACA"/>
    <w:rsid w:val="002D30A2"/>
    <w:rsid w:val="002D491D"/>
    <w:rsid w:val="002D4BDC"/>
    <w:rsid w:val="002D665F"/>
    <w:rsid w:val="002D6A71"/>
    <w:rsid w:val="002E08DB"/>
    <w:rsid w:val="002E1B78"/>
    <w:rsid w:val="002E1FFF"/>
    <w:rsid w:val="002E6414"/>
    <w:rsid w:val="002E7318"/>
    <w:rsid w:val="002E7E9E"/>
    <w:rsid w:val="002F0BD5"/>
    <w:rsid w:val="002F1143"/>
    <w:rsid w:val="002F13B6"/>
    <w:rsid w:val="002F26EA"/>
    <w:rsid w:val="002F3165"/>
    <w:rsid w:val="002F3E23"/>
    <w:rsid w:val="002F42FC"/>
    <w:rsid w:val="002F50A2"/>
    <w:rsid w:val="002F5A65"/>
    <w:rsid w:val="00301CFE"/>
    <w:rsid w:val="00302454"/>
    <w:rsid w:val="00302CB1"/>
    <w:rsid w:val="00303445"/>
    <w:rsid w:val="00303706"/>
    <w:rsid w:val="00303EE6"/>
    <w:rsid w:val="00305FC1"/>
    <w:rsid w:val="00310E42"/>
    <w:rsid w:val="00310F50"/>
    <w:rsid w:val="003111F5"/>
    <w:rsid w:val="00313DAE"/>
    <w:rsid w:val="00315DDE"/>
    <w:rsid w:val="0031734C"/>
    <w:rsid w:val="00317D0C"/>
    <w:rsid w:val="0032185B"/>
    <w:rsid w:val="00321BA9"/>
    <w:rsid w:val="00321EE8"/>
    <w:rsid w:val="00322ED9"/>
    <w:rsid w:val="00324983"/>
    <w:rsid w:val="00324C5E"/>
    <w:rsid w:val="00324D36"/>
    <w:rsid w:val="003262B0"/>
    <w:rsid w:val="0033056B"/>
    <w:rsid w:val="003351C6"/>
    <w:rsid w:val="0033544F"/>
    <w:rsid w:val="003358D8"/>
    <w:rsid w:val="00336181"/>
    <w:rsid w:val="0034294A"/>
    <w:rsid w:val="00343B0F"/>
    <w:rsid w:val="00345376"/>
    <w:rsid w:val="00345D53"/>
    <w:rsid w:val="003465EA"/>
    <w:rsid w:val="00347CDF"/>
    <w:rsid w:val="00347EB0"/>
    <w:rsid w:val="00351F55"/>
    <w:rsid w:val="00352774"/>
    <w:rsid w:val="00353D4A"/>
    <w:rsid w:val="00355F77"/>
    <w:rsid w:val="00357955"/>
    <w:rsid w:val="00357A53"/>
    <w:rsid w:val="003604EC"/>
    <w:rsid w:val="00360D92"/>
    <w:rsid w:val="003620C0"/>
    <w:rsid w:val="00362AE6"/>
    <w:rsid w:val="00363CFF"/>
    <w:rsid w:val="00364A75"/>
    <w:rsid w:val="00364C44"/>
    <w:rsid w:val="003654E9"/>
    <w:rsid w:val="003655D5"/>
    <w:rsid w:val="00365B43"/>
    <w:rsid w:val="003662DC"/>
    <w:rsid w:val="00371BF5"/>
    <w:rsid w:val="00371E96"/>
    <w:rsid w:val="00372A9C"/>
    <w:rsid w:val="00373B13"/>
    <w:rsid w:val="003749DC"/>
    <w:rsid w:val="00376366"/>
    <w:rsid w:val="00377BBA"/>
    <w:rsid w:val="003806C4"/>
    <w:rsid w:val="00381101"/>
    <w:rsid w:val="00381FF0"/>
    <w:rsid w:val="00383E08"/>
    <w:rsid w:val="00384AD9"/>
    <w:rsid w:val="003855F8"/>
    <w:rsid w:val="00385B00"/>
    <w:rsid w:val="003874BB"/>
    <w:rsid w:val="003900B4"/>
    <w:rsid w:val="00391A27"/>
    <w:rsid w:val="00394837"/>
    <w:rsid w:val="003977C8"/>
    <w:rsid w:val="003A1CA1"/>
    <w:rsid w:val="003A4059"/>
    <w:rsid w:val="003A4643"/>
    <w:rsid w:val="003A5071"/>
    <w:rsid w:val="003A7EC6"/>
    <w:rsid w:val="003B03A8"/>
    <w:rsid w:val="003B0B05"/>
    <w:rsid w:val="003B0F31"/>
    <w:rsid w:val="003B103A"/>
    <w:rsid w:val="003B162A"/>
    <w:rsid w:val="003B2A82"/>
    <w:rsid w:val="003B31DE"/>
    <w:rsid w:val="003B4BC1"/>
    <w:rsid w:val="003C0E79"/>
    <w:rsid w:val="003C2B25"/>
    <w:rsid w:val="003C4F1A"/>
    <w:rsid w:val="003C6D76"/>
    <w:rsid w:val="003D0AF6"/>
    <w:rsid w:val="003D15C6"/>
    <w:rsid w:val="003D424E"/>
    <w:rsid w:val="003D4823"/>
    <w:rsid w:val="003D483F"/>
    <w:rsid w:val="003D51A5"/>
    <w:rsid w:val="003D5EAD"/>
    <w:rsid w:val="003D7612"/>
    <w:rsid w:val="003D7769"/>
    <w:rsid w:val="003E1CB5"/>
    <w:rsid w:val="003E20E6"/>
    <w:rsid w:val="003E2CF1"/>
    <w:rsid w:val="003E3281"/>
    <w:rsid w:val="003E39F2"/>
    <w:rsid w:val="003E3ECC"/>
    <w:rsid w:val="003E52B6"/>
    <w:rsid w:val="003E5394"/>
    <w:rsid w:val="003E668C"/>
    <w:rsid w:val="003E6AE0"/>
    <w:rsid w:val="003E6CED"/>
    <w:rsid w:val="003E6FBC"/>
    <w:rsid w:val="003E741A"/>
    <w:rsid w:val="003E7A28"/>
    <w:rsid w:val="003F014E"/>
    <w:rsid w:val="003F1D43"/>
    <w:rsid w:val="003F1E0E"/>
    <w:rsid w:val="003F2103"/>
    <w:rsid w:val="003F21FD"/>
    <w:rsid w:val="003F30E9"/>
    <w:rsid w:val="003F4856"/>
    <w:rsid w:val="003F4ADC"/>
    <w:rsid w:val="003F5247"/>
    <w:rsid w:val="003F5579"/>
    <w:rsid w:val="003F73DD"/>
    <w:rsid w:val="003F7617"/>
    <w:rsid w:val="003F7897"/>
    <w:rsid w:val="004026CE"/>
    <w:rsid w:val="00403A01"/>
    <w:rsid w:val="00405F22"/>
    <w:rsid w:val="00407459"/>
    <w:rsid w:val="004079A2"/>
    <w:rsid w:val="00407AB7"/>
    <w:rsid w:val="0041047E"/>
    <w:rsid w:val="004104FA"/>
    <w:rsid w:val="004111C8"/>
    <w:rsid w:val="00412A46"/>
    <w:rsid w:val="00412E33"/>
    <w:rsid w:val="004141E3"/>
    <w:rsid w:val="00415772"/>
    <w:rsid w:val="00417984"/>
    <w:rsid w:val="0042042A"/>
    <w:rsid w:val="00421898"/>
    <w:rsid w:val="004233C2"/>
    <w:rsid w:val="00424038"/>
    <w:rsid w:val="00424724"/>
    <w:rsid w:val="0042492E"/>
    <w:rsid w:val="00424E78"/>
    <w:rsid w:val="004255E0"/>
    <w:rsid w:val="004268C7"/>
    <w:rsid w:val="00430AE3"/>
    <w:rsid w:val="0043165F"/>
    <w:rsid w:val="00433925"/>
    <w:rsid w:val="004354AB"/>
    <w:rsid w:val="00435831"/>
    <w:rsid w:val="00435ABA"/>
    <w:rsid w:val="00436E49"/>
    <w:rsid w:val="00437185"/>
    <w:rsid w:val="004404D7"/>
    <w:rsid w:val="004405C7"/>
    <w:rsid w:val="00440AC3"/>
    <w:rsid w:val="00440DBE"/>
    <w:rsid w:val="00440F69"/>
    <w:rsid w:val="00442202"/>
    <w:rsid w:val="00442EE6"/>
    <w:rsid w:val="00442EEE"/>
    <w:rsid w:val="00444E48"/>
    <w:rsid w:val="00445854"/>
    <w:rsid w:val="0044659B"/>
    <w:rsid w:val="0044707A"/>
    <w:rsid w:val="004500AE"/>
    <w:rsid w:val="004507B1"/>
    <w:rsid w:val="00454FFE"/>
    <w:rsid w:val="004577B5"/>
    <w:rsid w:val="00457E07"/>
    <w:rsid w:val="004623EA"/>
    <w:rsid w:val="00464BE9"/>
    <w:rsid w:val="00466CEB"/>
    <w:rsid w:val="00470B63"/>
    <w:rsid w:val="004726FF"/>
    <w:rsid w:val="004734E2"/>
    <w:rsid w:val="004758AE"/>
    <w:rsid w:val="00476BD8"/>
    <w:rsid w:val="004771D7"/>
    <w:rsid w:val="00477A1F"/>
    <w:rsid w:val="00480733"/>
    <w:rsid w:val="00480956"/>
    <w:rsid w:val="00481165"/>
    <w:rsid w:val="004811B6"/>
    <w:rsid w:val="00481274"/>
    <w:rsid w:val="00481393"/>
    <w:rsid w:val="00481537"/>
    <w:rsid w:val="00482104"/>
    <w:rsid w:val="00482376"/>
    <w:rsid w:val="00482A68"/>
    <w:rsid w:val="0048464C"/>
    <w:rsid w:val="00485345"/>
    <w:rsid w:val="0049103D"/>
    <w:rsid w:val="004913BD"/>
    <w:rsid w:val="00491B05"/>
    <w:rsid w:val="00494AAF"/>
    <w:rsid w:val="00496379"/>
    <w:rsid w:val="004973EF"/>
    <w:rsid w:val="004A15D5"/>
    <w:rsid w:val="004A190F"/>
    <w:rsid w:val="004A2AD6"/>
    <w:rsid w:val="004A2EE4"/>
    <w:rsid w:val="004A34CD"/>
    <w:rsid w:val="004A4401"/>
    <w:rsid w:val="004A48EA"/>
    <w:rsid w:val="004A4B00"/>
    <w:rsid w:val="004A4B09"/>
    <w:rsid w:val="004B0088"/>
    <w:rsid w:val="004B1944"/>
    <w:rsid w:val="004B1D19"/>
    <w:rsid w:val="004B2B84"/>
    <w:rsid w:val="004B2CF1"/>
    <w:rsid w:val="004B58AF"/>
    <w:rsid w:val="004B5BF9"/>
    <w:rsid w:val="004B694E"/>
    <w:rsid w:val="004B72C4"/>
    <w:rsid w:val="004C109C"/>
    <w:rsid w:val="004C2657"/>
    <w:rsid w:val="004C29FF"/>
    <w:rsid w:val="004C3FF6"/>
    <w:rsid w:val="004C4C27"/>
    <w:rsid w:val="004C6194"/>
    <w:rsid w:val="004C6AB2"/>
    <w:rsid w:val="004C6BA7"/>
    <w:rsid w:val="004D2E3D"/>
    <w:rsid w:val="004D4364"/>
    <w:rsid w:val="004D5A81"/>
    <w:rsid w:val="004D60FF"/>
    <w:rsid w:val="004D64DE"/>
    <w:rsid w:val="004D658A"/>
    <w:rsid w:val="004D72C9"/>
    <w:rsid w:val="004D7429"/>
    <w:rsid w:val="004E2A1C"/>
    <w:rsid w:val="004E2A32"/>
    <w:rsid w:val="004E3326"/>
    <w:rsid w:val="004E373F"/>
    <w:rsid w:val="004E3866"/>
    <w:rsid w:val="004E4F68"/>
    <w:rsid w:val="004E5784"/>
    <w:rsid w:val="004E6022"/>
    <w:rsid w:val="004E662D"/>
    <w:rsid w:val="004F07DD"/>
    <w:rsid w:val="004F37DD"/>
    <w:rsid w:val="00501599"/>
    <w:rsid w:val="00502E38"/>
    <w:rsid w:val="0050305B"/>
    <w:rsid w:val="005037A0"/>
    <w:rsid w:val="005046F6"/>
    <w:rsid w:val="00504C04"/>
    <w:rsid w:val="00506FD8"/>
    <w:rsid w:val="005130E6"/>
    <w:rsid w:val="00514C5F"/>
    <w:rsid w:val="0051566E"/>
    <w:rsid w:val="00515BBD"/>
    <w:rsid w:val="005167F9"/>
    <w:rsid w:val="00516C34"/>
    <w:rsid w:val="00516FCA"/>
    <w:rsid w:val="00517421"/>
    <w:rsid w:val="00517B0D"/>
    <w:rsid w:val="0052066D"/>
    <w:rsid w:val="00523218"/>
    <w:rsid w:val="00523CA7"/>
    <w:rsid w:val="005246AC"/>
    <w:rsid w:val="00526747"/>
    <w:rsid w:val="00526F46"/>
    <w:rsid w:val="00527367"/>
    <w:rsid w:val="00530F86"/>
    <w:rsid w:val="00531CC9"/>
    <w:rsid w:val="00534CB0"/>
    <w:rsid w:val="00534E44"/>
    <w:rsid w:val="00536CBC"/>
    <w:rsid w:val="00537BCF"/>
    <w:rsid w:val="0054106F"/>
    <w:rsid w:val="00541451"/>
    <w:rsid w:val="0054360D"/>
    <w:rsid w:val="00543725"/>
    <w:rsid w:val="0054458A"/>
    <w:rsid w:val="00545032"/>
    <w:rsid w:val="00550F71"/>
    <w:rsid w:val="00551497"/>
    <w:rsid w:val="00551874"/>
    <w:rsid w:val="00552489"/>
    <w:rsid w:val="00552F72"/>
    <w:rsid w:val="00554402"/>
    <w:rsid w:val="00554CC1"/>
    <w:rsid w:val="00555597"/>
    <w:rsid w:val="0055689F"/>
    <w:rsid w:val="00556CB8"/>
    <w:rsid w:val="00561462"/>
    <w:rsid w:val="005614E9"/>
    <w:rsid w:val="00562C9C"/>
    <w:rsid w:val="0056300C"/>
    <w:rsid w:val="005632B9"/>
    <w:rsid w:val="005636DA"/>
    <w:rsid w:val="00564816"/>
    <w:rsid w:val="005656EF"/>
    <w:rsid w:val="0056594B"/>
    <w:rsid w:val="0056730A"/>
    <w:rsid w:val="00567523"/>
    <w:rsid w:val="005677D4"/>
    <w:rsid w:val="005716B7"/>
    <w:rsid w:val="0057281C"/>
    <w:rsid w:val="0057299C"/>
    <w:rsid w:val="00572ABA"/>
    <w:rsid w:val="00572FEE"/>
    <w:rsid w:val="005745AF"/>
    <w:rsid w:val="00574ADB"/>
    <w:rsid w:val="00575E19"/>
    <w:rsid w:val="005763AD"/>
    <w:rsid w:val="0057640D"/>
    <w:rsid w:val="005764B4"/>
    <w:rsid w:val="00576F7D"/>
    <w:rsid w:val="00577946"/>
    <w:rsid w:val="00580DD2"/>
    <w:rsid w:val="005822C1"/>
    <w:rsid w:val="005845B9"/>
    <w:rsid w:val="005847A4"/>
    <w:rsid w:val="00586698"/>
    <w:rsid w:val="00592214"/>
    <w:rsid w:val="00592355"/>
    <w:rsid w:val="005928D1"/>
    <w:rsid w:val="00592A80"/>
    <w:rsid w:val="00593B1C"/>
    <w:rsid w:val="00593C9A"/>
    <w:rsid w:val="00593EDF"/>
    <w:rsid w:val="00594209"/>
    <w:rsid w:val="00595C99"/>
    <w:rsid w:val="005A1941"/>
    <w:rsid w:val="005A1D24"/>
    <w:rsid w:val="005A2BDF"/>
    <w:rsid w:val="005A3455"/>
    <w:rsid w:val="005A3F36"/>
    <w:rsid w:val="005A4A12"/>
    <w:rsid w:val="005A4A81"/>
    <w:rsid w:val="005A51CE"/>
    <w:rsid w:val="005A733D"/>
    <w:rsid w:val="005A75C2"/>
    <w:rsid w:val="005B01D6"/>
    <w:rsid w:val="005B0DCE"/>
    <w:rsid w:val="005B1C4D"/>
    <w:rsid w:val="005B22E7"/>
    <w:rsid w:val="005B4FED"/>
    <w:rsid w:val="005B589E"/>
    <w:rsid w:val="005B58F1"/>
    <w:rsid w:val="005B60B5"/>
    <w:rsid w:val="005B6B12"/>
    <w:rsid w:val="005B78B8"/>
    <w:rsid w:val="005C31E1"/>
    <w:rsid w:val="005C4160"/>
    <w:rsid w:val="005C49AA"/>
    <w:rsid w:val="005C5CDC"/>
    <w:rsid w:val="005C6487"/>
    <w:rsid w:val="005C6D7A"/>
    <w:rsid w:val="005D0F08"/>
    <w:rsid w:val="005D2C3F"/>
    <w:rsid w:val="005D3557"/>
    <w:rsid w:val="005D37E7"/>
    <w:rsid w:val="005D3D94"/>
    <w:rsid w:val="005D7731"/>
    <w:rsid w:val="005E06B0"/>
    <w:rsid w:val="005E0768"/>
    <w:rsid w:val="005E1B56"/>
    <w:rsid w:val="005E2259"/>
    <w:rsid w:val="005E3115"/>
    <w:rsid w:val="005E3E17"/>
    <w:rsid w:val="005E47F0"/>
    <w:rsid w:val="005E5F9B"/>
    <w:rsid w:val="005E62AA"/>
    <w:rsid w:val="005E6CA6"/>
    <w:rsid w:val="005E739F"/>
    <w:rsid w:val="005F0D0D"/>
    <w:rsid w:val="005F22D3"/>
    <w:rsid w:val="005F2C0D"/>
    <w:rsid w:val="005F3476"/>
    <w:rsid w:val="005F493E"/>
    <w:rsid w:val="005F4B45"/>
    <w:rsid w:val="005F7228"/>
    <w:rsid w:val="005F73C2"/>
    <w:rsid w:val="0060090F"/>
    <w:rsid w:val="00600E37"/>
    <w:rsid w:val="0060108B"/>
    <w:rsid w:val="00601688"/>
    <w:rsid w:val="006031BB"/>
    <w:rsid w:val="006101B1"/>
    <w:rsid w:val="0061167C"/>
    <w:rsid w:val="0061179B"/>
    <w:rsid w:val="00611E4E"/>
    <w:rsid w:val="00611F55"/>
    <w:rsid w:val="0061207B"/>
    <w:rsid w:val="006131B5"/>
    <w:rsid w:val="006131BD"/>
    <w:rsid w:val="0061425E"/>
    <w:rsid w:val="00615102"/>
    <w:rsid w:val="0061602F"/>
    <w:rsid w:val="00620C05"/>
    <w:rsid w:val="00621E7B"/>
    <w:rsid w:val="00622ADE"/>
    <w:rsid w:val="00622F22"/>
    <w:rsid w:val="00623141"/>
    <w:rsid w:val="0062339A"/>
    <w:rsid w:val="00624B82"/>
    <w:rsid w:val="006250F4"/>
    <w:rsid w:val="0062513E"/>
    <w:rsid w:val="00626033"/>
    <w:rsid w:val="00627BA4"/>
    <w:rsid w:val="00631E7A"/>
    <w:rsid w:val="00635920"/>
    <w:rsid w:val="00636E23"/>
    <w:rsid w:val="006372FA"/>
    <w:rsid w:val="00640080"/>
    <w:rsid w:val="006404F1"/>
    <w:rsid w:val="00640B8E"/>
    <w:rsid w:val="00643829"/>
    <w:rsid w:val="00645A76"/>
    <w:rsid w:val="00645C56"/>
    <w:rsid w:val="006463D0"/>
    <w:rsid w:val="006466FF"/>
    <w:rsid w:val="0064726F"/>
    <w:rsid w:val="006472E6"/>
    <w:rsid w:val="0065061D"/>
    <w:rsid w:val="00650F43"/>
    <w:rsid w:val="0065293C"/>
    <w:rsid w:val="00654AD7"/>
    <w:rsid w:val="00655CEC"/>
    <w:rsid w:val="0065631E"/>
    <w:rsid w:val="00657892"/>
    <w:rsid w:val="00660557"/>
    <w:rsid w:val="0066221E"/>
    <w:rsid w:val="00670106"/>
    <w:rsid w:val="0067023E"/>
    <w:rsid w:val="00670861"/>
    <w:rsid w:val="00670F9A"/>
    <w:rsid w:val="00673AF9"/>
    <w:rsid w:val="006741E2"/>
    <w:rsid w:val="00674AD5"/>
    <w:rsid w:val="0067514B"/>
    <w:rsid w:val="00675B4C"/>
    <w:rsid w:val="00676559"/>
    <w:rsid w:val="006777D4"/>
    <w:rsid w:val="00677FB5"/>
    <w:rsid w:val="00681463"/>
    <w:rsid w:val="00682BC8"/>
    <w:rsid w:val="00682DA6"/>
    <w:rsid w:val="00685374"/>
    <w:rsid w:val="00685F17"/>
    <w:rsid w:val="006864FB"/>
    <w:rsid w:val="0068793A"/>
    <w:rsid w:val="0069015A"/>
    <w:rsid w:val="0069132F"/>
    <w:rsid w:val="006921F6"/>
    <w:rsid w:val="00695E87"/>
    <w:rsid w:val="0069695F"/>
    <w:rsid w:val="00697E91"/>
    <w:rsid w:val="006A0B6D"/>
    <w:rsid w:val="006A53B9"/>
    <w:rsid w:val="006A5C67"/>
    <w:rsid w:val="006B0C4E"/>
    <w:rsid w:val="006B6538"/>
    <w:rsid w:val="006C0867"/>
    <w:rsid w:val="006C2737"/>
    <w:rsid w:val="006C3062"/>
    <w:rsid w:val="006C38A6"/>
    <w:rsid w:val="006C394E"/>
    <w:rsid w:val="006C4A88"/>
    <w:rsid w:val="006C6643"/>
    <w:rsid w:val="006C6AE8"/>
    <w:rsid w:val="006C6F5D"/>
    <w:rsid w:val="006C7352"/>
    <w:rsid w:val="006D01CC"/>
    <w:rsid w:val="006D2625"/>
    <w:rsid w:val="006D2C67"/>
    <w:rsid w:val="006D39D4"/>
    <w:rsid w:val="006D4741"/>
    <w:rsid w:val="006D6579"/>
    <w:rsid w:val="006D7A2A"/>
    <w:rsid w:val="006E0057"/>
    <w:rsid w:val="006E147B"/>
    <w:rsid w:val="006E4B90"/>
    <w:rsid w:val="006E5D11"/>
    <w:rsid w:val="006E6AFF"/>
    <w:rsid w:val="006E711B"/>
    <w:rsid w:val="006F3E3F"/>
    <w:rsid w:val="006F5502"/>
    <w:rsid w:val="007008C1"/>
    <w:rsid w:val="0070109D"/>
    <w:rsid w:val="00701CB8"/>
    <w:rsid w:val="00703AE9"/>
    <w:rsid w:val="007067D2"/>
    <w:rsid w:val="0071095E"/>
    <w:rsid w:val="00710A63"/>
    <w:rsid w:val="00710BA8"/>
    <w:rsid w:val="00711021"/>
    <w:rsid w:val="00711CF3"/>
    <w:rsid w:val="00711EE1"/>
    <w:rsid w:val="00712A4A"/>
    <w:rsid w:val="007138A7"/>
    <w:rsid w:val="00713F00"/>
    <w:rsid w:val="0071622F"/>
    <w:rsid w:val="00716D02"/>
    <w:rsid w:val="00720CE7"/>
    <w:rsid w:val="00720EDA"/>
    <w:rsid w:val="007217C4"/>
    <w:rsid w:val="007229A4"/>
    <w:rsid w:val="00725193"/>
    <w:rsid w:val="00726617"/>
    <w:rsid w:val="00731E14"/>
    <w:rsid w:val="00734A28"/>
    <w:rsid w:val="00735BC4"/>
    <w:rsid w:val="00737AAC"/>
    <w:rsid w:val="00737B29"/>
    <w:rsid w:val="00740C1E"/>
    <w:rsid w:val="00743C68"/>
    <w:rsid w:val="007442DF"/>
    <w:rsid w:val="00744503"/>
    <w:rsid w:val="00744BAB"/>
    <w:rsid w:val="00745063"/>
    <w:rsid w:val="00746B8A"/>
    <w:rsid w:val="00746CFF"/>
    <w:rsid w:val="007474B1"/>
    <w:rsid w:val="00750D95"/>
    <w:rsid w:val="00751496"/>
    <w:rsid w:val="007516D4"/>
    <w:rsid w:val="007518EE"/>
    <w:rsid w:val="00752A4C"/>
    <w:rsid w:val="00754D4A"/>
    <w:rsid w:val="00756567"/>
    <w:rsid w:val="00756918"/>
    <w:rsid w:val="007657C3"/>
    <w:rsid w:val="007718A7"/>
    <w:rsid w:val="00774DFB"/>
    <w:rsid w:val="00775944"/>
    <w:rsid w:val="0077776C"/>
    <w:rsid w:val="0078327B"/>
    <w:rsid w:val="00784339"/>
    <w:rsid w:val="00784485"/>
    <w:rsid w:val="007851B0"/>
    <w:rsid w:val="007856B3"/>
    <w:rsid w:val="007859CA"/>
    <w:rsid w:val="0078663E"/>
    <w:rsid w:val="00791BE2"/>
    <w:rsid w:val="00792567"/>
    <w:rsid w:val="0079359E"/>
    <w:rsid w:val="00793D80"/>
    <w:rsid w:val="00795338"/>
    <w:rsid w:val="007954D6"/>
    <w:rsid w:val="0079611D"/>
    <w:rsid w:val="0079628D"/>
    <w:rsid w:val="00797839"/>
    <w:rsid w:val="007978D5"/>
    <w:rsid w:val="007A055E"/>
    <w:rsid w:val="007A074B"/>
    <w:rsid w:val="007A09A2"/>
    <w:rsid w:val="007A0D0C"/>
    <w:rsid w:val="007A0E52"/>
    <w:rsid w:val="007A21E3"/>
    <w:rsid w:val="007A2C20"/>
    <w:rsid w:val="007A3F2E"/>
    <w:rsid w:val="007A4233"/>
    <w:rsid w:val="007A42BE"/>
    <w:rsid w:val="007A47E5"/>
    <w:rsid w:val="007A52DA"/>
    <w:rsid w:val="007A59E2"/>
    <w:rsid w:val="007A62B5"/>
    <w:rsid w:val="007A69DC"/>
    <w:rsid w:val="007A7ACA"/>
    <w:rsid w:val="007A7C23"/>
    <w:rsid w:val="007B219D"/>
    <w:rsid w:val="007B2E90"/>
    <w:rsid w:val="007B3035"/>
    <w:rsid w:val="007B748C"/>
    <w:rsid w:val="007C10B4"/>
    <w:rsid w:val="007C54B1"/>
    <w:rsid w:val="007C6357"/>
    <w:rsid w:val="007C635C"/>
    <w:rsid w:val="007D2198"/>
    <w:rsid w:val="007D2232"/>
    <w:rsid w:val="007D2607"/>
    <w:rsid w:val="007D37E7"/>
    <w:rsid w:val="007D4751"/>
    <w:rsid w:val="007D5F8F"/>
    <w:rsid w:val="007D79F3"/>
    <w:rsid w:val="007D7B6B"/>
    <w:rsid w:val="007E08B6"/>
    <w:rsid w:val="007E204D"/>
    <w:rsid w:val="007E2292"/>
    <w:rsid w:val="007E27B9"/>
    <w:rsid w:val="007E3D28"/>
    <w:rsid w:val="007E49EA"/>
    <w:rsid w:val="007E4A6E"/>
    <w:rsid w:val="007F199B"/>
    <w:rsid w:val="007F32E1"/>
    <w:rsid w:val="007F357E"/>
    <w:rsid w:val="007F47AC"/>
    <w:rsid w:val="007F5E9E"/>
    <w:rsid w:val="007F6F49"/>
    <w:rsid w:val="007F747A"/>
    <w:rsid w:val="00801B53"/>
    <w:rsid w:val="00801DE8"/>
    <w:rsid w:val="00802E46"/>
    <w:rsid w:val="00803927"/>
    <w:rsid w:val="00804451"/>
    <w:rsid w:val="00805713"/>
    <w:rsid w:val="008075FC"/>
    <w:rsid w:val="00810049"/>
    <w:rsid w:val="00810A18"/>
    <w:rsid w:val="00810A39"/>
    <w:rsid w:val="008114B3"/>
    <w:rsid w:val="00811EAF"/>
    <w:rsid w:val="00813E74"/>
    <w:rsid w:val="0081448F"/>
    <w:rsid w:val="00815B85"/>
    <w:rsid w:val="00816341"/>
    <w:rsid w:val="00817221"/>
    <w:rsid w:val="0081725B"/>
    <w:rsid w:val="0082031F"/>
    <w:rsid w:val="00820C49"/>
    <w:rsid w:val="00820D67"/>
    <w:rsid w:val="00821A00"/>
    <w:rsid w:val="00821E42"/>
    <w:rsid w:val="00821FE0"/>
    <w:rsid w:val="008231F7"/>
    <w:rsid w:val="00823288"/>
    <w:rsid w:val="00823DD4"/>
    <w:rsid w:val="0082607F"/>
    <w:rsid w:val="008267AD"/>
    <w:rsid w:val="00827994"/>
    <w:rsid w:val="00830538"/>
    <w:rsid w:val="008326F2"/>
    <w:rsid w:val="00832717"/>
    <w:rsid w:val="008341F4"/>
    <w:rsid w:val="00834AC4"/>
    <w:rsid w:val="00841353"/>
    <w:rsid w:val="0084224D"/>
    <w:rsid w:val="00843181"/>
    <w:rsid w:val="008431E3"/>
    <w:rsid w:val="00843474"/>
    <w:rsid w:val="00846D22"/>
    <w:rsid w:val="00846D7C"/>
    <w:rsid w:val="00846DFF"/>
    <w:rsid w:val="00851A54"/>
    <w:rsid w:val="008522AD"/>
    <w:rsid w:val="008533DA"/>
    <w:rsid w:val="008551E9"/>
    <w:rsid w:val="00856B1E"/>
    <w:rsid w:val="0086058A"/>
    <w:rsid w:val="00861CB4"/>
    <w:rsid w:val="00862E26"/>
    <w:rsid w:val="008633F5"/>
    <w:rsid w:val="00863A95"/>
    <w:rsid w:val="0086470C"/>
    <w:rsid w:val="0086571C"/>
    <w:rsid w:val="008660C1"/>
    <w:rsid w:val="00866E32"/>
    <w:rsid w:val="00871A20"/>
    <w:rsid w:val="008729F1"/>
    <w:rsid w:val="008754C2"/>
    <w:rsid w:val="00876114"/>
    <w:rsid w:val="00876644"/>
    <w:rsid w:val="00877F99"/>
    <w:rsid w:val="00881935"/>
    <w:rsid w:val="00881C05"/>
    <w:rsid w:val="00882C52"/>
    <w:rsid w:val="00883217"/>
    <w:rsid w:val="008834FF"/>
    <w:rsid w:val="00890663"/>
    <w:rsid w:val="00892231"/>
    <w:rsid w:val="00892641"/>
    <w:rsid w:val="0089382C"/>
    <w:rsid w:val="00895C60"/>
    <w:rsid w:val="008A01C1"/>
    <w:rsid w:val="008A0FD8"/>
    <w:rsid w:val="008A1333"/>
    <w:rsid w:val="008A1C4D"/>
    <w:rsid w:val="008A1F07"/>
    <w:rsid w:val="008A20FF"/>
    <w:rsid w:val="008A22C6"/>
    <w:rsid w:val="008A3124"/>
    <w:rsid w:val="008A58EF"/>
    <w:rsid w:val="008A6DC0"/>
    <w:rsid w:val="008A6F02"/>
    <w:rsid w:val="008A70DF"/>
    <w:rsid w:val="008B039E"/>
    <w:rsid w:val="008B13D8"/>
    <w:rsid w:val="008B49D2"/>
    <w:rsid w:val="008B5D61"/>
    <w:rsid w:val="008B6F10"/>
    <w:rsid w:val="008C1D83"/>
    <w:rsid w:val="008C2E70"/>
    <w:rsid w:val="008C2EAF"/>
    <w:rsid w:val="008C38B8"/>
    <w:rsid w:val="008C4C5D"/>
    <w:rsid w:val="008C6E1F"/>
    <w:rsid w:val="008C7005"/>
    <w:rsid w:val="008C7022"/>
    <w:rsid w:val="008C7297"/>
    <w:rsid w:val="008D219F"/>
    <w:rsid w:val="008D382F"/>
    <w:rsid w:val="008D3D5B"/>
    <w:rsid w:val="008D42A3"/>
    <w:rsid w:val="008D4AAB"/>
    <w:rsid w:val="008D5ABD"/>
    <w:rsid w:val="008D5E68"/>
    <w:rsid w:val="008E1E5D"/>
    <w:rsid w:val="008E23E6"/>
    <w:rsid w:val="008E2404"/>
    <w:rsid w:val="008E2BE7"/>
    <w:rsid w:val="008E326B"/>
    <w:rsid w:val="008E3288"/>
    <w:rsid w:val="008E47E4"/>
    <w:rsid w:val="008E4AA6"/>
    <w:rsid w:val="008E6A10"/>
    <w:rsid w:val="008E6D2A"/>
    <w:rsid w:val="008F1D53"/>
    <w:rsid w:val="008F2228"/>
    <w:rsid w:val="008F344A"/>
    <w:rsid w:val="008F489F"/>
    <w:rsid w:val="008F52F4"/>
    <w:rsid w:val="008F58C7"/>
    <w:rsid w:val="008F7797"/>
    <w:rsid w:val="0090017C"/>
    <w:rsid w:val="00901951"/>
    <w:rsid w:val="009030D9"/>
    <w:rsid w:val="0090347A"/>
    <w:rsid w:val="00905819"/>
    <w:rsid w:val="0091003F"/>
    <w:rsid w:val="00914958"/>
    <w:rsid w:val="009152F9"/>
    <w:rsid w:val="009155C5"/>
    <w:rsid w:val="00917389"/>
    <w:rsid w:val="009173D3"/>
    <w:rsid w:val="00921013"/>
    <w:rsid w:val="00922085"/>
    <w:rsid w:val="00923005"/>
    <w:rsid w:val="00923425"/>
    <w:rsid w:val="009249C7"/>
    <w:rsid w:val="00924CF8"/>
    <w:rsid w:val="00925DCE"/>
    <w:rsid w:val="0092610E"/>
    <w:rsid w:val="009265D2"/>
    <w:rsid w:val="00927AB2"/>
    <w:rsid w:val="00927F08"/>
    <w:rsid w:val="00930E80"/>
    <w:rsid w:val="009345EB"/>
    <w:rsid w:val="00934997"/>
    <w:rsid w:val="0093685E"/>
    <w:rsid w:val="0093696C"/>
    <w:rsid w:val="00936A74"/>
    <w:rsid w:val="00936D63"/>
    <w:rsid w:val="00937315"/>
    <w:rsid w:val="0094115B"/>
    <w:rsid w:val="00941D86"/>
    <w:rsid w:val="00943420"/>
    <w:rsid w:val="009443E8"/>
    <w:rsid w:val="009458D0"/>
    <w:rsid w:val="00947404"/>
    <w:rsid w:val="00947A26"/>
    <w:rsid w:val="009536F4"/>
    <w:rsid w:val="009537FA"/>
    <w:rsid w:val="00954C19"/>
    <w:rsid w:val="00960D04"/>
    <w:rsid w:val="00961A4A"/>
    <w:rsid w:val="00961BE3"/>
    <w:rsid w:val="00962118"/>
    <w:rsid w:val="00962753"/>
    <w:rsid w:val="00963E69"/>
    <w:rsid w:val="00964744"/>
    <w:rsid w:val="009666C4"/>
    <w:rsid w:val="00966ABA"/>
    <w:rsid w:val="00967403"/>
    <w:rsid w:val="00967763"/>
    <w:rsid w:val="0097291F"/>
    <w:rsid w:val="009729B8"/>
    <w:rsid w:val="00972E6D"/>
    <w:rsid w:val="00976936"/>
    <w:rsid w:val="00976D30"/>
    <w:rsid w:val="0097788D"/>
    <w:rsid w:val="00977900"/>
    <w:rsid w:val="00985867"/>
    <w:rsid w:val="00985D25"/>
    <w:rsid w:val="009867D9"/>
    <w:rsid w:val="0099006A"/>
    <w:rsid w:val="009909E6"/>
    <w:rsid w:val="009917C0"/>
    <w:rsid w:val="00994AF3"/>
    <w:rsid w:val="00995E74"/>
    <w:rsid w:val="00996EAF"/>
    <w:rsid w:val="009973BE"/>
    <w:rsid w:val="00997633"/>
    <w:rsid w:val="009A2B21"/>
    <w:rsid w:val="009A3D69"/>
    <w:rsid w:val="009A764B"/>
    <w:rsid w:val="009A7678"/>
    <w:rsid w:val="009A7767"/>
    <w:rsid w:val="009B0F1F"/>
    <w:rsid w:val="009B2D2C"/>
    <w:rsid w:val="009B57D8"/>
    <w:rsid w:val="009B64AB"/>
    <w:rsid w:val="009B6D5A"/>
    <w:rsid w:val="009B7BF5"/>
    <w:rsid w:val="009C2EE4"/>
    <w:rsid w:val="009C3703"/>
    <w:rsid w:val="009C3C8A"/>
    <w:rsid w:val="009C3F16"/>
    <w:rsid w:val="009C425B"/>
    <w:rsid w:val="009C51EB"/>
    <w:rsid w:val="009D0C2C"/>
    <w:rsid w:val="009D1259"/>
    <w:rsid w:val="009D2538"/>
    <w:rsid w:val="009D4B50"/>
    <w:rsid w:val="009D7586"/>
    <w:rsid w:val="009E45A5"/>
    <w:rsid w:val="009E4AFA"/>
    <w:rsid w:val="009E4F19"/>
    <w:rsid w:val="009E4FD1"/>
    <w:rsid w:val="009E7512"/>
    <w:rsid w:val="009F136B"/>
    <w:rsid w:val="009F1DA0"/>
    <w:rsid w:val="009F2D95"/>
    <w:rsid w:val="009F3BBD"/>
    <w:rsid w:val="009F6A52"/>
    <w:rsid w:val="009F7043"/>
    <w:rsid w:val="009F7603"/>
    <w:rsid w:val="00A01119"/>
    <w:rsid w:val="00A022A1"/>
    <w:rsid w:val="00A0285A"/>
    <w:rsid w:val="00A0325B"/>
    <w:rsid w:val="00A07079"/>
    <w:rsid w:val="00A072E3"/>
    <w:rsid w:val="00A103B6"/>
    <w:rsid w:val="00A105BE"/>
    <w:rsid w:val="00A133A9"/>
    <w:rsid w:val="00A13BC3"/>
    <w:rsid w:val="00A14B39"/>
    <w:rsid w:val="00A15C17"/>
    <w:rsid w:val="00A17C8D"/>
    <w:rsid w:val="00A2066D"/>
    <w:rsid w:val="00A227AC"/>
    <w:rsid w:val="00A22D89"/>
    <w:rsid w:val="00A22F29"/>
    <w:rsid w:val="00A256AA"/>
    <w:rsid w:val="00A26A48"/>
    <w:rsid w:val="00A26CCF"/>
    <w:rsid w:val="00A26E53"/>
    <w:rsid w:val="00A27D01"/>
    <w:rsid w:val="00A31CBD"/>
    <w:rsid w:val="00A34648"/>
    <w:rsid w:val="00A357D4"/>
    <w:rsid w:val="00A35C10"/>
    <w:rsid w:val="00A37198"/>
    <w:rsid w:val="00A40195"/>
    <w:rsid w:val="00A423E7"/>
    <w:rsid w:val="00A42BA8"/>
    <w:rsid w:val="00A43B02"/>
    <w:rsid w:val="00A4423B"/>
    <w:rsid w:val="00A44986"/>
    <w:rsid w:val="00A50F09"/>
    <w:rsid w:val="00A51AB2"/>
    <w:rsid w:val="00A51C38"/>
    <w:rsid w:val="00A52169"/>
    <w:rsid w:val="00A52ABC"/>
    <w:rsid w:val="00A53317"/>
    <w:rsid w:val="00A5691E"/>
    <w:rsid w:val="00A5786B"/>
    <w:rsid w:val="00A614AB"/>
    <w:rsid w:val="00A61995"/>
    <w:rsid w:val="00A61A8E"/>
    <w:rsid w:val="00A61CCD"/>
    <w:rsid w:val="00A63A7E"/>
    <w:rsid w:val="00A63C72"/>
    <w:rsid w:val="00A6462C"/>
    <w:rsid w:val="00A6653A"/>
    <w:rsid w:val="00A66767"/>
    <w:rsid w:val="00A66A27"/>
    <w:rsid w:val="00A67575"/>
    <w:rsid w:val="00A708EC"/>
    <w:rsid w:val="00A7172E"/>
    <w:rsid w:val="00A727B1"/>
    <w:rsid w:val="00A73317"/>
    <w:rsid w:val="00A766AD"/>
    <w:rsid w:val="00A77015"/>
    <w:rsid w:val="00A77267"/>
    <w:rsid w:val="00A77787"/>
    <w:rsid w:val="00A77D4D"/>
    <w:rsid w:val="00A80018"/>
    <w:rsid w:val="00A80095"/>
    <w:rsid w:val="00A80F5C"/>
    <w:rsid w:val="00A82F6D"/>
    <w:rsid w:val="00A86361"/>
    <w:rsid w:val="00A8653C"/>
    <w:rsid w:val="00A86B7A"/>
    <w:rsid w:val="00A87AB5"/>
    <w:rsid w:val="00A90DDC"/>
    <w:rsid w:val="00A9151C"/>
    <w:rsid w:val="00A9273C"/>
    <w:rsid w:val="00A92B1D"/>
    <w:rsid w:val="00A93966"/>
    <w:rsid w:val="00A93A4F"/>
    <w:rsid w:val="00A94964"/>
    <w:rsid w:val="00A94E7D"/>
    <w:rsid w:val="00A95CA9"/>
    <w:rsid w:val="00AA1BE6"/>
    <w:rsid w:val="00AA3E13"/>
    <w:rsid w:val="00AA524C"/>
    <w:rsid w:val="00AA6AF9"/>
    <w:rsid w:val="00AA6F09"/>
    <w:rsid w:val="00AA7268"/>
    <w:rsid w:val="00AB0557"/>
    <w:rsid w:val="00AB06DD"/>
    <w:rsid w:val="00AB1A1B"/>
    <w:rsid w:val="00AB21B0"/>
    <w:rsid w:val="00AB2DDF"/>
    <w:rsid w:val="00AB46C4"/>
    <w:rsid w:val="00AB48A2"/>
    <w:rsid w:val="00AB64AF"/>
    <w:rsid w:val="00AB656F"/>
    <w:rsid w:val="00AB6A6B"/>
    <w:rsid w:val="00AB7CB3"/>
    <w:rsid w:val="00AC06ED"/>
    <w:rsid w:val="00AC12D2"/>
    <w:rsid w:val="00AC21D8"/>
    <w:rsid w:val="00AC2796"/>
    <w:rsid w:val="00AC3EC7"/>
    <w:rsid w:val="00AC4710"/>
    <w:rsid w:val="00AC4E3F"/>
    <w:rsid w:val="00AD08CA"/>
    <w:rsid w:val="00AD0BDD"/>
    <w:rsid w:val="00AD0D26"/>
    <w:rsid w:val="00AD2A4C"/>
    <w:rsid w:val="00AD4C58"/>
    <w:rsid w:val="00AD764A"/>
    <w:rsid w:val="00AD76FB"/>
    <w:rsid w:val="00AE0FAF"/>
    <w:rsid w:val="00AE3833"/>
    <w:rsid w:val="00AE395C"/>
    <w:rsid w:val="00AE780F"/>
    <w:rsid w:val="00AF0A53"/>
    <w:rsid w:val="00AF176E"/>
    <w:rsid w:val="00AF2B54"/>
    <w:rsid w:val="00AF59B0"/>
    <w:rsid w:val="00AF693B"/>
    <w:rsid w:val="00AF6B9C"/>
    <w:rsid w:val="00AF7636"/>
    <w:rsid w:val="00B00891"/>
    <w:rsid w:val="00B01DE9"/>
    <w:rsid w:val="00B03B7D"/>
    <w:rsid w:val="00B041EA"/>
    <w:rsid w:val="00B0498B"/>
    <w:rsid w:val="00B04C1E"/>
    <w:rsid w:val="00B04E95"/>
    <w:rsid w:val="00B0549E"/>
    <w:rsid w:val="00B0669E"/>
    <w:rsid w:val="00B106D8"/>
    <w:rsid w:val="00B1096A"/>
    <w:rsid w:val="00B11523"/>
    <w:rsid w:val="00B14306"/>
    <w:rsid w:val="00B148D5"/>
    <w:rsid w:val="00B16C9D"/>
    <w:rsid w:val="00B171BE"/>
    <w:rsid w:val="00B178D3"/>
    <w:rsid w:val="00B20F5E"/>
    <w:rsid w:val="00B21DFB"/>
    <w:rsid w:val="00B22FE7"/>
    <w:rsid w:val="00B2358B"/>
    <w:rsid w:val="00B24347"/>
    <w:rsid w:val="00B25443"/>
    <w:rsid w:val="00B27B3A"/>
    <w:rsid w:val="00B30F9E"/>
    <w:rsid w:val="00B31BC8"/>
    <w:rsid w:val="00B33CF7"/>
    <w:rsid w:val="00B34C94"/>
    <w:rsid w:val="00B35A91"/>
    <w:rsid w:val="00B362C3"/>
    <w:rsid w:val="00B40060"/>
    <w:rsid w:val="00B41958"/>
    <w:rsid w:val="00B41EC6"/>
    <w:rsid w:val="00B427DE"/>
    <w:rsid w:val="00B43398"/>
    <w:rsid w:val="00B43BAE"/>
    <w:rsid w:val="00B4614D"/>
    <w:rsid w:val="00B464F2"/>
    <w:rsid w:val="00B5098D"/>
    <w:rsid w:val="00B50EEC"/>
    <w:rsid w:val="00B542E7"/>
    <w:rsid w:val="00B55386"/>
    <w:rsid w:val="00B55FAB"/>
    <w:rsid w:val="00B56E97"/>
    <w:rsid w:val="00B57022"/>
    <w:rsid w:val="00B57168"/>
    <w:rsid w:val="00B5763A"/>
    <w:rsid w:val="00B6153F"/>
    <w:rsid w:val="00B6194C"/>
    <w:rsid w:val="00B633B1"/>
    <w:rsid w:val="00B63C71"/>
    <w:rsid w:val="00B63EA0"/>
    <w:rsid w:val="00B644A1"/>
    <w:rsid w:val="00B64C96"/>
    <w:rsid w:val="00B654E7"/>
    <w:rsid w:val="00B65953"/>
    <w:rsid w:val="00B65ABF"/>
    <w:rsid w:val="00B66807"/>
    <w:rsid w:val="00B67C47"/>
    <w:rsid w:val="00B67D6F"/>
    <w:rsid w:val="00B710B8"/>
    <w:rsid w:val="00B7151D"/>
    <w:rsid w:val="00B72F1E"/>
    <w:rsid w:val="00B74790"/>
    <w:rsid w:val="00B7592D"/>
    <w:rsid w:val="00B7740B"/>
    <w:rsid w:val="00B779FE"/>
    <w:rsid w:val="00B77A1B"/>
    <w:rsid w:val="00B801A5"/>
    <w:rsid w:val="00B8093C"/>
    <w:rsid w:val="00B820B1"/>
    <w:rsid w:val="00B82299"/>
    <w:rsid w:val="00B82A26"/>
    <w:rsid w:val="00B82BAE"/>
    <w:rsid w:val="00B838F6"/>
    <w:rsid w:val="00B83AA7"/>
    <w:rsid w:val="00B83FD6"/>
    <w:rsid w:val="00B847C3"/>
    <w:rsid w:val="00B85284"/>
    <w:rsid w:val="00B86464"/>
    <w:rsid w:val="00B86FE2"/>
    <w:rsid w:val="00B907FD"/>
    <w:rsid w:val="00B9104D"/>
    <w:rsid w:val="00B92846"/>
    <w:rsid w:val="00B951BF"/>
    <w:rsid w:val="00BA0B8E"/>
    <w:rsid w:val="00BA0CB9"/>
    <w:rsid w:val="00BA35D1"/>
    <w:rsid w:val="00BA497A"/>
    <w:rsid w:val="00BA4C6F"/>
    <w:rsid w:val="00BA56B9"/>
    <w:rsid w:val="00BA798B"/>
    <w:rsid w:val="00BA7A3F"/>
    <w:rsid w:val="00BB0ABD"/>
    <w:rsid w:val="00BB1EE6"/>
    <w:rsid w:val="00BB26AD"/>
    <w:rsid w:val="00BB27DF"/>
    <w:rsid w:val="00BB4B90"/>
    <w:rsid w:val="00BB598B"/>
    <w:rsid w:val="00BB6C6B"/>
    <w:rsid w:val="00BC0366"/>
    <w:rsid w:val="00BC0D62"/>
    <w:rsid w:val="00BC13F8"/>
    <w:rsid w:val="00BC5100"/>
    <w:rsid w:val="00BC608F"/>
    <w:rsid w:val="00BC6474"/>
    <w:rsid w:val="00BC6605"/>
    <w:rsid w:val="00BC694A"/>
    <w:rsid w:val="00BC6E9E"/>
    <w:rsid w:val="00BD1825"/>
    <w:rsid w:val="00BD1AEF"/>
    <w:rsid w:val="00BD218D"/>
    <w:rsid w:val="00BD29CD"/>
    <w:rsid w:val="00BD445E"/>
    <w:rsid w:val="00BD49EE"/>
    <w:rsid w:val="00BD60D2"/>
    <w:rsid w:val="00BD652E"/>
    <w:rsid w:val="00BD665E"/>
    <w:rsid w:val="00BD7838"/>
    <w:rsid w:val="00BE5443"/>
    <w:rsid w:val="00BE5CD6"/>
    <w:rsid w:val="00BF429B"/>
    <w:rsid w:val="00BF491B"/>
    <w:rsid w:val="00BF4FDA"/>
    <w:rsid w:val="00BF62DD"/>
    <w:rsid w:val="00C00FE3"/>
    <w:rsid w:val="00C0118A"/>
    <w:rsid w:val="00C01289"/>
    <w:rsid w:val="00C02451"/>
    <w:rsid w:val="00C02C14"/>
    <w:rsid w:val="00C02FE8"/>
    <w:rsid w:val="00C04635"/>
    <w:rsid w:val="00C054CB"/>
    <w:rsid w:val="00C05B13"/>
    <w:rsid w:val="00C074A1"/>
    <w:rsid w:val="00C14111"/>
    <w:rsid w:val="00C158B8"/>
    <w:rsid w:val="00C16021"/>
    <w:rsid w:val="00C16ED2"/>
    <w:rsid w:val="00C21AE2"/>
    <w:rsid w:val="00C22376"/>
    <w:rsid w:val="00C22BAA"/>
    <w:rsid w:val="00C23CA4"/>
    <w:rsid w:val="00C25FCA"/>
    <w:rsid w:val="00C26C31"/>
    <w:rsid w:val="00C26D81"/>
    <w:rsid w:val="00C27757"/>
    <w:rsid w:val="00C27EA7"/>
    <w:rsid w:val="00C30C2B"/>
    <w:rsid w:val="00C30FB8"/>
    <w:rsid w:val="00C32B8F"/>
    <w:rsid w:val="00C355D1"/>
    <w:rsid w:val="00C35B30"/>
    <w:rsid w:val="00C37156"/>
    <w:rsid w:val="00C3736C"/>
    <w:rsid w:val="00C40481"/>
    <w:rsid w:val="00C40B8C"/>
    <w:rsid w:val="00C46C02"/>
    <w:rsid w:val="00C4759C"/>
    <w:rsid w:val="00C47BB1"/>
    <w:rsid w:val="00C52A45"/>
    <w:rsid w:val="00C53651"/>
    <w:rsid w:val="00C53CAC"/>
    <w:rsid w:val="00C54162"/>
    <w:rsid w:val="00C56535"/>
    <w:rsid w:val="00C57C6A"/>
    <w:rsid w:val="00C601EA"/>
    <w:rsid w:val="00C620B0"/>
    <w:rsid w:val="00C625B1"/>
    <w:rsid w:val="00C64AE6"/>
    <w:rsid w:val="00C65F1B"/>
    <w:rsid w:val="00C6620E"/>
    <w:rsid w:val="00C709BF"/>
    <w:rsid w:val="00C7128A"/>
    <w:rsid w:val="00C722FE"/>
    <w:rsid w:val="00C74974"/>
    <w:rsid w:val="00C75DFF"/>
    <w:rsid w:val="00C75FA5"/>
    <w:rsid w:val="00C7667C"/>
    <w:rsid w:val="00C80284"/>
    <w:rsid w:val="00C815C8"/>
    <w:rsid w:val="00C8169B"/>
    <w:rsid w:val="00C81F23"/>
    <w:rsid w:val="00C84387"/>
    <w:rsid w:val="00C84494"/>
    <w:rsid w:val="00C84833"/>
    <w:rsid w:val="00C8539E"/>
    <w:rsid w:val="00C8598D"/>
    <w:rsid w:val="00C85E8B"/>
    <w:rsid w:val="00C86347"/>
    <w:rsid w:val="00C87EE1"/>
    <w:rsid w:val="00C919A2"/>
    <w:rsid w:val="00C91A9F"/>
    <w:rsid w:val="00C92134"/>
    <w:rsid w:val="00C92314"/>
    <w:rsid w:val="00C92967"/>
    <w:rsid w:val="00C92F54"/>
    <w:rsid w:val="00C942DE"/>
    <w:rsid w:val="00C95D7D"/>
    <w:rsid w:val="00C96429"/>
    <w:rsid w:val="00CA0578"/>
    <w:rsid w:val="00CA295D"/>
    <w:rsid w:val="00CA3185"/>
    <w:rsid w:val="00CA3199"/>
    <w:rsid w:val="00CA39EF"/>
    <w:rsid w:val="00CA3D71"/>
    <w:rsid w:val="00CA4741"/>
    <w:rsid w:val="00CA4CAE"/>
    <w:rsid w:val="00CA5074"/>
    <w:rsid w:val="00CA6A75"/>
    <w:rsid w:val="00CA7E08"/>
    <w:rsid w:val="00CB09C4"/>
    <w:rsid w:val="00CB12A6"/>
    <w:rsid w:val="00CB1370"/>
    <w:rsid w:val="00CB1F78"/>
    <w:rsid w:val="00CB59CF"/>
    <w:rsid w:val="00CB61B3"/>
    <w:rsid w:val="00CB6235"/>
    <w:rsid w:val="00CB65EF"/>
    <w:rsid w:val="00CC03BF"/>
    <w:rsid w:val="00CC05FD"/>
    <w:rsid w:val="00CC0857"/>
    <w:rsid w:val="00CC396E"/>
    <w:rsid w:val="00CC603E"/>
    <w:rsid w:val="00CC7B18"/>
    <w:rsid w:val="00CD3D71"/>
    <w:rsid w:val="00CD411C"/>
    <w:rsid w:val="00CD43A9"/>
    <w:rsid w:val="00CD5C9D"/>
    <w:rsid w:val="00CD5D3C"/>
    <w:rsid w:val="00CD7DB5"/>
    <w:rsid w:val="00CE033C"/>
    <w:rsid w:val="00CE470D"/>
    <w:rsid w:val="00CE4CCA"/>
    <w:rsid w:val="00CE651D"/>
    <w:rsid w:val="00CE6C54"/>
    <w:rsid w:val="00CF0260"/>
    <w:rsid w:val="00CF160F"/>
    <w:rsid w:val="00CF1821"/>
    <w:rsid w:val="00CF1F03"/>
    <w:rsid w:val="00CF27CF"/>
    <w:rsid w:val="00CF3505"/>
    <w:rsid w:val="00CF350A"/>
    <w:rsid w:val="00CF3F73"/>
    <w:rsid w:val="00CF524A"/>
    <w:rsid w:val="00CF6641"/>
    <w:rsid w:val="00D0100A"/>
    <w:rsid w:val="00D01807"/>
    <w:rsid w:val="00D07B49"/>
    <w:rsid w:val="00D108AA"/>
    <w:rsid w:val="00D10FBA"/>
    <w:rsid w:val="00D110A5"/>
    <w:rsid w:val="00D12BB3"/>
    <w:rsid w:val="00D12CEB"/>
    <w:rsid w:val="00D14474"/>
    <w:rsid w:val="00D150E2"/>
    <w:rsid w:val="00D21CE7"/>
    <w:rsid w:val="00D25419"/>
    <w:rsid w:val="00D2573E"/>
    <w:rsid w:val="00D3004D"/>
    <w:rsid w:val="00D319D7"/>
    <w:rsid w:val="00D32E39"/>
    <w:rsid w:val="00D330AA"/>
    <w:rsid w:val="00D35767"/>
    <w:rsid w:val="00D3579D"/>
    <w:rsid w:val="00D35D00"/>
    <w:rsid w:val="00D35DF9"/>
    <w:rsid w:val="00D365E9"/>
    <w:rsid w:val="00D36FBC"/>
    <w:rsid w:val="00D37ED8"/>
    <w:rsid w:val="00D40117"/>
    <w:rsid w:val="00D413F2"/>
    <w:rsid w:val="00D41FE6"/>
    <w:rsid w:val="00D42FB5"/>
    <w:rsid w:val="00D436B5"/>
    <w:rsid w:val="00D4526C"/>
    <w:rsid w:val="00D45C6B"/>
    <w:rsid w:val="00D462FF"/>
    <w:rsid w:val="00D50E63"/>
    <w:rsid w:val="00D51D9B"/>
    <w:rsid w:val="00D5327E"/>
    <w:rsid w:val="00D548D1"/>
    <w:rsid w:val="00D54DA7"/>
    <w:rsid w:val="00D56166"/>
    <w:rsid w:val="00D603B1"/>
    <w:rsid w:val="00D60B4A"/>
    <w:rsid w:val="00D6192B"/>
    <w:rsid w:val="00D6335A"/>
    <w:rsid w:val="00D63EB3"/>
    <w:rsid w:val="00D64C8F"/>
    <w:rsid w:val="00D67B07"/>
    <w:rsid w:val="00D7040B"/>
    <w:rsid w:val="00D71A40"/>
    <w:rsid w:val="00D72D51"/>
    <w:rsid w:val="00D74186"/>
    <w:rsid w:val="00D7484F"/>
    <w:rsid w:val="00D75414"/>
    <w:rsid w:val="00D76C6E"/>
    <w:rsid w:val="00D77063"/>
    <w:rsid w:val="00D77BFC"/>
    <w:rsid w:val="00D80E06"/>
    <w:rsid w:val="00D822ED"/>
    <w:rsid w:val="00D82E3B"/>
    <w:rsid w:val="00D83C05"/>
    <w:rsid w:val="00D844E4"/>
    <w:rsid w:val="00D84C74"/>
    <w:rsid w:val="00D85F65"/>
    <w:rsid w:val="00D85FF1"/>
    <w:rsid w:val="00D86FEA"/>
    <w:rsid w:val="00D87B39"/>
    <w:rsid w:val="00D91D87"/>
    <w:rsid w:val="00D91EE1"/>
    <w:rsid w:val="00D92514"/>
    <w:rsid w:val="00D926A9"/>
    <w:rsid w:val="00D9625E"/>
    <w:rsid w:val="00D9652A"/>
    <w:rsid w:val="00D96FD6"/>
    <w:rsid w:val="00D972E7"/>
    <w:rsid w:val="00DA158C"/>
    <w:rsid w:val="00DA18B8"/>
    <w:rsid w:val="00DA211F"/>
    <w:rsid w:val="00DA3905"/>
    <w:rsid w:val="00DA6928"/>
    <w:rsid w:val="00DA6B8D"/>
    <w:rsid w:val="00DA71CF"/>
    <w:rsid w:val="00DA7495"/>
    <w:rsid w:val="00DB25FC"/>
    <w:rsid w:val="00DB3FAD"/>
    <w:rsid w:val="00DB675C"/>
    <w:rsid w:val="00DB6E98"/>
    <w:rsid w:val="00DB7847"/>
    <w:rsid w:val="00DC1313"/>
    <w:rsid w:val="00DC19DA"/>
    <w:rsid w:val="00DC246D"/>
    <w:rsid w:val="00DC34BD"/>
    <w:rsid w:val="00DC4A3B"/>
    <w:rsid w:val="00DC4BAA"/>
    <w:rsid w:val="00DC7780"/>
    <w:rsid w:val="00DC87BA"/>
    <w:rsid w:val="00DD0288"/>
    <w:rsid w:val="00DD0925"/>
    <w:rsid w:val="00DD0A61"/>
    <w:rsid w:val="00DD150C"/>
    <w:rsid w:val="00DD1C44"/>
    <w:rsid w:val="00DD1C76"/>
    <w:rsid w:val="00DD3277"/>
    <w:rsid w:val="00DD3390"/>
    <w:rsid w:val="00DD3AD1"/>
    <w:rsid w:val="00DD4AC5"/>
    <w:rsid w:val="00DD526E"/>
    <w:rsid w:val="00DD5464"/>
    <w:rsid w:val="00DD6658"/>
    <w:rsid w:val="00DD67DE"/>
    <w:rsid w:val="00DD7369"/>
    <w:rsid w:val="00DE3010"/>
    <w:rsid w:val="00DE3184"/>
    <w:rsid w:val="00DE40D1"/>
    <w:rsid w:val="00DE4B10"/>
    <w:rsid w:val="00DE5F52"/>
    <w:rsid w:val="00DE689F"/>
    <w:rsid w:val="00DE729D"/>
    <w:rsid w:val="00DF20A9"/>
    <w:rsid w:val="00DF222F"/>
    <w:rsid w:val="00DF2587"/>
    <w:rsid w:val="00DF2B0B"/>
    <w:rsid w:val="00DF314A"/>
    <w:rsid w:val="00DF31D5"/>
    <w:rsid w:val="00DF3A7A"/>
    <w:rsid w:val="00DF441C"/>
    <w:rsid w:val="00DF44BA"/>
    <w:rsid w:val="00DF650F"/>
    <w:rsid w:val="00DF7CAD"/>
    <w:rsid w:val="00E02B58"/>
    <w:rsid w:val="00E03142"/>
    <w:rsid w:val="00E038D1"/>
    <w:rsid w:val="00E05000"/>
    <w:rsid w:val="00E05108"/>
    <w:rsid w:val="00E066DC"/>
    <w:rsid w:val="00E06904"/>
    <w:rsid w:val="00E06972"/>
    <w:rsid w:val="00E06B28"/>
    <w:rsid w:val="00E076CF"/>
    <w:rsid w:val="00E10340"/>
    <w:rsid w:val="00E11789"/>
    <w:rsid w:val="00E11A40"/>
    <w:rsid w:val="00E13D39"/>
    <w:rsid w:val="00E13F48"/>
    <w:rsid w:val="00E1453C"/>
    <w:rsid w:val="00E15B84"/>
    <w:rsid w:val="00E16259"/>
    <w:rsid w:val="00E1713D"/>
    <w:rsid w:val="00E177A8"/>
    <w:rsid w:val="00E17894"/>
    <w:rsid w:val="00E220A9"/>
    <w:rsid w:val="00E220FD"/>
    <w:rsid w:val="00E23305"/>
    <w:rsid w:val="00E23620"/>
    <w:rsid w:val="00E23E7E"/>
    <w:rsid w:val="00E24A59"/>
    <w:rsid w:val="00E24C36"/>
    <w:rsid w:val="00E2538F"/>
    <w:rsid w:val="00E2641D"/>
    <w:rsid w:val="00E2722D"/>
    <w:rsid w:val="00E27DD5"/>
    <w:rsid w:val="00E33E06"/>
    <w:rsid w:val="00E358A9"/>
    <w:rsid w:val="00E36883"/>
    <w:rsid w:val="00E4054D"/>
    <w:rsid w:val="00E4089B"/>
    <w:rsid w:val="00E40D1E"/>
    <w:rsid w:val="00E41177"/>
    <w:rsid w:val="00E4740D"/>
    <w:rsid w:val="00E47A4C"/>
    <w:rsid w:val="00E50895"/>
    <w:rsid w:val="00E53C1F"/>
    <w:rsid w:val="00E542CF"/>
    <w:rsid w:val="00E54D07"/>
    <w:rsid w:val="00E55740"/>
    <w:rsid w:val="00E562E1"/>
    <w:rsid w:val="00E563F6"/>
    <w:rsid w:val="00E565E2"/>
    <w:rsid w:val="00E56BA2"/>
    <w:rsid w:val="00E57217"/>
    <w:rsid w:val="00E603F2"/>
    <w:rsid w:val="00E60817"/>
    <w:rsid w:val="00E610EC"/>
    <w:rsid w:val="00E61E07"/>
    <w:rsid w:val="00E61FDA"/>
    <w:rsid w:val="00E63309"/>
    <w:rsid w:val="00E63B69"/>
    <w:rsid w:val="00E6421D"/>
    <w:rsid w:val="00E64FAC"/>
    <w:rsid w:val="00E65150"/>
    <w:rsid w:val="00E66CCE"/>
    <w:rsid w:val="00E7170B"/>
    <w:rsid w:val="00E7180A"/>
    <w:rsid w:val="00E75B1E"/>
    <w:rsid w:val="00E773C2"/>
    <w:rsid w:val="00E825BF"/>
    <w:rsid w:val="00E825CF"/>
    <w:rsid w:val="00E847D2"/>
    <w:rsid w:val="00E87191"/>
    <w:rsid w:val="00E90065"/>
    <w:rsid w:val="00E926EA"/>
    <w:rsid w:val="00E93F82"/>
    <w:rsid w:val="00E95916"/>
    <w:rsid w:val="00E963FA"/>
    <w:rsid w:val="00EA077E"/>
    <w:rsid w:val="00EA22DC"/>
    <w:rsid w:val="00EA728A"/>
    <w:rsid w:val="00EB0A46"/>
    <w:rsid w:val="00EB0FFD"/>
    <w:rsid w:val="00EB2613"/>
    <w:rsid w:val="00EB42A5"/>
    <w:rsid w:val="00EB491D"/>
    <w:rsid w:val="00EB740F"/>
    <w:rsid w:val="00EB7CA2"/>
    <w:rsid w:val="00EC09D8"/>
    <w:rsid w:val="00EC1CBC"/>
    <w:rsid w:val="00EC24C8"/>
    <w:rsid w:val="00EC374B"/>
    <w:rsid w:val="00EC3830"/>
    <w:rsid w:val="00EC3F72"/>
    <w:rsid w:val="00EC3FCA"/>
    <w:rsid w:val="00EC5B3C"/>
    <w:rsid w:val="00EC6029"/>
    <w:rsid w:val="00EC76A2"/>
    <w:rsid w:val="00ED260B"/>
    <w:rsid w:val="00ED2DD8"/>
    <w:rsid w:val="00ED4A24"/>
    <w:rsid w:val="00ED5B42"/>
    <w:rsid w:val="00ED7573"/>
    <w:rsid w:val="00ED7AA0"/>
    <w:rsid w:val="00ED7F82"/>
    <w:rsid w:val="00EE0F47"/>
    <w:rsid w:val="00EE22CA"/>
    <w:rsid w:val="00EE2E86"/>
    <w:rsid w:val="00EE5331"/>
    <w:rsid w:val="00EE582F"/>
    <w:rsid w:val="00EE5B7B"/>
    <w:rsid w:val="00EE6E66"/>
    <w:rsid w:val="00EE7DF7"/>
    <w:rsid w:val="00EF0287"/>
    <w:rsid w:val="00EF0552"/>
    <w:rsid w:val="00EF07FB"/>
    <w:rsid w:val="00EF0937"/>
    <w:rsid w:val="00EF2D07"/>
    <w:rsid w:val="00EF32EF"/>
    <w:rsid w:val="00EF5227"/>
    <w:rsid w:val="00EF5670"/>
    <w:rsid w:val="00EF6495"/>
    <w:rsid w:val="00EF6DB8"/>
    <w:rsid w:val="00F00480"/>
    <w:rsid w:val="00F0194A"/>
    <w:rsid w:val="00F03406"/>
    <w:rsid w:val="00F04528"/>
    <w:rsid w:val="00F04B14"/>
    <w:rsid w:val="00F04BF8"/>
    <w:rsid w:val="00F053CD"/>
    <w:rsid w:val="00F07D63"/>
    <w:rsid w:val="00F12933"/>
    <w:rsid w:val="00F12C8E"/>
    <w:rsid w:val="00F134B4"/>
    <w:rsid w:val="00F15087"/>
    <w:rsid w:val="00F1513F"/>
    <w:rsid w:val="00F16A8B"/>
    <w:rsid w:val="00F16B0C"/>
    <w:rsid w:val="00F24513"/>
    <w:rsid w:val="00F24A14"/>
    <w:rsid w:val="00F25054"/>
    <w:rsid w:val="00F261A6"/>
    <w:rsid w:val="00F26EC9"/>
    <w:rsid w:val="00F27CD8"/>
    <w:rsid w:val="00F27FAF"/>
    <w:rsid w:val="00F3174A"/>
    <w:rsid w:val="00F33F85"/>
    <w:rsid w:val="00F3471B"/>
    <w:rsid w:val="00F34BD4"/>
    <w:rsid w:val="00F35011"/>
    <w:rsid w:val="00F371BC"/>
    <w:rsid w:val="00F37378"/>
    <w:rsid w:val="00F3778A"/>
    <w:rsid w:val="00F409AC"/>
    <w:rsid w:val="00F41488"/>
    <w:rsid w:val="00F41CF7"/>
    <w:rsid w:val="00F42E7A"/>
    <w:rsid w:val="00F4386D"/>
    <w:rsid w:val="00F452B6"/>
    <w:rsid w:val="00F53FF5"/>
    <w:rsid w:val="00F54102"/>
    <w:rsid w:val="00F546B1"/>
    <w:rsid w:val="00F565F0"/>
    <w:rsid w:val="00F602FF"/>
    <w:rsid w:val="00F60908"/>
    <w:rsid w:val="00F60FE6"/>
    <w:rsid w:val="00F61286"/>
    <w:rsid w:val="00F61715"/>
    <w:rsid w:val="00F623CA"/>
    <w:rsid w:val="00F62514"/>
    <w:rsid w:val="00F62D3B"/>
    <w:rsid w:val="00F636AB"/>
    <w:rsid w:val="00F63E15"/>
    <w:rsid w:val="00F647C1"/>
    <w:rsid w:val="00F64D0D"/>
    <w:rsid w:val="00F64E65"/>
    <w:rsid w:val="00F6556B"/>
    <w:rsid w:val="00F662FB"/>
    <w:rsid w:val="00F668B9"/>
    <w:rsid w:val="00F67A60"/>
    <w:rsid w:val="00F67C86"/>
    <w:rsid w:val="00F72CCB"/>
    <w:rsid w:val="00F72EA8"/>
    <w:rsid w:val="00F731F9"/>
    <w:rsid w:val="00F7472D"/>
    <w:rsid w:val="00F761B5"/>
    <w:rsid w:val="00F776AD"/>
    <w:rsid w:val="00F80B7D"/>
    <w:rsid w:val="00F821C0"/>
    <w:rsid w:val="00F82705"/>
    <w:rsid w:val="00F85AE4"/>
    <w:rsid w:val="00F877D5"/>
    <w:rsid w:val="00F9073E"/>
    <w:rsid w:val="00F90E53"/>
    <w:rsid w:val="00F91557"/>
    <w:rsid w:val="00F92327"/>
    <w:rsid w:val="00F92CB4"/>
    <w:rsid w:val="00F933A2"/>
    <w:rsid w:val="00F936A9"/>
    <w:rsid w:val="00F93BCA"/>
    <w:rsid w:val="00F93E11"/>
    <w:rsid w:val="00F9464D"/>
    <w:rsid w:val="00F956E5"/>
    <w:rsid w:val="00F95D0A"/>
    <w:rsid w:val="00FA080C"/>
    <w:rsid w:val="00FA1321"/>
    <w:rsid w:val="00FA2018"/>
    <w:rsid w:val="00FA2EB8"/>
    <w:rsid w:val="00FA7526"/>
    <w:rsid w:val="00FB0543"/>
    <w:rsid w:val="00FB0A86"/>
    <w:rsid w:val="00FB1482"/>
    <w:rsid w:val="00FB14A5"/>
    <w:rsid w:val="00FB181C"/>
    <w:rsid w:val="00FB2AC7"/>
    <w:rsid w:val="00FB31B4"/>
    <w:rsid w:val="00FB31F4"/>
    <w:rsid w:val="00FB33EF"/>
    <w:rsid w:val="00FB7D18"/>
    <w:rsid w:val="00FB7E51"/>
    <w:rsid w:val="00FC1502"/>
    <w:rsid w:val="00FC1A8F"/>
    <w:rsid w:val="00FC2695"/>
    <w:rsid w:val="00FC3D81"/>
    <w:rsid w:val="00FC3DF6"/>
    <w:rsid w:val="00FC44A3"/>
    <w:rsid w:val="00FC5799"/>
    <w:rsid w:val="00FC5C11"/>
    <w:rsid w:val="00FC5C52"/>
    <w:rsid w:val="00FC6390"/>
    <w:rsid w:val="00FC6F92"/>
    <w:rsid w:val="00FC76E1"/>
    <w:rsid w:val="00FD4465"/>
    <w:rsid w:val="00FD4A3A"/>
    <w:rsid w:val="00FD4B48"/>
    <w:rsid w:val="00FE1831"/>
    <w:rsid w:val="00FE3355"/>
    <w:rsid w:val="00FE419A"/>
    <w:rsid w:val="00FE4704"/>
    <w:rsid w:val="00FE6A31"/>
    <w:rsid w:val="00FE6DBC"/>
    <w:rsid w:val="00FE702D"/>
    <w:rsid w:val="00FF0359"/>
    <w:rsid w:val="00FF05CC"/>
    <w:rsid w:val="00FF085F"/>
    <w:rsid w:val="00FF0C37"/>
    <w:rsid w:val="00FF0CF4"/>
    <w:rsid w:val="00FF1D2B"/>
    <w:rsid w:val="00FF1DA3"/>
    <w:rsid w:val="00FF1DD3"/>
    <w:rsid w:val="00FF2B1A"/>
    <w:rsid w:val="00FF362E"/>
    <w:rsid w:val="00FF3EBE"/>
    <w:rsid w:val="00FF428C"/>
    <w:rsid w:val="00FF4BA9"/>
    <w:rsid w:val="00FF503D"/>
    <w:rsid w:val="00FF5D27"/>
    <w:rsid w:val="00FF72E8"/>
    <w:rsid w:val="01485AF1"/>
    <w:rsid w:val="030B3D7F"/>
    <w:rsid w:val="0470A773"/>
    <w:rsid w:val="04E1CB4F"/>
    <w:rsid w:val="0546F3ED"/>
    <w:rsid w:val="05BF6F5C"/>
    <w:rsid w:val="05D20EF3"/>
    <w:rsid w:val="067BCFD4"/>
    <w:rsid w:val="06B5B076"/>
    <w:rsid w:val="07591B4B"/>
    <w:rsid w:val="07745255"/>
    <w:rsid w:val="0799A38E"/>
    <w:rsid w:val="07AC04F5"/>
    <w:rsid w:val="08AFEC90"/>
    <w:rsid w:val="094AAE18"/>
    <w:rsid w:val="0A0DED9D"/>
    <w:rsid w:val="0ADF433E"/>
    <w:rsid w:val="0F7E8AAA"/>
    <w:rsid w:val="0FD96E1A"/>
    <w:rsid w:val="10676E33"/>
    <w:rsid w:val="10865CA9"/>
    <w:rsid w:val="11190BE5"/>
    <w:rsid w:val="14126F83"/>
    <w:rsid w:val="154262BF"/>
    <w:rsid w:val="159F3C41"/>
    <w:rsid w:val="17489B4B"/>
    <w:rsid w:val="177ACF8B"/>
    <w:rsid w:val="17FCC84C"/>
    <w:rsid w:val="196C7F33"/>
    <w:rsid w:val="19AFC43D"/>
    <w:rsid w:val="19DBA9CF"/>
    <w:rsid w:val="1A273CB3"/>
    <w:rsid w:val="1A44FF03"/>
    <w:rsid w:val="1AB78C88"/>
    <w:rsid w:val="1ACC2814"/>
    <w:rsid w:val="1B345973"/>
    <w:rsid w:val="1C05B224"/>
    <w:rsid w:val="1CCF74E7"/>
    <w:rsid w:val="1CE2BCF0"/>
    <w:rsid w:val="1D689EC0"/>
    <w:rsid w:val="1D6A83D2"/>
    <w:rsid w:val="1EDEAA9A"/>
    <w:rsid w:val="1EF2DD4A"/>
    <w:rsid w:val="1F6D8D76"/>
    <w:rsid w:val="205D147A"/>
    <w:rsid w:val="20BFE553"/>
    <w:rsid w:val="20D9A3F9"/>
    <w:rsid w:val="22656EF2"/>
    <w:rsid w:val="24A24178"/>
    <w:rsid w:val="24E5A520"/>
    <w:rsid w:val="252D12CF"/>
    <w:rsid w:val="2566E3F1"/>
    <w:rsid w:val="264EA426"/>
    <w:rsid w:val="275847C4"/>
    <w:rsid w:val="27A36515"/>
    <w:rsid w:val="27BD5D65"/>
    <w:rsid w:val="27BFB9F7"/>
    <w:rsid w:val="27CD9CDD"/>
    <w:rsid w:val="29F1FB95"/>
    <w:rsid w:val="2A0D52D9"/>
    <w:rsid w:val="2B0B9115"/>
    <w:rsid w:val="2CDB69D1"/>
    <w:rsid w:val="2EB636F6"/>
    <w:rsid w:val="2EE29031"/>
    <w:rsid w:val="2EEA996E"/>
    <w:rsid w:val="2EEFBBBA"/>
    <w:rsid w:val="2F5A7D6F"/>
    <w:rsid w:val="2FE8389B"/>
    <w:rsid w:val="30308706"/>
    <w:rsid w:val="3045F78F"/>
    <w:rsid w:val="30FFB311"/>
    <w:rsid w:val="335F128D"/>
    <w:rsid w:val="33E0C54E"/>
    <w:rsid w:val="34306739"/>
    <w:rsid w:val="3463C553"/>
    <w:rsid w:val="36C33DA1"/>
    <w:rsid w:val="375A34F4"/>
    <w:rsid w:val="37BDE6C5"/>
    <w:rsid w:val="3845F575"/>
    <w:rsid w:val="38555E05"/>
    <w:rsid w:val="388FADDB"/>
    <w:rsid w:val="391FDEF0"/>
    <w:rsid w:val="3991B725"/>
    <w:rsid w:val="3A1A3BE0"/>
    <w:rsid w:val="3A7A798C"/>
    <w:rsid w:val="3AFC4251"/>
    <w:rsid w:val="3B86D73A"/>
    <w:rsid w:val="3B956478"/>
    <w:rsid w:val="3E6BBCE6"/>
    <w:rsid w:val="3FA0535C"/>
    <w:rsid w:val="3FA78744"/>
    <w:rsid w:val="3FAD927F"/>
    <w:rsid w:val="404CB4CE"/>
    <w:rsid w:val="40B2F499"/>
    <w:rsid w:val="410CE970"/>
    <w:rsid w:val="421809AC"/>
    <w:rsid w:val="42306E1B"/>
    <w:rsid w:val="424F1B5B"/>
    <w:rsid w:val="437271B0"/>
    <w:rsid w:val="4617D4AA"/>
    <w:rsid w:val="4624CDD2"/>
    <w:rsid w:val="46A605B1"/>
    <w:rsid w:val="46AFAF8E"/>
    <w:rsid w:val="47024296"/>
    <w:rsid w:val="4874476C"/>
    <w:rsid w:val="48A14D5F"/>
    <w:rsid w:val="48C7F802"/>
    <w:rsid w:val="4961DEF9"/>
    <w:rsid w:val="4966A584"/>
    <w:rsid w:val="49C97B0D"/>
    <w:rsid w:val="49CD2051"/>
    <w:rsid w:val="49E01512"/>
    <w:rsid w:val="4ACA14D0"/>
    <w:rsid w:val="4B56602B"/>
    <w:rsid w:val="4B8AD522"/>
    <w:rsid w:val="4BC3456A"/>
    <w:rsid w:val="4C2DA6ED"/>
    <w:rsid w:val="4C657F1C"/>
    <w:rsid w:val="4CDBE77C"/>
    <w:rsid w:val="4D13FF65"/>
    <w:rsid w:val="4D46E18B"/>
    <w:rsid w:val="4D6B8EF1"/>
    <w:rsid w:val="4E5B9EAF"/>
    <w:rsid w:val="4F7FB774"/>
    <w:rsid w:val="5004B303"/>
    <w:rsid w:val="50296E04"/>
    <w:rsid w:val="50F8F830"/>
    <w:rsid w:val="5360DD47"/>
    <w:rsid w:val="541C9BE5"/>
    <w:rsid w:val="54D9B759"/>
    <w:rsid w:val="54E94A7E"/>
    <w:rsid w:val="54F2CBDC"/>
    <w:rsid w:val="54F9DEE6"/>
    <w:rsid w:val="553682FC"/>
    <w:rsid w:val="56A29D81"/>
    <w:rsid w:val="572CC8BE"/>
    <w:rsid w:val="573917F0"/>
    <w:rsid w:val="573F47D7"/>
    <w:rsid w:val="58BB0B12"/>
    <w:rsid w:val="59EA0AE2"/>
    <w:rsid w:val="5ABC51B6"/>
    <w:rsid w:val="5B29C04F"/>
    <w:rsid w:val="5C64BDC4"/>
    <w:rsid w:val="5D359148"/>
    <w:rsid w:val="5E1D840F"/>
    <w:rsid w:val="5EA7A628"/>
    <w:rsid w:val="5F9038CF"/>
    <w:rsid w:val="5FE3C6D7"/>
    <w:rsid w:val="6042BE3D"/>
    <w:rsid w:val="605C5C40"/>
    <w:rsid w:val="6120439B"/>
    <w:rsid w:val="617D7593"/>
    <w:rsid w:val="63AC3111"/>
    <w:rsid w:val="64E7E5AE"/>
    <w:rsid w:val="6551328E"/>
    <w:rsid w:val="6566308E"/>
    <w:rsid w:val="6580A76A"/>
    <w:rsid w:val="65AC0183"/>
    <w:rsid w:val="66015CBB"/>
    <w:rsid w:val="664B5119"/>
    <w:rsid w:val="6741EBDF"/>
    <w:rsid w:val="6882B400"/>
    <w:rsid w:val="6882E3E7"/>
    <w:rsid w:val="68976596"/>
    <w:rsid w:val="6A2D9E72"/>
    <w:rsid w:val="6A5714E2"/>
    <w:rsid w:val="6BCAF684"/>
    <w:rsid w:val="6D660C3F"/>
    <w:rsid w:val="6E57056C"/>
    <w:rsid w:val="6E67BCF2"/>
    <w:rsid w:val="6ED81AA4"/>
    <w:rsid w:val="7051D17D"/>
    <w:rsid w:val="70898F0F"/>
    <w:rsid w:val="70CB9C7E"/>
    <w:rsid w:val="726AB1F5"/>
    <w:rsid w:val="72F0D9AD"/>
    <w:rsid w:val="7379B097"/>
    <w:rsid w:val="73C773D9"/>
    <w:rsid w:val="73D81FD0"/>
    <w:rsid w:val="74186DB1"/>
    <w:rsid w:val="748C0A56"/>
    <w:rsid w:val="7545EB49"/>
    <w:rsid w:val="75B2CE63"/>
    <w:rsid w:val="75EB537E"/>
    <w:rsid w:val="76739DE4"/>
    <w:rsid w:val="769953DD"/>
    <w:rsid w:val="76E1B43F"/>
    <w:rsid w:val="76FC5A43"/>
    <w:rsid w:val="770AEEC1"/>
    <w:rsid w:val="77826CC7"/>
    <w:rsid w:val="7884AD05"/>
    <w:rsid w:val="78AC95FD"/>
    <w:rsid w:val="79652E43"/>
    <w:rsid w:val="7A495359"/>
    <w:rsid w:val="7E58A55D"/>
    <w:rsid w:val="7E746ADE"/>
    <w:rsid w:val="7E794F27"/>
    <w:rsid w:val="7EAA7C7C"/>
    <w:rsid w:val="7EAF071C"/>
    <w:rsid w:val="7EC82ACA"/>
    <w:rsid w:val="7F2CF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81FC5"/>
  <w15:chartTrackingRefBased/>
  <w15:docId w15:val="{A37FD352-CFC6-4024-9CEE-1707DA52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88"/>
  </w:style>
  <w:style w:type="paragraph" w:styleId="Heading1">
    <w:name w:val="heading 1"/>
    <w:basedOn w:val="Normal"/>
    <w:next w:val="Normal"/>
    <w:link w:val="Heading1Char"/>
    <w:uiPriority w:val="9"/>
    <w:qFormat/>
    <w:rsid w:val="0015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59"/>
  </w:style>
  <w:style w:type="paragraph" w:styleId="Footer">
    <w:name w:val="footer"/>
    <w:basedOn w:val="Normal"/>
    <w:link w:val="FooterChar"/>
    <w:uiPriority w:val="99"/>
    <w:unhideWhenUsed/>
    <w:rsid w:val="0067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59"/>
  </w:style>
  <w:style w:type="table" w:styleId="TableGrid">
    <w:name w:val="Table Grid"/>
    <w:basedOn w:val="TableNormal"/>
    <w:uiPriority w:val="39"/>
    <w:rsid w:val="0059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7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47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7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11D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02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31BC8"/>
  </w:style>
  <w:style w:type="paragraph" w:customStyle="1" w:styleId="ESIC1">
    <w:name w:val="ESIC1"/>
    <w:basedOn w:val="Heading1"/>
    <w:link w:val="ESIC1Char"/>
    <w:qFormat/>
    <w:rsid w:val="007A4233"/>
    <w:rPr>
      <w:rFonts w:ascii="Arial" w:hAnsi="Arial" w:cs="Arial"/>
      <w:b/>
      <w:bCs/>
      <w:caps/>
      <w:color w:val="0B769F"/>
      <w:lang w:val="en-US"/>
    </w:rPr>
  </w:style>
  <w:style w:type="character" w:customStyle="1" w:styleId="ESIC1Char">
    <w:name w:val="ESIC1 Char"/>
    <w:basedOn w:val="Heading1Char"/>
    <w:link w:val="ESIC1"/>
    <w:rsid w:val="007A4233"/>
    <w:rPr>
      <w:rFonts w:ascii="Arial" w:eastAsiaTheme="majorEastAsia" w:hAnsi="Arial" w:cs="Arial"/>
      <w:b/>
      <w:bCs/>
      <w:caps/>
      <w:color w:val="0B769F"/>
      <w:sz w:val="40"/>
      <w:szCs w:val="40"/>
      <w:lang w:val="en-US"/>
    </w:rPr>
  </w:style>
  <w:style w:type="table" w:styleId="GridTable2-Accent4">
    <w:name w:val="Grid Table 2 Accent 4"/>
    <w:basedOn w:val="TableNormal"/>
    <w:uiPriority w:val="47"/>
    <w:rsid w:val="007A4233"/>
    <w:pPr>
      <w:spacing w:after="0" w:line="240" w:lineRule="auto"/>
    </w:pPr>
    <w:rPr>
      <w:rFonts w:ascii="Aptos" w:hAnsi="Aptos"/>
      <w:sz w:val="22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7A4233"/>
    <w:pPr>
      <w:spacing w:after="0" w:line="240" w:lineRule="auto"/>
    </w:pPr>
    <w:rPr>
      <w:rFonts w:ascii="Aptos" w:hAnsi="Aptos"/>
      <w:sz w:val="20"/>
      <w:szCs w:val="20"/>
      <w:lang w:val="nb-N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233"/>
    <w:rPr>
      <w:rFonts w:ascii="Aptos" w:hAnsi="Aptos"/>
      <w:sz w:val="20"/>
      <w:szCs w:val="20"/>
      <w:lang w:val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7A4233"/>
    <w:rPr>
      <w:vertAlign w:val="superscript"/>
    </w:rPr>
  </w:style>
  <w:style w:type="table" w:styleId="GridTable4-Accent1">
    <w:name w:val="Grid Table 4 Accent 1"/>
    <w:basedOn w:val="TableNormal"/>
    <w:uiPriority w:val="49"/>
    <w:rsid w:val="007A4233"/>
    <w:pPr>
      <w:spacing w:after="0" w:line="240" w:lineRule="auto"/>
    </w:pPr>
    <w:rPr>
      <w:rFonts w:ascii="Aptos" w:hAnsi="Aptos"/>
      <w:color w:val="000000" w:themeColor="text1"/>
      <w:kern w:val="0"/>
      <w:sz w:val="22"/>
      <w:szCs w:val="22"/>
      <w:lang w:val="en-TT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Default">
    <w:name w:val="Default"/>
    <w:rsid w:val="00016AB3"/>
    <w:pPr>
      <w:autoSpaceDE w:val="0"/>
      <w:autoSpaceDN w:val="0"/>
      <w:adjustRightInd w:val="0"/>
      <w:spacing w:after="0" w:line="240" w:lineRule="auto"/>
    </w:pPr>
    <w:rPr>
      <w:rFonts w:ascii="Aptos Display" w:hAnsi="Aptos Display" w:cs="Aptos Display"/>
      <w:color w:val="000000"/>
      <w:kern w:val="0"/>
      <w:lang w:val="en-TT"/>
    </w:rPr>
  </w:style>
  <w:style w:type="paragraph" w:styleId="Revision">
    <w:name w:val="Revision"/>
    <w:hidden/>
    <w:uiPriority w:val="99"/>
    <w:semiHidden/>
    <w:rsid w:val="00716D0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A1C4D"/>
    <w:rPr>
      <w:rFonts w:ascii="Times New Roman" w:hAnsi="Times New Roman" w:cs="Times New Roman"/>
    </w:rPr>
  </w:style>
  <w:style w:type="table" w:styleId="GridTable6Colorful-Accent1">
    <w:name w:val="Grid Table 6 Colorful Accent 1"/>
    <w:basedOn w:val="TableNormal"/>
    <w:uiPriority w:val="51"/>
    <w:rsid w:val="00E5721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9540251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med.ncbi.nlm.nih.gov/39540251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med.ncbi.nlm.nih.gov/39540251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44DBFACAF3346A02F95913FF266A6" ma:contentTypeVersion="13" ma:contentTypeDescription="Create a new document." ma:contentTypeScope="" ma:versionID="67111522ebcd0185f2e6ece171e0ea70">
  <xsd:schema xmlns:xsd="http://www.w3.org/2001/XMLSchema" xmlns:xs="http://www.w3.org/2001/XMLSchema" xmlns:p="http://schemas.microsoft.com/office/2006/metadata/properties" xmlns:ns2="6e5588b4-fb74-440d-9722-779e4a7e7483" xmlns:ns3="9660903e-d300-4e56-8fff-1e8d381b9430" targetNamespace="http://schemas.microsoft.com/office/2006/metadata/properties" ma:root="true" ma:fieldsID="82c16ec0f0e71eee140afa3dede4de5f" ns2:_="" ns3:_="">
    <xsd:import namespace="6e5588b4-fb74-440d-9722-779e4a7e7483"/>
    <xsd:import namespace="9660903e-d300-4e56-8fff-1e8d381b9430"/>
    <xsd:element name="properties">
      <xsd:complexType>
        <xsd:sequence>
          <xsd:element name="documentManagement">
            <xsd:complexType>
              <xsd:all>
                <xsd:element ref="ns2:Sort_Order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588b4-fb74-440d-9722-779e4a7e7483" elementFormDefault="qualified">
    <xsd:import namespace="http://schemas.microsoft.com/office/2006/documentManagement/types"/>
    <xsd:import namespace="http://schemas.microsoft.com/office/infopath/2007/PartnerControls"/>
    <xsd:element name="Sort_Order" ma:index="8" nillable="true" ma:displayName="Sort_Order" ma:format="Dropdown" ma:internalName="Sort_Order" ma:percentage="FALSE">
      <xsd:simpleType>
        <xsd:restriction base="dms:Number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c312355-af61-47fa-b102-1b6921dfb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0903e-d300-4e56-8fff-1e8d381b943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8e2d9a0-cf25-4ef5-8edf-dfc558213c1c}" ma:internalName="TaxCatchAll" ma:showField="CatchAllData" ma:web="9660903e-d300-4e56-8fff-1e8d381b94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Order xmlns="6e5588b4-fb74-440d-9722-779e4a7e7483" xsi:nil="true"/>
    <TaxCatchAll xmlns="9660903e-d300-4e56-8fff-1e8d381b9430" xsi:nil="true"/>
    <lcf76f155ced4ddcb4097134ff3c332f xmlns="6e5588b4-fb74-440d-9722-779e4a7e74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3318AD-1E80-42DC-89FE-84DB42AA70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F1E6BD-26AF-4B0A-A99C-A395B7BB4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8F018-CBCA-432A-BAFF-5C55CE556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588b4-fb74-440d-9722-779e4a7e7483"/>
    <ds:schemaRef ds:uri="9660903e-d300-4e56-8fff-1e8d381b9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DC4844-8DD3-4824-8053-8487FDA4738B}">
  <ds:schemaRefs>
    <ds:schemaRef ds:uri="http://schemas.microsoft.com/office/2006/metadata/properties"/>
    <ds:schemaRef ds:uri="http://schemas.microsoft.com/office/infopath/2007/PartnerControls"/>
    <ds:schemaRef ds:uri="6e5588b4-fb74-440d-9722-779e4a7e7483"/>
    <ds:schemaRef ds:uri="9660903e-d300-4e56-8fff-1e8d381b94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2751</Words>
  <Characters>17311</Characters>
  <Application>Microsoft Office Word</Application>
  <DocSecurity>0</DocSecurity>
  <Lines>665</Lines>
  <Paragraphs>409</Paragraphs>
  <ScaleCrop>false</ScaleCrop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Lavis, John</dc:creator>
  <cp:keywords/>
  <dc:description/>
  <cp:lastModifiedBy>Ruth Foxlee</cp:lastModifiedBy>
  <cp:revision>2</cp:revision>
  <cp:lastPrinted>2025-05-21T21:03:00Z</cp:lastPrinted>
  <dcterms:created xsi:type="dcterms:W3CDTF">2025-06-05T19:21:00Z</dcterms:created>
  <dcterms:modified xsi:type="dcterms:W3CDTF">2025-06-05T19:21:00Z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0x01010045844DBFACAF3346A02F95913FF266A6</vt:lpwstr>
  </property>
  <property fmtid="{D5CDD505-2E9C-101B-9397-08002B2CF9AE}" pid="3" name="MediaServiceImageTags">
    <vt:lpwstr/>
  </property>
</Properties>
</file>