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3B497" w14:textId="27868300" w:rsidR="00124121" w:rsidRPr="00E562E1" w:rsidRDefault="00BF429B" w:rsidP="3A017462">
      <w:pPr>
        <w:pStyle w:val="Header"/>
        <w:tabs>
          <w:tab w:val="clear" w:pos="4680"/>
          <w:tab w:val="clear" w:pos="9360"/>
          <w:tab w:val="left" w:pos="6946"/>
        </w:tabs>
        <w:rPr>
          <w:rFonts w:asciiTheme="minorBidi" w:hAnsiTheme="minorBidi"/>
          <w:b/>
          <w:bCs/>
          <w:color w:val="153D63" w:themeColor="text2" w:themeTint="E6"/>
        </w:rPr>
      </w:pPr>
      <w:r w:rsidRPr="00E562E1">
        <w:rPr>
          <w:rFonts w:asciiTheme="minorBidi" w:hAnsiTheme="minorBidi"/>
          <w:b/>
          <w:bCs/>
          <w:noProof/>
          <w:color w:val="156082" w:themeColor="accent1"/>
          <w:sz w:val="22"/>
          <w:szCs w:val="22"/>
        </w:rPr>
        <mc:AlternateContent>
          <mc:Choice Requires="wps">
            <w:drawing>
              <wp:anchor distT="0" distB="0" distL="114300" distR="114300" simplePos="0" relativeHeight="251658240" behindDoc="1" locked="0" layoutInCell="1" allowOverlap="1" wp14:anchorId="7773C0D9" wp14:editId="1267DDF3">
                <wp:simplePos x="0" y="0"/>
                <wp:positionH relativeFrom="page">
                  <wp:align>left</wp:align>
                </wp:positionH>
                <wp:positionV relativeFrom="paragraph">
                  <wp:posOffset>-175895</wp:posOffset>
                </wp:positionV>
                <wp:extent cx="8530590" cy="1007110"/>
                <wp:effectExtent l="0" t="0" r="3810" b="2540"/>
                <wp:wrapNone/>
                <wp:docPr id="1119744916" name="Rectangle 1"/>
                <wp:cNvGraphicFramePr/>
                <a:graphic xmlns:a="http://schemas.openxmlformats.org/drawingml/2006/main">
                  <a:graphicData uri="http://schemas.microsoft.com/office/word/2010/wordprocessingShape">
                    <wps:wsp>
                      <wps:cNvSpPr/>
                      <wps:spPr>
                        <a:xfrm>
                          <a:off x="0" y="0"/>
                          <a:ext cx="8530590" cy="1007110"/>
                        </a:xfrm>
                        <a:prstGeom prst="rect">
                          <a:avLst/>
                        </a:prstGeom>
                        <a:solidFill>
                          <a:srgbClr val="A1D8E7"/>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tbl>
                            <w:tblPr>
                              <w:tblW w:w="0" w:type="auto"/>
                              <w:tblInd w:w="7737" w:type="dxa"/>
                              <w:tblCellMar>
                                <w:left w:w="10" w:type="dxa"/>
                                <w:right w:w="10" w:type="dxa"/>
                              </w:tblCellMar>
                              <w:tblLook w:val="04A0" w:firstRow="1" w:lastRow="0" w:firstColumn="1" w:lastColumn="0" w:noHBand="0" w:noVBand="1"/>
                            </w:tblPr>
                            <w:tblGrid>
                              <w:gridCol w:w="4253"/>
                            </w:tblGrid>
                            <w:tr w:rsidR="00660557" w:rsidRPr="007A0D0C" w14:paraId="11FE6352" w14:textId="77777777" w:rsidTr="00660557">
                              <w:trPr>
                                <w:trHeight w:val="317"/>
                              </w:trPr>
                              <w:tc>
                                <w:tcPr>
                                  <w:tcW w:w="4253" w:type="dxa"/>
                                </w:tcPr>
                                <w:p w14:paraId="4D3C00FA" w14:textId="77777777" w:rsidR="00F11827" w:rsidRPr="007A0D0C" w:rsidRDefault="00F11827" w:rsidP="00660557">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75A2A556" w14:textId="77777777" w:rsidTr="00660557">
                              <w:trPr>
                                <w:trHeight w:val="331"/>
                              </w:trPr>
                              <w:tc>
                                <w:tcPr>
                                  <w:tcW w:w="4253" w:type="dxa"/>
                                </w:tcPr>
                                <w:p w14:paraId="6734F4DD" w14:textId="77777777" w:rsidR="00F11827" w:rsidRPr="00A212C1" w:rsidRDefault="00F1182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5779A2A0" w14:textId="77777777" w:rsidTr="00660557">
                              <w:trPr>
                                <w:trHeight w:val="317"/>
                              </w:trPr>
                              <w:tc>
                                <w:tcPr>
                                  <w:tcW w:w="4253" w:type="dxa"/>
                                </w:tcPr>
                                <w:p w14:paraId="7BADD963" w14:textId="77777777" w:rsidR="00F11827" w:rsidRPr="00A212C1" w:rsidRDefault="00F1182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487768F8" w14:textId="77777777" w:rsidTr="00660557">
                              <w:trPr>
                                <w:trHeight w:val="317"/>
                              </w:trPr>
                              <w:tc>
                                <w:tcPr>
                                  <w:tcW w:w="4253" w:type="dxa"/>
                                </w:tcPr>
                                <w:p w14:paraId="7060B11C" w14:textId="77777777" w:rsidR="00F11827" w:rsidRPr="00A212C1" w:rsidRDefault="00F1182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Pr>
                                      <w:rFonts w:ascii="Arial" w:hAnsi="Arial" w:cs="Arial"/>
                                      <w:color w:val="156082" w:themeColor="accent1"/>
                                      <w:sz w:val="15"/>
                                      <w:szCs w:val="15"/>
                                    </w:rPr>
                                    <w:t xml:space="preserve"> (ACRES)</w:t>
                                  </w:r>
                                </w:p>
                              </w:tc>
                            </w:tr>
                          </w:tbl>
                          <w:p w14:paraId="2802DE38" w14:textId="77777777" w:rsidR="00F11827" w:rsidRDefault="00F11827" w:rsidP="006E5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3C0D9" id="Rectangle 1" o:spid="_x0000_s1026" style="position:absolute;margin-left:0;margin-top:-13.85pt;width:671.7pt;height:79.3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" fillcolor="#a1d8e7" stroked="f" strokeweight="1pt">
                <v:textbox>
                  <w:txbxContent>
                    <w:tbl>
                      <w:tblPr>
                        <w:tblW w:w="0" w:type="auto"/>
                        <w:tblInd w:w="7737" w:type="dxa"/>
                        <w:tblCellMar>
                          <w:left w:w="10" w:type="dxa"/>
                          <w:right w:w="10" w:type="dxa"/>
                        </w:tblCellMar>
                        <w:tblLook w:val="04A0" w:firstRow="1" w:lastRow="0" w:firstColumn="1" w:lastColumn="0" w:noHBand="0" w:noVBand="1"/>
                      </w:tblPr>
                      <w:tblGrid>
                        <w:gridCol w:w="4253"/>
                      </w:tblGrid>
                      <w:tr w:rsidR="00660557" w:rsidRPr="007A0D0C" w14:paraId="11FE6352" w14:textId="77777777" w:rsidTr="00660557">
                        <w:trPr>
                          <w:trHeight w:val="317"/>
                        </w:trPr>
                        <w:tc>
                          <w:tcPr>
                            <w:tcW w:w="4253" w:type="dxa"/>
                          </w:tcPr>
                          <w:p w14:paraId="4D3C00FA" w14:textId="77777777" w:rsidR="00F11827" w:rsidRPr="007A0D0C" w:rsidRDefault="00F11827" w:rsidP="00660557">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75A2A556" w14:textId="77777777" w:rsidTr="00660557">
                        <w:trPr>
                          <w:trHeight w:val="331"/>
                        </w:trPr>
                        <w:tc>
                          <w:tcPr>
                            <w:tcW w:w="4253" w:type="dxa"/>
                          </w:tcPr>
                          <w:p w14:paraId="6734F4DD" w14:textId="77777777" w:rsidR="00F11827" w:rsidRPr="00A212C1" w:rsidRDefault="00F1182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5779A2A0" w14:textId="77777777" w:rsidTr="00660557">
                        <w:trPr>
                          <w:trHeight w:val="317"/>
                        </w:trPr>
                        <w:tc>
                          <w:tcPr>
                            <w:tcW w:w="4253" w:type="dxa"/>
                          </w:tcPr>
                          <w:p w14:paraId="7BADD963" w14:textId="77777777" w:rsidR="00F11827" w:rsidRPr="00A212C1" w:rsidRDefault="00F1182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487768F8" w14:textId="77777777" w:rsidTr="00660557">
                        <w:trPr>
                          <w:trHeight w:val="317"/>
                        </w:trPr>
                        <w:tc>
                          <w:tcPr>
                            <w:tcW w:w="4253" w:type="dxa"/>
                          </w:tcPr>
                          <w:p w14:paraId="7060B11C" w14:textId="77777777" w:rsidR="00F11827" w:rsidRPr="00A212C1" w:rsidRDefault="00F1182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Pr>
                                <w:rFonts w:ascii="Arial" w:hAnsi="Arial" w:cs="Arial"/>
                                <w:color w:val="156082" w:themeColor="accent1"/>
                                <w:sz w:val="15"/>
                                <w:szCs w:val="15"/>
                              </w:rPr>
                              <w:t xml:space="preserve"> (ACRES)</w:t>
                            </w:r>
                          </w:p>
                        </w:tc>
                      </w:tr>
                    </w:tbl>
                    <w:p w14:paraId="2802DE38" w14:textId="77777777" w:rsidR="00F11827" w:rsidRDefault="00F11827" w:rsidP="006E5D11">
                      <w:pPr>
                        <w:jc w:val="center"/>
                      </w:pPr>
                    </w:p>
                  </w:txbxContent>
                </v:textbox>
                <w10:wrap anchorx="page"/>
              </v:rect>
            </w:pict>
          </mc:Fallback>
        </mc:AlternateContent>
      </w:r>
      <w:r w:rsidR="00124121" w:rsidRPr="3A017462">
        <w:rPr>
          <w:rFonts w:asciiTheme="minorBidi" w:hAnsiTheme="minorBidi"/>
          <w:b/>
          <w:bCs/>
          <w:color w:val="153D63" w:themeColor="text2" w:themeTint="E6"/>
          <w:sz w:val="22"/>
          <w:szCs w:val="22"/>
        </w:rPr>
        <w:t>E</w:t>
      </w:r>
      <w:r w:rsidR="00124121" w:rsidRPr="3A017462">
        <w:rPr>
          <w:rFonts w:asciiTheme="minorBidi" w:hAnsiTheme="minorBidi"/>
          <w:b/>
          <w:bCs/>
          <w:color w:val="153D63" w:themeColor="text2" w:themeTint="E6"/>
        </w:rPr>
        <w:t xml:space="preserve">vidence Synthesis Infrastructure </w:t>
      </w:r>
    </w:p>
    <w:p w14:paraId="15768282" w14:textId="4B7DBE12" w:rsidR="00CF350A" w:rsidRDefault="00124121" w:rsidP="3A017462">
      <w:pPr>
        <w:pStyle w:val="Header"/>
        <w:tabs>
          <w:tab w:val="clear" w:pos="4680"/>
          <w:tab w:val="clear" w:pos="9360"/>
          <w:tab w:val="center" w:pos="4253"/>
          <w:tab w:val="right" w:pos="9923"/>
        </w:tabs>
        <w:rPr>
          <w:rFonts w:asciiTheme="minorBidi" w:hAnsiTheme="minorBidi"/>
          <w:b/>
          <w:bCs/>
          <w:color w:val="153D63" w:themeColor="text2" w:themeTint="E6"/>
        </w:rPr>
      </w:pPr>
      <w:r w:rsidRPr="3A017462">
        <w:rPr>
          <w:rFonts w:asciiTheme="minorBidi" w:hAnsiTheme="minorBidi"/>
          <w:b/>
          <w:bCs/>
          <w:color w:val="153D63" w:themeColor="text2" w:themeTint="E6"/>
        </w:rPr>
        <w:t xml:space="preserve">Collaborative (ESIC) </w:t>
      </w:r>
      <w:r w:rsidR="0089382C" w:rsidRPr="3A017462">
        <w:rPr>
          <w:rFonts w:asciiTheme="minorBidi" w:hAnsiTheme="minorBidi"/>
          <w:b/>
          <w:bCs/>
          <w:color w:val="153D63" w:themeColor="text2" w:themeTint="E6"/>
        </w:rPr>
        <w:t>p</w:t>
      </w:r>
      <w:r w:rsidRPr="3A017462">
        <w:rPr>
          <w:rFonts w:asciiTheme="minorBidi" w:hAnsiTheme="minorBidi"/>
          <w:b/>
          <w:bCs/>
          <w:color w:val="153D63" w:themeColor="text2" w:themeTint="E6"/>
        </w:rPr>
        <w:t xml:space="preserve">lanning </w:t>
      </w:r>
      <w:r w:rsidR="0089382C" w:rsidRPr="3A017462">
        <w:rPr>
          <w:rFonts w:asciiTheme="minorBidi" w:hAnsiTheme="minorBidi"/>
          <w:b/>
          <w:bCs/>
          <w:color w:val="153D63" w:themeColor="text2" w:themeTint="E6"/>
        </w:rPr>
        <w:t>p</w:t>
      </w:r>
      <w:r w:rsidRPr="3A017462">
        <w:rPr>
          <w:rFonts w:asciiTheme="minorBidi" w:hAnsiTheme="minorBidi"/>
          <w:b/>
          <w:bCs/>
          <w:color w:val="153D63" w:themeColor="text2" w:themeTint="E6"/>
        </w:rPr>
        <w:t>rocess</w:t>
      </w:r>
      <w:r w:rsidR="00CF350A" w:rsidRPr="3A017462">
        <w:rPr>
          <w:rFonts w:asciiTheme="minorBidi" w:hAnsiTheme="minorBidi"/>
          <w:b/>
          <w:bCs/>
          <w:color w:val="153D63" w:themeColor="text2" w:themeTint="E6"/>
        </w:rPr>
        <w:t>:</w:t>
      </w:r>
    </w:p>
    <w:p w14:paraId="4149EA82" w14:textId="5E8F19DC" w:rsidR="00124121" w:rsidRPr="00CF350A" w:rsidRDefault="001247D9" w:rsidP="00DD372E">
      <w:pPr>
        <w:pStyle w:val="Header"/>
        <w:tabs>
          <w:tab w:val="clear" w:pos="4680"/>
          <w:tab w:val="clear" w:pos="9360"/>
          <w:tab w:val="center" w:pos="4253"/>
          <w:tab w:val="right" w:pos="9923"/>
        </w:tabs>
        <w:rPr>
          <w:rFonts w:asciiTheme="minorBidi" w:hAnsiTheme="minorBidi"/>
          <w:color w:val="156082" w:themeColor="accent1"/>
          <w:sz w:val="20"/>
          <w:szCs w:val="20"/>
        </w:rPr>
      </w:pPr>
      <w:r>
        <w:rPr>
          <w:rFonts w:asciiTheme="minorBidi" w:hAnsiTheme="minorBidi"/>
          <w:color w:val="153D63" w:themeColor="text2" w:themeTint="E6"/>
        </w:rPr>
        <w:t>Interim Report</w:t>
      </w:r>
      <w:r w:rsidR="00124121" w:rsidRPr="00CF350A">
        <w:rPr>
          <w:rFonts w:asciiTheme="minorBidi" w:hAnsiTheme="minorBidi"/>
          <w:color w:val="156082" w:themeColor="accent1"/>
          <w:sz w:val="32"/>
          <w:szCs w:val="32"/>
        </w:rPr>
        <w:br/>
      </w:r>
    </w:p>
    <w:p w14:paraId="34850423" w14:textId="6DD46A52" w:rsidR="00124121" w:rsidRPr="00E562E1" w:rsidRDefault="00124121" w:rsidP="00A103B6">
      <w:pPr>
        <w:pStyle w:val="Header"/>
        <w:tabs>
          <w:tab w:val="clear" w:pos="4680"/>
          <w:tab w:val="clear" w:pos="9360"/>
          <w:tab w:val="center" w:pos="4111"/>
          <w:tab w:val="left" w:pos="9356"/>
        </w:tabs>
        <w:rPr>
          <w:rFonts w:asciiTheme="minorBidi" w:hAnsiTheme="minorBidi"/>
          <w:b/>
          <w:bCs/>
          <w:color w:val="156082" w:themeColor="accent1"/>
          <w:sz w:val="16"/>
          <w:szCs w:val="16"/>
        </w:rPr>
      </w:pPr>
    </w:p>
    <w:p w14:paraId="5F4117F0" w14:textId="77777777" w:rsidR="000960BB" w:rsidRPr="00E562E1" w:rsidRDefault="000960BB" w:rsidP="00A103B6">
      <w:pPr>
        <w:pStyle w:val="Header"/>
        <w:tabs>
          <w:tab w:val="clear" w:pos="4680"/>
          <w:tab w:val="clear" w:pos="9360"/>
          <w:tab w:val="center" w:pos="4111"/>
          <w:tab w:val="left" w:pos="9356"/>
        </w:tabs>
        <w:rPr>
          <w:rFonts w:asciiTheme="minorBidi" w:hAnsiTheme="minorBidi"/>
          <w:b/>
          <w:bCs/>
          <w:color w:val="156082" w:themeColor="accent1"/>
          <w:sz w:val="16"/>
          <w:szCs w:val="16"/>
        </w:rPr>
      </w:pPr>
    </w:p>
    <w:tbl>
      <w:tblPr>
        <w:tblStyle w:val="TableGrid"/>
        <w:tblW w:w="10321" w:type="dxa"/>
        <w:tblBorders>
          <w:top w:val="none" w:sz="0" w:space="0" w:color="auto"/>
          <w:left w:val="single" w:sz="12" w:space="0" w:color="153D63" w:themeColor="text2" w:themeTint="E6"/>
          <w:bottom w:val="none" w:sz="0" w:space="0" w:color="auto"/>
          <w:right w:val="none" w:sz="0" w:space="0" w:color="auto"/>
          <w:insideH w:val="single" w:sz="18" w:space="0" w:color="153D63" w:themeColor="text2" w:themeTint="E6"/>
          <w:insideV w:val="single" w:sz="12" w:space="0" w:color="153D63" w:themeColor="text2" w:themeTint="E6"/>
        </w:tblBorders>
        <w:tblLook w:val="04A0" w:firstRow="1" w:lastRow="0" w:firstColumn="1" w:lastColumn="0" w:noHBand="0" w:noVBand="1"/>
      </w:tblPr>
      <w:tblGrid>
        <w:gridCol w:w="2962"/>
        <w:gridCol w:w="2609"/>
        <w:gridCol w:w="2591"/>
        <w:gridCol w:w="2159"/>
      </w:tblGrid>
      <w:tr w:rsidR="001247D9" w:rsidRPr="00E562E1" w14:paraId="02FB94DC" w14:textId="77777777" w:rsidTr="00657361">
        <w:tc>
          <w:tcPr>
            <w:tcW w:w="2962" w:type="dxa"/>
          </w:tcPr>
          <w:p w14:paraId="609639D8" w14:textId="77777777" w:rsidR="001247D9" w:rsidRPr="006F5431" w:rsidRDefault="001247D9" w:rsidP="00657361">
            <w:pPr>
              <w:rPr>
                <w:rFonts w:asciiTheme="minorBidi" w:hAnsiTheme="minorBidi"/>
                <w:color w:val="156082" w:themeColor="accent1"/>
                <w:sz w:val="18"/>
                <w:szCs w:val="18"/>
              </w:rPr>
            </w:pPr>
            <w:r w:rsidRPr="006F5431">
              <w:rPr>
                <w:rFonts w:asciiTheme="minorBidi" w:hAnsiTheme="minorBidi"/>
                <w:color w:val="156082" w:themeColor="accent1"/>
                <w:sz w:val="18"/>
                <w:szCs w:val="18"/>
              </w:rPr>
              <w:t xml:space="preserve">Working </w:t>
            </w:r>
            <w:r>
              <w:rPr>
                <w:rFonts w:asciiTheme="minorBidi" w:hAnsiTheme="minorBidi"/>
                <w:color w:val="156082" w:themeColor="accent1"/>
                <w:sz w:val="18"/>
                <w:szCs w:val="18"/>
              </w:rPr>
              <w:t>g</w:t>
            </w:r>
            <w:r w:rsidRPr="006F5431">
              <w:rPr>
                <w:rFonts w:asciiTheme="minorBidi" w:hAnsiTheme="minorBidi"/>
                <w:color w:val="156082" w:themeColor="accent1"/>
                <w:sz w:val="18"/>
                <w:szCs w:val="18"/>
              </w:rPr>
              <w:t>roup 1:</w:t>
            </w:r>
          </w:p>
          <w:p w14:paraId="7E360D13" w14:textId="77777777" w:rsidR="001247D9" w:rsidRPr="00E562E1" w:rsidRDefault="001247D9" w:rsidP="00657361">
            <w:pPr>
              <w:rPr>
                <w:rFonts w:asciiTheme="minorBidi" w:hAnsiTheme="minorBidi"/>
                <w:b/>
                <w:bCs/>
                <w:sz w:val="18"/>
                <w:szCs w:val="18"/>
                <w:lang w:val="en-US"/>
              </w:rPr>
            </w:pPr>
            <w:r w:rsidRPr="006F5431">
              <w:rPr>
                <w:rFonts w:asciiTheme="minorBidi" w:hAnsiTheme="minorBidi"/>
                <w:b/>
                <w:bCs/>
                <w:color w:val="156082" w:themeColor="accent1"/>
                <w:sz w:val="18"/>
                <w:szCs w:val="18"/>
              </w:rPr>
              <w:t>Demand-side engagement</w:t>
            </w:r>
          </w:p>
        </w:tc>
        <w:tc>
          <w:tcPr>
            <w:tcW w:w="2609" w:type="dxa"/>
          </w:tcPr>
          <w:p w14:paraId="7AA08A89" w14:textId="462DAB4D" w:rsidR="001247D9" w:rsidRPr="006F5431" w:rsidRDefault="001247D9" w:rsidP="00657361">
            <w:pPr>
              <w:rPr>
                <w:rFonts w:asciiTheme="minorBidi" w:hAnsiTheme="minorBidi"/>
                <w:color w:val="156082" w:themeColor="accent1"/>
                <w:sz w:val="18"/>
                <w:szCs w:val="18"/>
              </w:rPr>
            </w:pPr>
            <w:r w:rsidRPr="006F5431">
              <w:rPr>
                <w:rFonts w:asciiTheme="minorBidi" w:hAnsiTheme="minorBidi"/>
                <w:color w:val="156082" w:themeColor="accent1"/>
                <w:sz w:val="18"/>
                <w:szCs w:val="18"/>
              </w:rPr>
              <w:t xml:space="preserve">Stage </w:t>
            </w:r>
            <w:r w:rsidR="00B723B0">
              <w:rPr>
                <w:rFonts w:asciiTheme="minorBidi" w:hAnsiTheme="minorBidi"/>
                <w:color w:val="156082" w:themeColor="accent1"/>
                <w:sz w:val="18"/>
                <w:szCs w:val="18"/>
              </w:rPr>
              <w:t>4a</w:t>
            </w:r>
            <w:r w:rsidRPr="006F5431">
              <w:rPr>
                <w:rFonts w:asciiTheme="minorBidi" w:hAnsiTheme="minorBidi"/>
                <w:color w:val="156082" w:themeColor="accent1"/>
                <w:sz w:val="18"/>
                <w:szCs w:val="18"/>
              </w:rPr>
              <w:t xml:space="preserve"> report:</w:t>
            </w:r>
          </w:p>
          <w:p w14:paraId="7BEF948A" w14:textId="76599D85" w:rsidR="001247D9" w:rsidRPr="00E562E1" w:rsidRDefault="004A1209" w:rsidP="00657361">
            <w:pPr>
              <w:rPr>
                <w:rFonts w:asciiTheme="minorBidi" w:hAnsiTheme="minorBidi"/>
                <w:b/>
                <w:bCs/>
                <w:sz w:val="18"/>
                <w:szCs w:val="18"/>
                <w:lang w:val="en-US"/>
              </w:rPr>
            </w:pPr>
            <w:r>
              <w:rPr>
                <w:rFonts w:asciiTheme="minorBidi" w:hAnsiTheme="minorBidi"/>
                <w:b/>
                <w:bCs/>
                <w:color w:val="156082" w:themeColor="accent1"/>
                <w:sz w:val="18"/>
                <w:szCs w:val="18"/>
              </w:rPr>
              <w:t xml:space="preserve">Demand-side </w:t>
            </w:r>
            <w:r w:rsidR="00004974">
              <w:rPr>
                <w:rFonts w:asciiTheme="minorBidi" w:hAnsiTheme="minorBidi"/>
                <w:b/>
                <w:bCs/>
                <w:color w:val="156082" w:themeColor="accent1"/>
                <w:sz w:val="18"/>
                <w:szCs w:val="18"/>
              </w:rPr>
              <w:t>engagement</w:t>
            </w:r>
            <w:r>
              <w:rPr>
                <w:rFonts w:asciiTheme="minorBidi" w:hAnsiTheme="minorBidi"/>
                <w:b/>
                <w:bCs/>
                <w:color w:val="156082" w:themeColor="accent1"/>
                <w:sz w:val="18"/>
                <w:szCs w:val="18"/>
              </w:rPr>
              <w:t xml:space="preserve"> </w:t>
            </w:r>
            <w:r w:rsidR="00004974">
              <w:rPr>
                <w:rFonts w:asciiTheme="minorBidi" w:hAnsiTheme="minorBidi"/>
                <w:b/>
                <w:bCs/>
                <w:color w:val="156082" w:themeColor="accent1"/>
                <w:sz w:val="18"/>
                <w:szCs w:val="18"/>
              </w:rPr>
              <w:t>options</w:t>
            </w:r>
          </w:p>
        </w:tc>
        <w:tc>
          <w:tcPr>
            <w:tcW w:w="2591" w:type="dxa"/>
          </w:tcPr>
          <w:p w14:paraId="31226C31" w14:textId="77777777" w:rsidR="001247D9" w:rsidRPr="00F36468" w:rsidRDefault="001247D9" w:rsidP="00657361">
            <w:pPr>
              <w:rPr>
                <w:rFonts w:asciiTheme="minorBidi" w:hAnsiTheme="minorBidi"/>
                <w:color w:val="156082" w:themeColor="accent1"/>
                <w:sz w:val="18"/>
                <w:szCs w:val="18"/>
              </w:rPr>
            </w:pPr>
            <w:r w:rsidRPr="00F36468">
              <w:rPr>
                <w:rFonts w:asciiTheme="minorBidi" w:hAnsiTheme="minorBidi"/>
                <w:color w:val="156082" w:themeColor="accent1"/>
                <w:sz w:val="18"/>
                <w:szCs w:val="18"/>
              </w:rPr>
              <w:t>Last updated:</w:t>
            </w:r>
          </w:p>
          <w:p w14:paraId="109D6999" w14:textId="41D5880B" w:rsidR="001247D9" w:rsidRPr="00F36468" w:rsidRDefault="00F36468" w:rsidP="00657361">
            <w:pPr>
              <w:rPr>
                <w:rFonts w:asciiTheme="minorBidi" w:hAnsiTheme="minorBidi"/>
                <w:b/>
                <w:bCs/>
                <w:color w:val="156082" w:themeColor="accent1"/>
                <w:sz w:val="18"/>
                <w:szCs w:val="18"/>
              </w:rPr>
            </w:pPr>
            <w:r w:rsidRPr="00F36468">
              <w:rPr>
                <w:rFonts w:asciiTheme="minorBidi" w:hAnsiTheme="minorBidi"/>
                <w:b/>
                <w:bCs/>
                <w:color w:val="156082" w:themeColor="accent1"/>
                <w:sz w:val="18"/>
                <w:szCs w:val="18"/>
              </w:rPr>
              <w:t>20</w:t>
            </w:r>
            <w:r w:rsidR="009249F4" w:rsidRPr="00F36468">
              <w:rPr>
                <w:rFonts w:asciiTheme="minorBidi" w:hAnsiTheme="minorBidi"/>
                <w:b/>
                <w:bCs/>
                <w:color w:val="156082" w:themeColor="accent1"/>
                <w:sz w:val="18"/>
                <w:szCs w:val="18"/>
              </w:rPr>
              <w:t xml:space="preserve"> May</w:t>
            </w:r>
            <w:r w:rsidR="001247D9" w:rsidRPr="00F36468">
              <w:rPr>
                <w:rFonts w:asciiTheme="minorBidi" w:hAnsiTheme="minorBidi"/>
                <w:b/>
                <w:bCs/>
                <w:color w:val="156082" w:themeColor="accent1"/>
                <w:sz w:val="18"/>
                <w:szCs w:val="18"/>
              </w:rPr>
              <w:t xml:space="preserve"> 2025</w:t>
            </w:r>
          </w:p>
        </w:tc>
        <w:tc>
          <w:tcPr>
            <w:tcW w:w="2159" w:type="dxa"/>
          </w:tcPr>
          <w:p w14:paraId="01E8C53D" w14:textId="77777777" w:rsidR="001247D9" w:rsidRPr="00532C56" w:rsidRDefault="001247D9" w:rsidP="00657361">
            <w:pPr>
              <w:rPr>
                <w:rFonts w:asciiTheme="minorBidi" w:hAnsiTheme="minorBidi"/>
                <w:color w:val="156082" w:themeColor="accent1"/>
                <w:sz w:val="18"/>
                <w:szCs w:val="18"/>
              </w:rPr>
            </w:pPr>
            <w:r w:rsidRPr="00532C56">
              <w:rPr>
                <w:rFonts w:asciiTheme="minorBidi" w:hAnsiTheme="minorBidi"/>
                <w:color w:val="156082" w:themeColor="accent1"/>
                <w:sz w:val="18"/>
                <w:szCs w:val="18"/>
              </w:rPr>
              <w:t>Consultation window:</w:t>
            </w:r>
          </w:p>
          <w:p w14:paraId="59E3608B" w14:textId="3B9CA450" w:rsidR="001247D9" w:rsidRPr="00532C56" w:rsidRDefault="00F91A05" w:rsidP="00657361">
            <w:pPr>
              <w:rPr>
                <w:rFonts w:asciiTheme="minorBidi" w:hAnsiTheme="minorBidi"/>
                <w:b/>
                <w:bCs/>
                <w:color w:val="156082" w:themeColor="accent1"/>
                <w:sz w:val="18"/>
                <w:szCs w:val="18"/>
              </w:rPr>
            </w:pPr>
            <w:r w:rsidRPr="00532C56">
              <w:rPr>
                <w:rFonts w:asciiTheme="minorBidi" w:hAnsiTheme="minorBidi"/>
                <w:b/>
                <w:bCs/>
                <w:color w:val="156082" w:themeColor="accent1"/>
                <w:sz w:val="18"/>
                <w:szCs w:val="18"/>
              </w:rPr>
              <w:t>2</w:t>
            </w:r>
            <w:r w:rsidR="004779A2">
              <w:rPr>
                <w:rFonts w:asciiTheme="minorBidi" w:hAnsiTheme="minorBidi"/>
                <w:b/>
                <w:bCs/>
                <w:color w:val="156082" w:themeColor="accent1"/>
                <w:sz w:val="18"/>
                <w:szCs w:val="18"/>
              </w:rPr>
              <w:t>6</w:t>
            </w:r>
            <w:r w:rsidRPr="00532C56">
              <w:rPr>
                <w:rFonts w:asciiTheme="minorBidi" w:hAnsiTheme="minorBidi"/>
                <w:b/>
                <w:bCs/>
                <w:color w:val="156082" w:themeColor="accent1"/>
                <w:sz w:val="18"/>
                <w:szCs w:val="18"/>
              </w:rPr>
              <w:t>-</w:t>
            </w:r>
            <w:r w:rsidR="003B2EDD">
              <w:rPr>
                <w:rFonts w:asciiTheme="minorBidi" w:hAnsiTheme="minorBidi"/>
                <w:b/>
                <w:bCs/>
                <w:color w:val="156082" w:themeColor="accent1"/>
                <w:sz w:val="18"/>
                <w:szCs w:val="18"/>
              </w:rPr>
              <w:t>30</w:t>
            </w:r>
            <w:r w:rsidRPr="00532C56">
              <w:rPr>
                <w:rFonts w:asciiTheme="minorBidi" w:hAnsiTheme="minorBidi"/>
                <w:b/>
                <w:bCs/>
                <w:color w:val="156082" w:themeColor="accent1"/>
                <w:sz w:val="18"/>
                <w:szCs w:val="18"/>
              </w:rPr>
              <w:t xml:space="preserve"> </w:t>
            </w:r>
            <w:r w:rsidR="00004974" w:rsidRPr="00532C56">
              <w:rPr>
                <w:rFonts w:asciiTheme="minorBidi" w:hAnsiTheme="minorBidi"/>
                <w:b/>
                <w:bCs/>
                <w:color w:val="156082" w:themeColor="accent1"/>
                <w:sz w:val="18"/>
                <w:szCs w:val="18"/>
              </w:rPr>
              <w:t>May2025</w:t>
            </w:r>
          </w:p>
        </w:tc>
      </w:tr>
    </w:tbl>
    <w:p w14:paraId="6D926EE3" w14:textId="77777777" w:rsidR="000960BB" w:rsidRDefault="000960BB" w:rsidP="00E05108">
      <w:pPr>
        <w:rPr>
          <w:lang w:val="en-US"/>
        </w:rPr>
      </w:pPr>
    </w:p>
    <w:p w14:paraId="1E26B5D1" w14:textId="77777777" w:rsidR="001247D9" w:rsidRDefault="001247D9" w:rsidP="009434A6">
      <w:pPr>
        <w:spacing w:after="240" w:line="240" w:lineRule="auto"/>
        <w:rPr>
          <w:rFonts w:asciiTheme="minorBidi" w:hAnsiTheme="minorBidi"/>
          <w:b/>
          <w:bCs/>
          <w:color w:val="0B769F" w:themeColor="accent4" w:themeShade="BF"/>
          <w:lang w:val="en-US"/>
        </w:rPr>
      </w:pPr>
      <w:r>
        <w:rPr>
          <w:rFonts w:asciiTheme="minorBidi" w:hAnsiTheme="minorBidi"/>
          <w:b/>
          <w:bCs/>
          <w:color w:val="0B769F" w:themeColor="accent4" w:themeShade="BF"/>
          <w:lang w:val="en-US"/>
        </w:rPr>
        <w:t>EXECUTIVE SUMMARY</w:t>
      </w:r>
    </w:p>
    <w:p w14:paraId="40ACE22E" w14:textId="77777777" w:rsidR="00DC467A" w:rsidRDefault="00C9585C" w:rsidP="00D35A73">
      <w:pPr>
        <w:spacing w:after="120" w:line="240" w:lineRule="auto"/>
        <w:rPr>
          <w:lang w:val="en-AU"/>
        </w:rPr>
      </w:pPr>
      <w:r>
        <w:t xml:space="preserve">The </w:t>
      </w:r>
      <w:hyperlink r:id="rId10">
        <w:r w:rsidRPr="60ABFB10">
          <w:rPr>
            <w:rStyle w:val="normaltextrun"/>
            <w:color w:val="467886"/>
            <w:u w:val="single"/>
          </w:rPr>
          <w:t>Evidence Synthesis Infrastructure Collaborative</w:t>
        </w:r>
      </w:hyperlink>
      <w:r>
        <w:t xml:space="preserve"> (ESIC)</w:t>
      </w:r>
      <w:r w:rsidR="00DC467A" w:rsidRPr="00DC467A">
        <w:rPr>
          <w:rFonts w:ascii="Times New Roman" w:eastAsia="Times New Roman" w:hAnsi="Times New Roman" w:cs="Times New Roman"/>
          <w:kern w:val="0"/>
          <w:lang w:val="en-AU" w:eastAsia="en-AU"/>
          <w14:ligatures w14:val="none"/>
        </w:rPr>
        <w:t xml:space="preserve"> </w:t>
      </w:r>
      <w:r w:rsidR="00DC467A" w:rsidRPr="00DC467A">
        <w:rPr>
          <w:lang w:val="en-AU"/>
        </w:rPr>
        <w:t xml:space="preserve">aims to strengthen the global evidence ecosystem by making evidence synthesis more accessible, timely, relevant, and trusted for decision-makers and end-users. </w:t>
      </w:r>
    </w:p>
    <w:p w14:paraId="750FAF05" w14:textId="3CF19D72" w:rsidR="00E9062A" w:rsidRPr="00F261E2" w:rsidRDefault="00DC467A" w:rsidP="00D35A73">
      <w:pPr>
        <w:spacing w:after="120" w:line="240" w:lineRule="auto"/>
        <w:rPr>
          <w:szCs w:val="30"/>
          <w:lang w:val="en-AU" w:bidi="th-TH"/>
        </w:rPr>
      </w:pPr>
      <w:r w:rsidRPr="00DC467A">
        <w:rPr>
          <w:lang w:val="en-AU"/>
        </w:rPr>
        <w:t xml:space="preserve">This Stage </w:t>
      </w:r>
      <w:r w:rsidR="00230D50">
        <w:rPr>
          <w:lang w:val="en-AU"/>
        </w:rPr>
        <w:t>4</w:t>
      </w:r>
      <w:r w:rsidR="00FE2E02">
        <w:rPr>
          <w:lang w:val="en-AU"/>
        </w:rPr>
        <w:t>a</w:t>
      </w:r>
      <w:r w:rsidRPr="00DC467A">
        <w:rPr>
          <w:lang w:val="en-AU"/>
        </w:rPr>
        <w:t xml:space="preserve"> report, developed by Working Group 1 on Demand-Side Engagement, </w:t>
      </w:r>
      <w:r w:rsidR="00E9062A" w:rsidRPr="00F261E2">
        <w:rPr>
          <w:szCs w:val="30"/>
          <w:lang w:val="en-AU" w:bidi="th-TH"/>
        </w:rPr>
        <w:t>refines and prioriti</w:t>
      </w:r>
      <w:r w:rsidR="00E9062A" w:rsidRPr="00E9062A">
        <w:rPr>
          <w:szCs w:val="30"/>
          <w:lang w:val="en-AU" w:bidi="th-TH"/>
        </w:rPr>
        <w:t>s</w:t>
      </w:r>
      <w:r w:rsidR="00E9062A" w:rsidRPr="00F261E2">
        <w:rPr>
          <w:szCs w:val="30"/>
          <w:lang w:val="en-AU" w:bidi="th-TH"/>
        </w:rPr>
        <w:t xml:space="preserve">es options for enhancing engagement with evidence users across sectors and regions. Drawing from prior assessments and consultations, the report </w:t>
      </w:r>
      <w:r w:rsidR="00C95B31">
        <w:rPr>
          <w:szCs w:val="30"/>
          <w:lang w:val="en-AU" w:bidi="th-TH"/>
        </w:rPr>
        <w:t xml:space="preserve">presents </w:t>
      </w:r>
      <w:r w:rsidR="00E9062A" w:rsidRPr="00F261E2">
        <w:rPr>
          <w:szCs w:val="30"/>
          <w:lang w:val="en-AU" w:bidi="th-TH"/>
        </w:rPr>
        <w:t xml:space="preserve">regional secretariats, intermediary support, and co-design labs function as interconnected components addressing different levels of the </w:t>
      </w:r>
      <w:r w:rsidR="00C95B31">
        <w:rPr>
          <w:szCs w:val="30"/>
          <w:lang w:val="en-AU" w:bidi="th-TH"/>
        </w:rPr>
        <w:t>evidence eco</w:t>
      </w:r>
      <w:r w:rsidR="00E9062A" w:rsidRPr="00F261E2">
        <w:rPr>
          <w:szCs w:val="30"/>
          <w:lang w:val="en-AU" w:bidi="th-TH"/>
        </w:rPr>
        <w:t>system:</w:t>
      </w:r>
    </w:p>
    <w:p w14:paraId="75BA3D70" w14:textId="0D233B5F" w:rsidR="00E9062A" w:rsidRPr="00E9062A" w:rsidRDefault="00E9062A" w:rsidP="00D35A73">
      <w:pPr>
        <w:numPr>
          <w:ilvl w:val="0"/>
          <w:numId w:val="39"/>
        </w:numPr>
        <w:tabs>
          <w:tab w:val="clear" w:pos="360"/>
          <w:tab w:val="num" w:pos="720"/>
        </w:tabs>
        <w:spacing w:after="120" w:line="240" w:lineRule="auto"/>
        <w:ind w:left="357" w:hanging="357"/>
        <w:rPr>
          <w:szCs w:val="30"/>
          <w:lang w:val="en-AU" w:bidi="th-TH"/>
        </w:rPr>
      </w:pPr>
      <w:r w:rsidRPr="00E9062A">
        <w:rPr>
          <w:b/>
          <w:bCs/>
          <w:szCs w:val="30"/>
          <w:lang w:val="en-AU" w:bidi="th-TH"/>
        </w:rPr>
        <w:t>System-Level: Regional Demand-Side Secretariats</w:t>
      </w:r>
      <w:r w:rsidRPr="00E9062A">
        <w:rPr>
          <w:szCs w:val="30"/>
          <w:lang w:val="en-AU" w:bidi="th-TH"/>
        </w:rPr>
        <w:t xml:space="preserve"> – These governance structures </w:t>
      </w:r>
      <w:r w:rsidR="0071119A">
        <w:rPr>
          <w:szCs w:val="30"/>
          <w:lang w:val="en-AU" w:bidi="th-TH"/>
        </w:rPr>
        <w:t xml:space="preserve">can </w:t>
      </w:r>
      <w:r w:rsidRPr="00E9062A">
        <w:rPr>
          <w:szCs w:val="30"/>
          <w:lang w:val="en-AU" w:bidi="th-TH"/>
        </w:rPr>
        <w:t>provide coordinated oversight and legitimacy, ensuring cross-sectoral learning and responsiveness to evidence needs.</w:t>
      </w:r>
    </w:p>
    <w:p w14:paraId="04D3DDD0" w14:textId="0C679286" w:rsidR="00E9062A" w:rsidRPr="00E9062A" w:rsidRDefault="00E9062A" w:rsidP="00D35A73">
      <w:pPr>
        <w:numPr>
          <w:ilvl w:val="0"/>
          <w:numId w:val="39"/>
        </w:numPr>
        <w:tabs>
          <w:tab w:val="clear" w:pos="360"/>
          <w:tab w:val="num" w:pos="720"/>
        </w:tabs>
        <w:spacing w:after="120" w:line="240" w:lineRule="auto"/>
        <w:ind w:left="357" w:hanging="357"/>
        <w:rPr>
          <w:szCs w:val="30"/>
          <w:lang w:val="en-AU" w:bidi="th-TH"/>
        </w:rPr>
      </w:pPr>
      <w:r w:rsidRPr="00E9062A">
        <w:rPr>
          <w:b/>
          <w:bCs/>
          <w:szCs w:val="30"/>
          <w:lang w:val="en-AU" w:bidi="th-TH"/>
        </w:rPr>
        <w:t>Mid-Level: Support to Intermediaries</w:t>
      </w:r>
      <w:r w:rsidRPr="00E9062A">
        <w:rPr>
          <w:szCs w:val="30"/>
          <w:lang w:val="en-AU" w:bidi="th-TH"/>
        </w:rPr>
        <w:t xml:space="preserve"> – Strengthening capacity-building efforts enhances the ability of evidence intermediaries to bridge gaps between producers and end-users, making evidence more </w:t>
      </w:r>
      <w:r w:rsidR="00995BC4">
        <w:rPr>
          <w:szCs w:val="30"/>
          <w:lang w:val="en-AU" w:bidi="th-TH"/>
        </w:rPr>
        <w:t xml:space="preserve">accessible and </w:t>
      </w:r>
      <w:r w:rsidRPr="00E9062A">
        <w:rPr>
          <w:szCs w:val="30"/>
          <w:lang w:val="en-AU" w:bidi="th-TH"/>
        </w:rPr>
        <w:t>actionable.</w:t>
      </w:r>
    </w:p>
    <w:p w14:paraId="4EF12C3C" w14:textId="77777777" w:rsidR="00E9062A" w:rsidRDefault="00E9062A" w:rsidP="00D35A73">
      <w:pPr>
        <w:numPr>
          <w:ilvl w:val="0"/>
          <w:numId w:val="39"/>
        </w:numPr>
        <w:tabs>
          <w:tab w:val="clear" w:pos="360"/>
          <w:tab w:val="num" w:pos="720"/>
        </w:tabs>
        <w:spacing w:after="120" w:line="240" w:lineRule="auto"/>
        <w:ind w:left="357" w:hanging="357"/>
        <w:rPr>
          <w:szCs w:val="30"/>
          <w:lang w:val="en-AU" w:bidi="th-TH"/>
        </w:rPr>
      </w:pPr>
      <w:r w:rsidRPr="00E9062A">
        <w:rPr>
          <w:b/>
          <w:bCs/>
          <w:szCs w:val="30"/>
          <w:lang w:val="en-AU" w:bidi="th-TH"/>
        </w:rPr>
        <w:t>Local-Level: Co-Design Labs</w:t>
      </w:r>
      <w:r w:rsidRPr="00E9062A">
        <w:rPr>
          <w:szCs w:val="30"/>
          <w:lang w:val="en-AU" w:bidi="th-TH"/>
        </w:rPr>
        <w:t xml:space="preserve"> – Frontline engagement spaces that facilitate direct collaboration between researchers, policymakers, and citizens, ensuring evidence is relevant and effectively integrated into decision-making.</w:t>
      </w:r>
    </w:p>
    <w:p w14:paraId="195DF325" w14:textId="71661A32" w:rsidR="00E9062A" w:rsidRPr="00E9062A" w:rsidRDefault="00E611EB" w:rsidP="00D35A73">
      <w:pPr>
        <w:spacing w:after="120" w:line="240" w:lineRule="auto"/>
        <w:rPr>
          <w:lang w:val="en-AU" w:bidi="th-TH"/>
        </w:rPr>
      </w:pPr>
      <w:r w:rsidRPr="26585FB6">
        <w:rPr>
          <w:lang w:val="en-AU" w:bidi="th-TH"/>
        </w:rPr>
        <w:t xml:space="preserve">The remaining options of offering </w:t>
      </w:r>
      <w:r w:rsidRPr="26585FB6">
        <w:rPr>
          <w:b/>
          <w:lang w:val="en-AU" w:bidi="th-TH"/>
        </w:rPr>
        <w:t>small grants</w:t>
      </w:r>
      <w:r w:rsidR="6C35C271" w:rsidRPr="26585FB6">
        <w:rPr>
          <w:b/>
          <w:lang w:val="en-AU" w:bidi="th-TH"/>
        </w:rPr>
        <w:t xml:space="preserve"> </w:t>
      </w:r>
      <w:r w:rsidR="6C35C271" w:rsidRPr="26585FB6">
        <w:rPr>
          <w:b/>
          <w:bCs/>
          <w:lang w:val="en-AU" w:bidi="th-TH"/>
        </w:rPr>
        <w:t>to evidence intermediaries</w:t>
      </w:r>
      <w:r w:rsidR="780405A4" w:rsidRPr="26585FB6">
        <w:rPr>
          <w:b/>
          <w:bCs/>
          <w:lang w:val="en-AU" w:bidi="th-TH"/>
        </w:rPr>
        <w:t xml:space="preserve"> and end users</w:t>
      </w:r>
      <w:r w:rsidRPr="26585FB6">
        <w:rPr>
          <w:lang w:val="en-AU" w:bidi="th-TH"/>
        </w:rPr>
        <w:t xml:space="preserve"> and </w:t>
      </w:r>
      <w:r w:rsidRPr="26585FB6">
        <w:rPr>
          <w:b/>
          <w:lang w:val="en-AU" w:bidi="th-TH"/>
        </w:rPr>
        <w:t>developing repositories</w:t>
      </w:r>
      <w:r w:rsidR="14F646B6" w:rsidRPr="26585FB6">
        <w:rPr>
          <w:b/>
          <w:lang w:val="en-AU" w:bidi="th-TH"/>
        </w:rPr>
        <w:t xml:space="preserve"> </w:t>
      </w:r>
      <w:r w:rsidR="14F646B6" w:rsidRPr="26585FB6">
        <w:rPr>
          <w:b/>
          <w:bCs/>
          <w:lang w:val="en-AU" w:bidi="th-TH"/>
        </w:rPr>
        <w:t>of priority themes or questions</w:t>
      </w:r>
      <w:r w:rsidRPr="26585FB6">
        <w:rPr>
          <w:lang w:val="en-AU" w:bidi="th-TH"/>
        </w:rPr>
        <w:t xml:space="preserve"> can be used as flexible local options or developed as capability is embedded as </w:t>
      </w:r>
      <w:r w:rsidR="00FE2E02" w:rsidRPr="26585FB6">
        <w:rPr>
          <w:lang w:val="en-AU" w:bidi="th-TH"/>
        </w:rPr>
        <w:t xml:space="preserve">key actions </w:t>
      </w:r>
      <w:r w:rsidR="00D76656">
        <w:rPr>
          <w:lang w:val="en-AU" w:bidi="th-TH"/>
        </w:rPr>
        <w:t>within</w:t>
      </w:r>
      <w:r w:rsidR="00D76656" w:rsidRPr="26585FB6">
        <w:rPr>
          <w:lang w:val="en-AU" w:bidi="th-TH"/>
        </w:rPr>
        <w:t xml:space="preserve"> </w:t>
      </w:r>
      <w:r w:rsidR="00FE2E02" w:rsidRPr="26585FB6">
        <w:rPr>
          <w:lang w:val="en-AU" w:bidi="th-TH"/>
        </w:rPr>
        <w:t xml:space="preserve">the above options. </w:t>
      </w:r>
    </w:p>
    <w:p w14:paraId="153AD211" w14:textId="77777777" w:rsidR="00E9062A" w:rsidRPr="00E9062A" w:rsidRDefault="00E9062A" w:rsidP="00D35A73">
      <w:pPr>
        <w:spacing w:after="120" w:line="240" w:lineRule="auto"/>
        <w:rPr>
          <w:szCs w:val="30"/>
          <w:lang w:val="en-AU" w:bidi="th-TH"/>
        </w:rPr>
      </w:pPr>
      <w:r w:rsidRPr="00E9062A">
        <w:rPr>
          <w:szCs w:val="30"/>
          <w:lang w:val="en-AU" w:bidi="th-TH"/>
        </w:rPr>
        <w:t>The report recommends a two-track approach to implementation:</w:t>
      </w:r>
    </w:p>
    <w:p w14:paraId="0C99889B" w14:textId="2DB88388" w:rsidR="00E9062A" w:rsidRPr="00E9062A" w:rsidRDefault="00E9062A" w:rsidP="00D35A73">
      <w:pPr>
        <w:numPr>
          <w:ilvl w:val="0"/>
          <w:numId w:val="40"/>
        </w:numPr>
        <w:tabs>
          <w:tab w:val="clear" w:pos="360"/>
          <w:tab w:val="num" w:pos="720"/>
        </w:tabs>
        <w:spacing w:after="120" w:line="240" w:lineRule="auto"/>
        <w:ind w:left="357" w:hanging="357"/>
        <w:rPr>
          <w:szCs w:val="30"/>
          <w:lang w:val="en-AU" w:bidi="th-TH"/>
        </w:rPr>
      </w:pPr>
      <w:r w:rsidRPr="00E9062A">
        <w:rPr>
          <w:szCs w:val="30"/>
          <w:lang w:val="en-AU" w:bidi="th-TH"/>
        </w:rPr>
        <w:t xml:space="preserve">A regional call for partners to identify established actors who can </w:t>
      </w:r>
      <w:r w:rsidR="00A372F5">
        <w:rPr>
          <w:szCs w:val="30"/>
          <w:lang w:val="en-AU" w:bidi="th-TH"/>
        </w:rPr>
        <w:t>strengthen or expand</w:t>
      </w:r>
      <w:r w:rsidRPr="00E9062A">
        <w:rPr>
          <w:szCs w:val="30"/>
          <w:lang w:val="en-AU" w:bidi="th-TH"/>
        </w:rPr>
        <w:t xml:space="preserve"> demand-side engagement efforts </w:t>
      </w:r>
      <w:r w:rsidR="00B36662">
        <w:rPr>
          <w:szCs w:val="30"/>
          <w:lang w:val="en-AU" w:bidi="th-TH"/>
        </w:rPr>
        <w:t>drawing from</w:t>
      </w:r>
      <w:r w:rsidR="000615F3">
        <w:rPr>
          <w:szCs w:val="30"/>
          <w:lang w:val="en-AU" w:bidi="th-TH"/>
        </w:rPr>
        <w:t xml:space="preserve"> regions and </w:t>
      </w:r>
      <w:r w:rsidRPr="00E9062A">
        <w:rPr>
          <w:szCs w:val="30"/>
          <w:lang w:val="en-AU" w:bidi="th-TH"/>
        </w:rPr>
        <w:t>sectors with strong existing expertise.</w:t>
      </w:r>
    </w:p>
    <w:p w14:paraId="791A5F26" w14:textId="273B92DF" w:rsidR="00E9062A" w:rsidRPr="00E9062A" w:rsidRDefault="00E9062A" w:rsidP="00D35A73">
      <w:pPr>
        <w:numPr>
          <w:ilvl w:val="0"/>
          <w:numId w:val="40"/>
        </w:numPr>
        <w:tabs>
          <w:tab w:val="clear" w:pos="360"/>
          <w:tab w:val="num" w:pos="720"/>
        </w:tabs>
        <w:spacing w:after="120" w:line="240" w:lineRule="auto"/>
        <w:ind w:left="357" w:hanging="357"/>
        <w:rPr>
          <w:szCs w:val="30"/>
          <w:lang w:val="en-AU" w:bidi="th-TH"/>
        </w:rPr>
      </w:pPr>
      <w:r w:rsidRPr="00E9062A">
        <w:rPr>
          <w:szCs w:val="30"/>
          <w:lang w:val="en-AU" w:bidi="th-TH"/>
        </w:rPr>
        <w:t xml:space="preserve">Targeted investment in new </w:t>
      </w:r>
      <w:r w:rsidR="00930097">
        <w:rPr>
          <w:szCs w:val="30"/>
          <w:lang w:val="en-AU" w:bidi="th-TH"/>
        </w:rPr>
        <w:t>or emerging</w:t>
      </w:r>
      <w:r w:rsidRPr="00E9062A">
        <w:rPr>
          <w:szCs w:val="30"/>
          <w:lang w:val="en-AU" w:bidi="th-TH"/>
        </w:rPr>
        <w:t xml:space="preserve"> </w:t>
      </w:r>
      <w:r w:rsidR="005858C1">
        <w:rPr>
          <w:szCs w:val="30"/>
          <w:lang w:val="en-AU" w:bidi="th-TH"/>
        </w:rPr>
        <w:t>‘bodies’</w:t>
      </w:r>
      <w:r w:rsidRPr="00E9062A">
        <w:rPr>
          <w:szCs w:val="30"/>
          <w:lang w:val="en-AU" w:bidi="th-TH"/>
        </w:rPr>
        <w:t xml:space="preserve"> where sectoral interest is high</w:t>
      </w:r>
      <w:r w:rsidR="005617FF">
        <w:rPr>
          <w:szCs w:val="30"/>
          <w:lang w:val="en-AU" w:bidi="th-TH"/>
        </w:rPr>
        <w:t>,</w:t>
      </w:r>
      <w:r w:rsidRPr="00E9062A">
        <w:rPr>
          <w:szCs w:val="30"/>
          <w:lang w:val="en-AU" w:bidi="th-TH"/>
        </w:rPr>
        <w:t xml:space="preserve"> but capability remains weak, requiring operational funding and capacity-building efforts.</w:t>
      </w:r>
    </w:p>
    <w:p w14:paraId="7F578F23" w14:textId="21DA22DE" w:rsidR="000B1F9F" w:rsidRDefault="000B1F9F" w:rsidP="00D35A73">
      <w:pPr>
        <w:spacing w:after="120" w:line="240" w:lineRule="auto"/>
        <w:rPr>
          <w:lang w:val="en-AU" w:bidi="th-TH"/>
        </w:rPr>
      </w:pPr>
      <w:r w:rsidRPr="7FBCBF42">
        <w:rPr>
          <w:lang w:val="en-AU" w:bidi="th-TH"/>
        </w:rPr>
        <w:t xml:space="preserve">This approach also responds to persistent disparities between sectors, recognising that while areas like health and development have formalised systems and </w:t>
      </w:r>
      <w:r w:rsidR="52701C21" w:rsidRPr="7FBCBF42">
        <w:rPr>
          <w:lang w:val="en-AU" w:bidi="th-TH"/>
        </w:rPr>
        <w:t xml:space="preserve">evidence </w:t>
      </w:r>
      <w:r w:rsidRPr="7FBCBF42">
        <w:rPr>
          <w:lang w:val="en-AU" w:bidi="th-TH"/>
        </w:rPr>
        <w:t>intermediaries, others such as the environment, education, and humanitarian response require foundational investments to engage effectively with synthesis processes.</w:t>
      </w:r>
    </w:p>
    <w:p w14:paraId="3A0021C7" w14:textId="189AA278" w:rsidR="00DC467A" w:rsidRDefault="00E9062A" w:rsidP="00D35A73">
      <w:pPr>
        <w:spacing w:after="120" w:line="240" w:lineRule="auto"/>
      </w:pPr>
      <w:r w:rsidRPr="00E9062A">
        <w:rPr>
          <w:szCs w:val="30"/>
          <w:lang w:val="en-AU" w:bidi="th-TH"/>
        </w:rPr>
        <w:t>Stage 4b will focus on costing the proposed options, leading to a final report (Stage 5) for review in Cape Town in June 2025, where stakeholders will finalize investment strategies for scaling demand-side engagement globally.</w:t>
      </w:r>
    </w:p>
    <w:p w14:paraId="128C0DB3" w14:textId="77777777" w:rsidR="00230D50" w:rsidRDefault="00230D50">
      <w:pPr>
        <w:rPr>
          <w:rFonts w:eastAsiaTheme="majorEastAsia" w:cstheme="majorBidi"/>
          <w:color w:val="0F4761" w:themeColor="accent1" w:themeShade="BF"/>
          <w:sz w:val="28"/>
          <w:szCs w:val="28"/>
        </w:rPr>
      </w:pPr>
      <w:r>
        <w:br w:type="page"/>
      </w:r>
    </w:p>
    <w:p w14:paraId="6ECB0CBF" w14:textId="1D5CF768" w:rsidR="00DC2D46" w:rsidRDefault="00DC2D46" w:rsidP="00DC2D46">
      <w:pPr>
        <w:pStyle w:val="Heading3"/>
      </w:pPr>
      <w:r w:rsidRPr="00EA514E">
        <w:t>Background</w:t>
      </w:r>
      <w:r w:rsidRPr="00854040">
        <w:t> </w:t>
      </w:r>
      <w:r w:rsidR="00D353B2">
        <w:t>to the work</w:t>
      </w:r>
    </w:p>
    <w:p w14:paraId="1CFD5C22" w14:textId="28A9B6D3" w:rsidR="00605499" w:rsidRPr="00605499" w:rsidRDefault="00605499" w:rsidP="00532C56">
      <w:pPr>
        <w:spacing w:before="240"/>
      </w:pPr>
      <w:r w:rsidRPr="001A5375">
        <w:rPr>
          <w:rStyle w:val="normaltextrun"/>
        </w:rPr>
        <w:t xml:space="preserve">The </w:t>
      </w:r>
      <w:hyperlink r:id="rId11">
        <w:r w:rsidRPr="294E72A3">
          <w:rPr>
            <w:rStyle w:val="normaltextrun"/>
            <w:u w:val="single"/>
          </w:rPr>
          <w:t>Evidence Synthesis Infrastructure Collaborative</w:t>
        </w:r>
      </w:hyperlink>
      <w:r w:rsidRPr="001A5375">
        <w:rPr>
          <w:rStyle w:val="normaltextrun"/>
        </w:rPr>
        <w:t xml:space="preserve"> (ESIC) has been established to </w:t>
      </w:r>
      <w:r w:rsidRPr="294E72A3">
        <w:rPr>
          <w:rStyle w:val="normaltextrun"/>
        </w:rPr>
        <w:t xml:space="preserve">support </w:t>
      </w:r>
      <w:r w:rsidRPr="001A5375">
        <w:rPr>
          <w:rStyle w:val="normaltextrun"/>
        </w:rPr>
        <w:t xml:space="preserve">decision-makers and evidence users </w:t>
      </w:r>
      <w:r w:rsidRPr="294E72A3">
        <w:rPr>
          <w:rStyle w:val="normaltextrun"/>
        </w:rPr>
        <w:t xml:space="preserve">to </w:t>
      </w:r>
      <w:r w:rsidRPr="001A5375">
        <w:rPr>
          <w:rStyle w:val="normaltextrun"/>
        </w:rPr>
        <w:t>have timely, relevant, trustworthy, accessible, and affordable evidence syntheses</w:t>
      </w:r>
      <w:r w:rsidRPr="001A5375">
        <w:rPr>
          <w:rFonts w:ascii="Segoe UI" w:hAnsi="Segoe UI"/>
          <w:sz w:val="18"/>
          <w:szCs w:val="18"/>
          <w:lang w:val="en-AU"/>
        </w:rPr>
        <w:t xml:space="preserve"> </w:t>
      </w:r>
      <w:r w:rsidRPr="001A5375">
        <w:rPr>
          <w:lang w:val="en-AU"/>
        </w:rPr>
        <w:t xml:space="preserve">across different </w:t>
      </w:r>
      <w:r>
        <w:rPr>
          <w:lang w:val="en-AU"/>
        </w:rPr>
        <w:t xml:space="preserve">geographical regions, </w:t>
      </w:r>
      <w:r w:rsidRPr="001A5375">
        <w:rPr>
          <w:lang w:val="en-AU"/>
        </w:rPr>
        <w:t>sectors and disciplines</w:t>
      </w:r>
      <w:r w:rsidRPr="001A5375">
        <w:rPr>
          <w:rStyle w:val="normaltextrun"/>
        </w:rPr>
        <w:t>. This six-month planning process</w:t>
      </w:r>
      <w:r>
        <w:rPr>
          <w:rStyle w:val="normaltextrun"/>
        </w:rPr>
        <w:t xml:space="preserve"> (from January to June 2025)</w:t>
      </w:r>
      <w:r w:rsidRPr="001A5375">
        <w:rPr>
          <w:rStyle w:val="normaltextrun"/>
        </w:rPr>
        <w:t xml:space="preserve"> </w:t>
      </w:r>
      <w:r w:rsidRPr="294E72A3">
        <w:rPr>
          <w:rStyle w:val="normaltextrun"/>
        </w:rPr>
        <w:t>seeks to</w:t>
      </w:r>
      <w:r w:rsidRPr="001A5375">
        <w:rPr>
          <w:rStyle w:val="normaltextrun"/>
        </w:rPr>
        <w:t xml:space="preserve"> engage with the ‘demand’ and ‘supply’ sides of evidence as well as evidence intermediaries and funders. ESIC Working Group 1 (Demand-Side Engagement) is focusing on </w:t>
      </w:r>
      <w:r w:rsidRPr="005468D2">
        <w:rPr>
          <w:rStyle w:val="normaltextrun"/>
          <w:b/>
          <w:bCs/>
        </w:rPr>
        <w:t>how to support producers and potential users of evidence synthesis work to better communicate about, and meet, user needs</w:t>
      </w:r>
      <w:r>
        <w:rPr>
          <w:rStyle w:val="normaltextrun"/>
        </w:rPr>
        <w:t xml:space="preserve"> – see Box 1</w:t>
      </w:r>
      <w:r w:rsidRPr="001A5375">
        <w:rPr>
          <w:rStyle w:val="normaltextrun"/>
        </w:rPr>
        <w:t>.</w:t>
      </w:r>
    </w:p>
    <w:tbl>
      <w:tblPr>
        <w:tblStyle w:val="TableGrid"/>
        <w:tblpPr w:leftFromText="180" w:rightFromText="180" w:vertAnchor="text" w:horzAnchor="margin" w:tblpXSpec="right" w:tblpY="91"/>
        <w:tblOverlap w:val="never"/>
        <w:tblW w:w="9634" w:type="dxa"/>
        <w:tblBorders>
          <w:top w:val="none" w:sz="0" w:space="0" w:color="auto"/>
          <w:left w:val="single" w:sz="4" w:space="0" w:color="FFFFFF" w:themeColor="background1"/>
          <w:bottom w:val="none" w:sz="0" w:space="0" w:color="auto"/>
          <w:right w:val="none" w:sz="0" w:space="0" w:color="auto"/>
          <w:insideH w:val="none" w:sz="0" w:space="0" w:color="auto"/>
          <w:insideV w:val="single" w:sz="4" w:space="0" w:color="0B769F" w:themeColor="accent4" w:themeShade="BF"/>
        </w:tblBorders>
        <w:shd w:val="clear" w:color="auto" w:fill="DAE9F7" w:themeFill="text2" w:themeFillTint="1A"/>
        <w:tblCellMar>
          <w:top w:w="142" w:type="dxa"/>
          <w:left w:w="142" w:type="dxa"/>
          <w:bottom w:w="142" w:type="dxa"/>
          <w:right w:w="142" w:type="dxa"/>
        </w:tblCellMar>
        <w:tblLook w:val="04A0" w:firstRow="1" w:lastRow="0" w:firstColumn="1" w:lastColumn="0" w:noHBand="0" w:noVBand="1"/>
      </w:tblPr>
      <w:tblGrid>
        <w:gridCol w:w="9634"/>
      </w:tblGrid>
      <w:tr w:rsidR="005A0473" w14:paraId="711890F3" w14:textId="77777777" w:rsidTr="00532C56">
        <w:tc>
          <w:tcPr>
            <w:tcW w:w="9634" w:type="dxa"/>
            <w:tcBorders>
              <w:bottom w:val="single" w:sz="4" w:space="0" w:color="FFFFFF" w:themeColor="background1"/>
            </w:tcBorders>
            <w:shd w:val="clear" w:color="auto" w:fill="A1D8E7"/>
          </w:tcPr>
          <w:p w14:paraId="43D5833D" w14:textId="77777777" w:rsidR="005A0473" w:rsidRPr="00455322" w:rsidRDefault="005A0473" w:rsidP="005A0473">
            <w:pPr>
              <w:rPr>
                <w:rStyle w:val="normaltextrun"/>
                <w:b/>
                <w:bCs/>
              </w:rPr>
            </w:pPr>
            <w:r w:rsidRPr="00A139DF">
              <w:rPr>
                <w:rStyle w:val="normaltextrun"/>
                <w:b/>
                <w:bCs/>
              </w:rPr>
              <w:t>Box 1. Goals of Working Group 1</w:t>
            </w:r>
          </w:p>
        </w:tc>
      </w:tr>
      <w:tr w:rsidR="005A0473" w14:paraId="5CF739A6" w14:textId="77777777" w:rsidTr="00532C56">
        <w:tc>
          <w:tcPr>
            <w:tcW w:w="9634" w:type="dxa"/>
            <w:tcBorders>
              <w:top w:val="single" w:sz="4" w:space="0" w:color="FFFFFF" w:themeColor="background1"/>
            </w:tcBorders>
            <w:shd w:val="clear" w:color="auto" w:fill="CAEDFB" w:themeFill="accent4" w:themeFillTint="33"/>
          </w:tcPr>
          <w:p w14:paraId="57A235D6" w14:textId="5D415AD3" w:rsidR="294E72A3" w:rsidRPr="006F4CF2" w:rsidRDefault="005A0473" w:rsidP="006F4CF2">
            <w:pPr>
              <w:spacing w:after="120"/>
              <w:jc w:val="both"/>
              <w:rPr>
                <w:rStyle w:val="normaltextrun"/>
                <w:sz w:val="22"/>
                <w:szCs w:val="22"/>
              </w:rPr>
            </w:pPr>
            <w:r w:rsidRPr="006F4CF2">
              <w:rPr>
                <w:rStyle w:val="normaltextrun"/>
                <w:sz w:val="22"/>
                <w:szCs w:val="22"/>
              </w:rPr>
              <w:t xml:space="preserve">The goal of this work is to determine what a high functioning demand-side would look like for </w:t>
            </w:r>
            <w:r w:rsidR="5F9435A9" w:rsidRPr="006F4CF2">
              <w:rPr>
                <w:rStyle w:val="normaltextrun"/>
                <w:sz w:val="22"/>
                <w:szCs w:val="22"/>
              </w:rPr>
              <w:t>the</w:t>
            </w:r>
            <w:r w:rsidRPr="006F4CF2">
              <w:rPr>
                <w:rStyle w:val="normaltextrun"/>
                <w:sz w:val="22"/>
                <w:szCs w:val="22"/>
              </w:rPr>
              <w:t xml:space="preserve"> evidence synthesis ecosystem. The end-state we are striving for is:</w:t>
            </w:r>
          </w:p>
          <w:p w14:paraId="405FE7FD" w14:textId="25A8B1E5" w:rsidR="00173BD7" w:rsidRPr="006F4CF2" w:rsidRDefault="005A0473" w:rsidP="006F4CF2">
            <w:pPr>
              <w:spacing w:after="120"/>
              <w:ind w:left="276"/>
              <w:jc w:val="both"/>
              <w:rPr>
                <w:rStyle w:val="normaltextrun"/>
                <w:i/>
                <w:iCs/>
                <w:sz w:val="22"/>
                <w:szCs w:val="22"/>
              </w:rPr>
            </w:pPr>
            <w:r w:rsidRPr="006F4CF2">
              <w:rPr>
                <w:rStyle w:val="normaltextrun"/>
                <w:i/>
                <w:iCs/>
                <w:sz w:val="22"/>
                <w:szCs w:val="22"/>
              </w:rPr>
              <w:t>“Evidence users are supported and enabled to leverage high quality, up-to-date and rigorous evidence syntheses to improve the likelihood that their decisions and practice are consistently informed by the most current and robust evidence available</w:t>
            </w:r>
            <w:r w:rsidR="005E6B21" w:rsidRPr="006F4CF2">
              <w:rPr>
                <w:rStyle w:val="normaltextrun"/>
                <w:i/>
                <w:iCs/>
                <w:sz w:val="22"/>
                <w:szCs w:val="22"/>
              </w:rPr>
              <w:t>.</w:t>
            </w:r>
            <w:r w:rsidRPr="006F4CF2">
              <w:rPr>
                <w:rStyle w:val="normaltextrun"/>
                <w:i/>
                <w:iCs/>
                <w:sz w:val="22"/>
                <w:szCs w:val="22"/>
              </w:rPr>
              <w:t>”</w:t>
            </w:r>
          </w:p>
          <w:p w14:paraId="0144D707" w14:textId="4B24E507" w:rsidR="009B1A65" w:rsidRPr="006F4CF2" w:rsidRDefault="00806A09" w:rsidP="006F4CF2">
            <w:pPr>
              <w:spacing w:after="120"/>
              <w:jc w:val="both"/>
              <w:rPr>
                <w:rStyle w:val="normaltextrun"/>
                <w:sz w:val="22"/>
                <w:szCs w:val="22"/>
              </w:rPr>
            </w:pPr>
            <w:r w:rsidRPr="006F4CF2">
              <w:rPr>
                <w:rStyle w:val="normaltextrun"/>
                <w:sz w:val="22"/>
                <w:szCs w:val="22"/>
              </w:rPr>
              <w:t xml:space="preserve">To help </w:t>
            </w:r>
            <w:r w:rsidR="480BE1FC" w:rsidRPr="4E613D92">
              <w:rPr>
                <w:rStyle w:val="normaltextrun"/>
                <w:sz w:val="22"/>
                <w:szCs w:val="22"/>
              </w:rPr>
              <w:t>describe</w:t>
            </w:r>
            <w:r w:rsidRPr="006F4CF2">
              <w:rPr>
                <w:rStyle w:val="normaltextrun"/>
                <w:sz w:val="22"/>
                <w:szCs w:val="22"/>
              </w:rPr>
              <w:t xml:space="preserve"> this idea in action – </w:t>
            </w:r>
            <w:r w:rsidR="006B20A8" w:rsidRPr="006F4CF2">
              <w:rPr>
                <w:rStyle w:val="normaltextrun"/>
                <w:sz w:val="22"/>
                <w:szCs w:val="22"/>
              </w:rPr>
              <w:t>(</w:t>
            </w:r>
            <w:r w:rsidRPr="006F4CF2">
              <w:rPr>
                <w:rStyle w:val="normaltextrun"/>
                <w:sz w:val="22"/>
                <w:szCs w:val="22"/>
              </w:rPr>
              <w:t>f</w:t>
            </w:r>
            <w:r w:rsidR="009B1A65" w:rsidRPr="006F4CF2">
              <w:rPr>
                <w:rStyle w:val="normaltextrun"/>
                <w:sz w:val="22"/>
                <w:szCs w:val="22"/>
              </w:rPr>
              <w:t>rom the perspective of an end-user</w:t>
            </w:r>
            <w:r w:rsidR="006B20A8" w:rsidRPr="006F4CF2">
              <w:rPr>
                <w:rStyle w:val="normaltextrun"/>
                <w:sz w:val="22"/>
                <w:szCs w:val="22"/>
              </w:rPr>
              <w:t>)</w:t>
            </w:r>
            <w:r w:rsidR="009B1A65" w:rsidRPr="006F4CF2">
              <w:rPr>
                <w:rStyle w:val="normaltextrun"/>
                <w:sz w:val="22"/>
                <w:szCs w:val="22"/>
              </w:rPr>
              <w:t xml:space="preserve"> the newly improved evidence synthesis ecosystem would </w:t>
            </w:r>
            <w:r w:rsidR="0CDB334A" w:rsidRPr="4E613D92">
              <w:rPr>
                <w:rStyle w:val="normaltextrun"/>
                <w:sz w:val="22"/>
                <w:szCs w:val="22"/>
              </w:rPr>
              <w:t>be</w:t>
            </w:r>
            <w:r w:rsidR="009B1A65" w:rsidRPr="006F4CF2">
              <w:rPr>
                <w:rStyle w:val="normaltextrun"/>
                <w:sz w:val="22"/>
                <w:szCs w:val="22"/>
              </w:rPr>
              <w:t xml:space="preserve"> markedly more responsive, accessible, and empowering. Getting started would be easier by reaching out to </w:t>
            </w:r>
            <w:r w:rsidR="00937929" w:rsidRPr="006F4CF2">
              <w:rPr>
                <w:rStyle w:val="normaltextrun"/>
                <w:sz w:val="22"/>
                <w:szCs w:val="22"/>
              </w:rPr>
              <w:t xml:space="preserve">(or being contacted by) </w:t>
            </w:r>
            <w:r w:rsidR="009B1A65" w:rsidRPr="006F4CF2">
              <w:rPr>
                <w:rStyle w:val="normaltextrun"/>
                <w:sz w:val="22"/>
                <w:szCs w:val="22"/>
              </w:rPr>
              <w:t xml:space="preserve">trusted local evidence </w:t>
            </w:r>
            <w:r w:rsidR="003A5C45" w:rsidRPr="006F4CF2">
              <w:rPr>
                <w:rStyle w:val="normaltextrun"/>
                <w:sz w:val="22"/>
                <w:szCs w:val="22"/>
              </w:rPr>
              <w:t>synthesis</w:t>
            </w:r>
            <w:r w:rsidR="009B1A65" w:rsidRPr="006F4CF2">
              <w:rPr>
                <w:rStyle w:val="normaltextrun"/>
                <w:sz w:val="22"/>
                <w:szCs w:val="22"/>
              </w:rPr>
              <w:t xml:space="preserve"> hubs, </w:t>
            </w:r>
            <w:r w:rsidR="00C570B1" w:rsidRPr="006F4CF2">
              <w:rPr>
                <w:rStyle w:val="normaltextrun"/>
                <w:sz w:val="22"/>
                <w:szCs w:val="22"/>
              </w:rPr>
              <w:t>which</w:t>
            </w:r>
            <w:r w:rsidR="009B1A65" w:rsidRPr="006F4CF2">
              <w:rPr>
                <w:rStyle w:val="normaltextrun"/>
                <w:sz w:val="22"/>
                <w:szCs w:val="22"/>
              </w:rPr>
              <w:t xml:space="preserve"> would assist policymakers</w:t>
            </w:r>
            <w:r w:rsidR="240B0715" w:rsidRPr="4E613D92">
              <w:rPr>
                <w:rStyle w:val="normaltextrun"/>
                <w:sz w:val="22"/>
                <w:szCs w:val="22"/>
              </w:rPr>
              <w:t>, practitioners and citizens</w:t>
            </w:r>
            <w:r w:rsidR="009B1A65" w:rsidRPr="006F4CF2">
              <w:rPr>
                <w:rStyle w:val="normaltextrun"/>
                <w:sz w:val="22"/>
                <w:szCs w:val="22"/>
              </w:rPr>
              <w:t xml:space="preserve"> navigate available evidence resources and connect with the right expertise. Evidence intermediaries would offer implementation support and would ensure that these connections are seamless, translating complex syntheses into clear, actionable guidance tailored to policy contexts. </w:t>
            </w:r>
          </w:p>
          <w:p w14:paraId="304833C8" w14:textId="7A5CF697" w:rsidR="00173BD7" w:rsidRPr="00A139DF" w:rsidRDefault="009B1A65" w:rsidP="006F4CF2">
            <w:pPr>
              <w:spacing w:after="120"/>
              <w:jc w:val="both"/>
              <w:rPr>
                <w:rStyle w:val="normaltextrun"/>
                <w:b/>
                <w:bCs/>
              </w:rPr>
            </w:pPr>
            <w:r w:rsidRPr="006F4CF2">
              <w:rPr>
                <w:rStyle w:val="normaltextrun"/>
                <w:sz w:val="22"/>
                <w:szCs w:val="22"/>
              </w:rPr>
              <w:t xml:space="preserve">New platforms and </w:t>
            </w:r>
            <w:r w:rsidR="007B684B">
              <w:rPr>
                <w:rStyle w:val="normaltextrun"/>
                <w:sz w:val="22"/>
                <w:szCs w:val="22"/>
              </w:rPr>
              <w:t xml:space="preserve">innovative </w:t>
            </w:r>
            <w:r w:rsidRPr="006F4CF2">
              <w:rPr>
                <w:rStyle w:val="normaltextrun"/>
                <w:sz w:val="22"/>
                <w:szCs w:val="22"/>
              </w:rPr>
              <w:t>ways of bringing experts, users and citizens together would actively help shape the framing of synthesis questions, ensuring outputs are directly relevant to their needs. And ideas would be captured, curated, and shared making it faster and easier to commission new syntheses or adapt existing work.</w:t>
            </w:r>
            <w:r w:rsidR="00806A09" w:rsidRPr="006F4CF2">
              <w:rPr>
                <w:rStyle w:val="normaltextrun"/>
                <w:sz w:val="22"/>
                <w:szCs w:val="22"/>
              </w:rPr>
              <w:t xml:space="preserve"> </w:t>
            </w:r>
          </w:p>
        </w:tc>
      </w:tr>
    </w:tbl>
    <w:p w14:paraId="3B56EC0F" w14:textId="77777777" w:rsidR="005A0473" w:rsidRPr="000157B4" w:rsidRDefault="005A0473" w:rsidP="007238A1">
      <w:pPr>
        <w:pStyle w:val="Heading4"/>
        <w:jc w:val="both"/>
      </w:pPr>
      <w:r>
        <w:t>The pathway to date</w:t>
      </w:r>
    </w:p>
    <w:p w14:paraId="430D71AD" w14:textId="0C65E4D3" w:rsidR="00B515A9" w:rsidRDefault="005A0473" w:rsidP="00532C56">
      <w:pPr>
        <w:rPr>
          <w:rStyle w:val="normaltextrun"/>
        </w:rPr>
      </w:pPr>
      <w:r w:rsidRPr="001A5375">
        <w:rPr>
          <w:rStyle w:val="normaltextrun"/>
        </w:rPr>
        <w:t xml:space="preserve">This report (Stage </w:t>
      </w:r>
      <w:r w:rsidR="00AC62AA">
        <w:rPr>
          <w:rStyle w:val="normaltextrun"/>
        </w:rPr>
        <w:t>4</w:t>
      </w:r>
      <w:r w:rsidRPr="001A5375">
        <w:rPr>
          <w:rStyle w:val="normaltextrun"/>
        </w:rPr>
        <w:t xml:space="preserve">) draws from </w:t>
      </w:r>
      <w:r w:rsidRPr="009D2013">
        <w:rPr>
          <w:rStyle w:val="normaltextrun"/>
        </w:rPr>
        <w:t xml:space="preserve">the insights gained in </w:t>
      </w:r>
      <w:hyperlink r:id="rId12" w:history="1">
        <w:r w:rsidRPr="00B3439B">
          <w:rPr>
            <w:rStyle w:val="Hyperlink"/>
          </w:rPr>
          <w:t>Stages 1</w:t>
        </w:r>
        <w:r w:rsidR="00B42263" w:rsidRPr="00B3439B">
          <w:rPr>
            <w:rStyle w:val="Hyperlink"/>
          </w:rPr>
          <w:t>, 2</w:t>
        </w:r>
        <w:r w:rsidRPr="00B3439B">
          <w:rPr>
            <w:rStyle w:val="Hyperlink"/>
          </w:rPr>
          <w:t xml:space="preserve"> and </w:t>
        </w:r>
        <w:r w:rsidR="00B42263" w:rsidRPr="00B3439B">
          <w:rPr>
            <w:rStyle w:val="Hyperlink"/>
          </w:rPr>
          <w:t>3</w:t>
        </w:r>
      </w:hyperlink>
      <w:r w:rsidRPr="009D2013">
        <w:rPr>
          <w:rStyle w:val="normaltextrun"/>
        </w:rPr>
        <w:t xml:space="preserve"> </w:t>
      </w:r>
      <w:r w:rsidR="00593FCA">
        <w:rPr>
          <w:rStyle w:val="normaltextrun"/>
        </w:rPr>
        <w:t>of this work</w:t>
      </w:r>
      <w:r w:rsidRPr="009D2013">
        <w:rPr>
          <w:rStyle w:val="normaltextrun"/>
        </w:rPr>
        <w:t xml:space="preserve">. </w:t>
      </w:r>
      <w:r w:rsidR="00B515A9">
        <w:rPr>
          <w:rStyle w:val="normaltextrun"/>
        </w:rPr>
        <w:t xml:space="preserve">Stage 1 explored gaps in the ecosystem, Stage 2 looked at maturity assessment of capabilities needed to address these gaps, </w:t>
      </w:r>
      <w:r w:rsidR="00BA2D47">
        <w:rPr>
          <w:rStyle w:val="normaltextrun"/>
        </w:rPr>
        <w:t xml:space="preserve">and </w:t>
      </w:r>
      <w:r w:rsidR="00B515A9">
        <w:rPr>
          <w:rStyle w:val="normaltextrun"/>
        </w:rPr>
        <w:t>Stage 3 introduced some options</w:t>
      </w:r>
      <w:r w:rsidR="00BB3B0C">
        <w:rPr>
          <w:rStyle w:val="normaltextrun"/>
        </w:rPr>
        <w:t>/solutions</w:t>
      </w:r>
      <w:r w:rsidR="00B515A9">
        <w:rPr>
          <w:rStyle w:val="normaltextrun"/>
        </w:rPr>
        <w:t xml:space="preserve"> to </w:t>
      </w:r>
      <w:r w:rsidR="00BB3B0C">
        <w:rPr>
          <w:rStyle w:val="normaltextrun"/>
        </w:rPr>
        <w:t>improve demand-side engagement</w:t>
      </w:r>
      <w:r w:rsidR="00BA2D47">
        <w:rPr>
          <w:rStyle w:val="normaltextrun"/>
        </w:rPr>
        <w:t>.</w:t>
      </w:r>
      <w:r w:rsidR="00BB3B0C">
        <w:rPr>
          <w:rStyle w:val="normaltextrun"/>
        </w:rPr>
        <w:t xml:space="preserve"> Stage 4 now seeks to refine and prioritise these options to support the drafting of a final report for consideration in Cape Town in late June</w:t>
      </w:r>
      <w:r w:rsidR="00BA2D47">
        <w:rPr>
          <w:rStyle w:val="normaltextrun"/>
        </w:rPr>
        <w:t xml:space="preserve"> 2025</w:t>
      </w:r>
      <w:r w:rsidR="00BB3B0C">
        <w:rPr>
          <w:rStyle w:val="normaltextrun"/>
        </w:rPr>
        <w:t xml:space="preserve">. </w:t>
      </w:r>
    </w:p>
    <w:p w14:paraId="7C5FBB7D" w14:textId="355C24BD" w:rsidR="00BB3B0C" w:rsidRDefault="00BB3B0C" w:rsidP="00532C56">
      <w:pPr>
        <w:rPr>
          <w:lang w:val="en-AU"/>
        </w:rPr>
      </w:pPr>
      <w:r w:rsidRPr="26585FB6">
        <w:rPr>
          <w:lang w:val="en-AU"/>
        </w:rPr>
        <w:t xml:space="preserve">Based on feedback from internal </w:t>
      </w:r>
      <w:r w:rsidR="00A9672A" w:rsidRPr="26585FB6">
        <w:rPr>
          <w:lang w:val="en-AU"/>
        </w:rPr>
        <w:t xml:space="preserve">partners in ESIC and external interest holders, WG1 </w:t>
      </w:r>
      <w:r w:rsidR="37832383" w:rsidRPr="26585FB6">
        <w:rPr>
          <w:lang w:val="en-AU"/>
        </w:rPr>
        <w:t>reviewed</w:t>
      </w:r>
      <w:r w:rsidR="007A67E2" w:rsidRPr="26585FB6">
        <w:rPr>
          <w:lang w:val="en-AU"/>
        </w:rPr>
        <w:t xml:space="preserve"> options to ensure </w:t>
      </w:r>
      <w:r w:rsidR="010C4E65" w:rsidRPr="26585FB6">
        <w:rPr>
          <w:lang w:val="en-AU"/>
        </w:rPr>
        <w:t>nothing had been</w:t>
      </w:r>
      <w:r w:rsidR="007A67E2" w:rsidRPr="26585FB6">
        <w:rPr>
          <w:lang w:val="en-AU"/>
        </w:rPr>
        <w:t xml:space="preserve"> missed at this vital stage. Accordingly, Stage 4 work consisted of a </w:t>
      </w:r>
      <w:r w:rsidR="007A67E2" w:rsidRPr="007245B9">
        <w:rPr>
          <w:lang w:val="en-AU"/>
        </w:rPr>
        <w:t xml:space="preserve">joint internal/external interactive workshop to </w:t>
      </w:r>
      <w:r w:rsidR="3EC4D5E8" w:rsidRPr="007245B9">
        <w:rPr>
          <w:lang w:val="en-AU"/>
        </w:rPr>
        <w:t>test potential</w:t>
      </w:r>
      <w:r w:rsidR="007A67E2" w:rsidRPr="007245B9">
        <w:rPr>
          <w:lang w:val="en-AU"/>
        </w:rPr>
        <w:t xml:space="preserve"> options</w:t>
      </w:r>
      <w:r w:rsidR="79C03308" w:rsidRPr="007245B9">
        <w:rPr>
          <w:lang w:val="en-AU"/>
        </w:rPr>
        <w:t>,</w:t>
      </w:r>
      <w:r w:rsidR="007A67E2" w:rsidRPr="007245B9">
        <w:rPr>
          <w:lang w:val="en-AU"/>
        </w:rPr>
        <w:t xml:space="preserve"> then </w:t>
      </w:r>
      <w:r w:rsidR="7C221278" w:rsidRPr="007245B9">
        <w:rPr>
          <w:lang w:val="en-AU"/>
        </w:rPr>
        <w:t xml:space="preserve">prioritise </w:t>
      </w:r>
      <w:r w:rsidR="00E7400D" w:rsidRPr="007245B9">
        <w:rPr>
          <w:lang w:val="en-AU"/>
        </w:rPr>
        <w:t>those</w:t>
      </w:r>
      <w:r w:rsidR="7C221278" w:rsidRPr="007245B9">
        <w:rPr>
          <w:lang w:val="en-AU"/>
        </w:rPr>
        <w:t xml:space="preserve"> </w:t>
      </w:r>
      <w:r w:rsidR="5CB17E6C" w:rsidRPr="7FBCBF42">
        <w:rPr>
          <w:lang w:val="en-AU"/>
        </w:rPr>
        <w:t>options</w:t>
      </w:r>
      <w:r w:rsidR="7C221278" w:rsidRPr="7FBCBF42">
        <w:rPr>
          <w:lang w:val="en-AU"/>
        </w:rPr>
        <w:t xml:space="preserve"> </w:t>
      </w:r>
      <w:r w:rsidR="7C221278" w:rsidRPr="007245B9">
        <w:rPr>
          <w:lang w:val="en-AU"/>
        </w:rPr>
        <w:t>identified</w:t>
      </w:r>
      <w:r w:rsidR="007A67E2" w:rsidRPr="007245B9">
        <w:rPr>
          <w:lang w:val="en-AU"/>
        </w:rPr>
        <w:t xml:space="preserve">. </w:t>
      </w:r>
      <w:r w:rsidR="00C102E7" w:rsidRPr="007245B9">
        <w:rPr>
          <w:lang w:val="en-AU"/>
        </w:rPr>
        <w:t xml:space="preserve">This process was further </w:t>
      </w:r>
      <w:r w:rsidR="69C6C604" w:rsidRPr="7FBCBF42">
        <w:rPr>
          <w:lang w:val="en-AU"/>
        </w:rPr>
        <w:t>refin</w:t>
      </w:r>
      <w:r w:rsidR="00C102E7" w:rsidRPr="7FBCBF42">
        <w:rPr>
          <w:lang w:val="en-AU"/>
        </w:rPr>
        <w:t>ed</w:t>
      </w:r>
      <w:r w:rsidR="00C102E7" w:rsidRPr="007245B9">
        <w:rPr>
          <w:lang w:val="en-AU"/>
        </w:rPr>
        <w:t xml:space="preserve"> by surveying working group members, using an impact</w:t>
      </w:r>
      <w:r w:rsidR="0051232C" w:rsidRPr="007245B9">
        <w:rPr>
          <w:lang w:val="en-AU"/>
        </w:rPr>
        <w:t xml:space="preserve"> </w:t>
      </w:r>
      <w:r w:rsidR="007245B9" w:rsidRPr="007245B9">
        <w:rPr>
          <w:lang w:val="en-AU"/>
        </w:rPr>
        <w:t>assessment</w:t>
      </w:r>
      <w:r w:rsidR="00C102E7" w:rsidRPr="007245B9">
        <w:rPr>
          <w:lang w:val="en-AU"/>
        </w:rPr>
        <w:t>.</w:t>
      </w:r>
      <w:r w:rsidR="007A67E2" w:rsidRPr="007245B9">
        <w:rPr>
          <w:lang w:val="en-AU"/>
        </w:rPr>
        <w:t xml:space="preserve"> </w:t>
      </w:r>
      <w:r w:rsidR="00C3465D" w:rsidRPr="007245B9">
        <w:rPr>
          <w:lang w:val="en-AU"/>
        </w:rPr>
        <w:t xml:space="preserve">This report </w:t>
      </w:r>
      <w:r w:rsidR="2345A2CF" w:rsidRPr="7FBCBF42">
        <w:rPr>
          <w:lang w:val="en-AU"/>
        </w:rPr>
        <w:t>responds</w:t>
      </w:r>
      <w:r w:rsidR="00C3465D" w:rsidRPr="007245B9">
        <w:rPr>
          <w:lang w:val="en-AU"/>
        </w:rPr>
        <w:t xml:space="preserve"> to the feedback </w:t>
      </w:r>
      <w:r w:rsidR="00C647AC" w:rsidRPr="007245B9">
        <w:rPr>
          <w:lang w:val="en-AU"/>
        </w:rPr>
        <w:t>received and</w:t>
      </w:r>
      <w:r w:rsidR="00C3465D" w:rsidRPr="007245B9">
        <w:rPr>
          <w:lang w:val="en-AU"/>
        </w:rPr>
        <w:t xml:space="preserve"> </w:t>
      </w:r>
      <w:r w:rsidR="00C3465D" w:rsidRPr="7FBCBF42">
        <w:rPr>
          <w:lang w:val="en-AU"/>
        </w:rPr>
        <w:t>present</w:t>
      </w:r>
      <w:r w:rsidR="48390A25" w:rsidRPr="7FBCBF42">
        <w:rPr>
          <w:lang w:val="en-AU"/>
        </w:rPr>
        <w:t>s</w:t>
      </w:r>
      <w:r w:rsidR="00C3465D" w:rsidRPr="007245B9">
        <w:rPr>
          <w:lang w:val="en-AU"/>
        </w:rPr>
        <w:t xml:space="preserve"> the outcomes</w:t>
      </w:r>
      <w:r w:rsidR="00C3465D" w:rsidRPr="26585FB6">
        <w:rPr>
          <w:lang w:val="en-AU"/>
        </w:rPr>
        <w:t xml:space="preserve"> from the prioritisation assessments</w:t>
      </w:r>
      <w:r w:rsidR="00C647AC" w:rsidRPr="26585FB6">
        <w:rPr>
          <w:lang w:val="en-AU"/>
        </w:rPr>
        <w:t xml:space="preserve">. It then seeks to offer </w:t>
      </w:r>
      <w:r w:rsidR="00C3465D" w:rsidRPr="26585FB6">
        <w:rPr>
          <w:lang w:val="en-AU"/>
        </w:rPr>
        <w:t xml:space="preserve">insights for moving forwards with new investments.   </w:t>
      </w:r>
      <w:r w:rsidR="007A67E2" w:rsidRPr="26585FB6">
        <w:rPr>
          <w:lang w:val="en-AU"/>
        </w:rPr>
        <w:t xml:space="preserve"> </w:t>
      </w:r>
    </w:p>
    <w:p w14:paraId="66FD441D" w14:textId="73F1B6D5" w:rsidR="00C9585C" w:rsidRPr="00854040" w:rsidRDefault="00AD7382" w:rsidP="007238A1">
      <w:pPr>
        <w:pStyle w:val="Heading3"/>
        <w:jc w:val="both"/>
      </w:pPr>
      <w:r>
        <w:t>What we learned from Stage 3</w:t>
      </w:r>
      <w:r w:rsidR="005C5F7E">
        <w:t xml:space="preserve"> and </w:t>
      </w:r>
      <w:r w:rsidR="00AC3926">
        <w:t>ongoing issues to consider</w:t>
      </w:r>
    </w:p>
    <w:p w14:paraId="58BEF740" w14:textId="23797AB8" w:rsidR="00A358C5" w:rsidRDefault="00A358C5" w:rsidP="00A358C5">
      <w:pPr>
        <w:rPr>
          <w:lang w:bidi="th-TH"/>
        </w:rPr>
      </w:pPr>
      <w:r w:rsidRPr="00826777">
        <w:rPr>
          <w:lang w:bidi="th-TH"/>
        </w:rPr>
        <w:t xml:space="preserve">The Stage 3 consultation invited working group members and external </w:t>
      </w:r>
      <w:r w:rsidR="0022283F">
        <w:rPr>
          <w:lang w:bidi="th-TH"/>
        </w:rPr>
        <w:t xml:space="preserve">interest </w:t>
      </w:r>
      <w:r w:rsidRPr="00826777">
        <w:rPr>
          <w:lang w:bidi="th-TH"/>
        </w:rPr>
        <w:t>holders to assess a set of five proposed options for improving demand-side engagement in the global evidence synthesis ecosystem</w:t>
      </w:r>
      <w:r w:rsidR="0022283F">
        <w:rPr>
          <w:lang w:bidi="th-TH"/>
        </w:rPr>
        <w:t xml:space="preserve"> – see </w:t>
      </w:r>
      <w:r w:rsidR="0022283F" w:rsidRPr="0022283F">
        <w:rPr>
          <w:b/>
          <w:bCs/>
          <w:lang w:bidi="th-TH"/>
        </w:rPr>
        <w:t>Box 2</w:t>
      </w:r>
      <w:r w:rsidRPr="00826777">
        <w:rPr>
          <w:lang w:bidi="th-TH"/>
        </w:rPr>
        <w:t xml:space="preserve">. This section summarises the </w:t>
      </w:r>
      <w:r w:rsidR="4A902EED" w:rsidRPr="4E613D92">
        <w:rPr>
          <w:lang w:bidi="th-TH"/>
        </w:rPr>
        <w:t>key</w:t>
      </w:r>
      <w:r w:rsidRPr="00826777">
        <w:rPr>
          <w:lang w:bidi="th-TH"/>
        </w:rPr>
        <w:t xml:space="preserve"> points raised and identifies issues</w:t>
      </w:r>
      <w:r w:rsidR="0093299A">
        <w:rPr>
          <w:lang w:bidi="th-TH"/>
        </w:rPr>
        <w:t xml:space="preserve"> and ideas</w:t>
      </w:r>
      <w:r w:rsidRPr="00826777">
        <w:rPr>
          <w:lang w:bidi="th-TH"/>
        </w:rPr>
        <w:t xml:space="preserve"> that </w:t>
      </w:r>
      <w:r w:rsidR="0093299A">
        <w:rPr>
          <w:lang w:bidi="th-TH"/>
        </w:rPr>
        <w:t xml:space="preserve">have recurred through </w:t>
      </w:r>
      <w:r w:rsidR="00DE61C5">
        <w:rPr>
          <w:lang w:bidi="th-TH"/>
        </w:rPr>
        <w:t xml:space="preserve">the </w:t>
      </w:r>
      <w:r w:rsidR="0093299A">
        <w:rPr>
          <w:lang w:bidi="th-TH"/>
        </w:rPr>
        <w:t>various rounds of feed</w:t>
      </w:r>
      <w:r w:rsidR="00DE61C5">
        <w:rPr>
          <w:lang w:bidi="th-TH"/>
        </w:rPr>
        <w:t>back</w:t>
      </w:r>
      <w:r w:rsidRPr="00826777">
        <w:rPr>
          <w:lang w:bidi="th-TH"/>
        </w:rPr>
        <w:t>.</w:t>
      </w:r>
    </w:p>
    <w:p w14:paraId="2963BBBB" w14:textId="04D5C80B" w:rsidR="7FBCBF42" w:rsidRDefault="7FBCBF42" w:rsidP="7FBCBF42">
      <w:pPr>
        <w:rPr>
          <w:lang w:bidi="th-TH"/>
        </w:rPr>
      </w:pPr>
    </w:p>
    <w:tbl>
      <w:tblPr>
        <w:tblStyle w:val="TableGrid"/>
        <w:tblpPr w:leftFromText="180" w:rightFromText="180" w:vertAnchor="text" w:horzAnchor="margin" w:tblpXSpec="right" w:tblpY="91"/>
        <w:tblOverlap w:val="never"/>
        <w:tblW w:w="9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9F7" w:themeFill="text2" w:themeFillTint="1A"/>
        <w:tblCellMar>
          <w:top w:w="28" w:type="dxa"/>
          <w:left w:w="142" w:type="dxa"/>
          <w:bottom w:w="28" w:type="dxa"/>
          <w:right w:w="142" w:type="dxa"/>
        </w:tblCellMar>
        <w:tblLook w:val="04A0" w:firstRow="1" w:lastRow="0" w:firstColumn="1" w:lastColumn="0" w:noHBand="0" w:noVBand="1"/>
      </w:tblPr>
      <w:tblGrid>
        <w:gridCol w:w="1335"/>
        <w:gridCol w:w="8229"/>
      </w:tblGrid>
      <w:tr w:rsidR="00C5526E" w14:paraId="01DC2ED7" w14:textId="3442953E" w:rsidTr="7FBCBF42">
        <w:tc>
          <w:tcPr>
            <w:tcW w:w="9564" w:type="dxa"/>
            <w:gridSpan w:val="2"/>
            <w:shd w:val="clear" w:color="auto" w:fill="A1D8E7"/>
          </w:tcPr>
          <w:p w14:paraId="796429DC" w14:textId="3656869F" w:rsidR="00C5526E" w:rsidRPr="00A139DF" w:rsidRDefault="00C5526E" w:rsidP="00223FB1">
            <w:pPr>
              <w:spacing w:before="120" w:after="120"/>
              <w:rPr>
                <w:rStyle w:val="normaltextrun"/>
                <w:b/>
                <w:bCs/>
              </w:rPr>
            </w:pPr>
            <w:r w:rsidRPr="00A139DF">
              <w:rPr>
                <w:rStyle w:val="normaltextrun"/>
                <w:b/>
                <w:bCs/>
              </w:rPr>
              <w:t xml:space="preserve">Box </w:t>
            </w:r>
            <w:r>
              <w:rPr>
                <w:rStyle w:val="normaltextrun"/>
                <w:b/>
                <w:bCs/>
              </w:rPr>
              <w:t>2</w:t>
            </w:r>
            <w:r w:rsidRPr="00A139DF">
              <w:rPr>
                <w:rStyle w:val="normaltextrun"/>
                <w:b/>
                <w:bCs/>
              </w:rPr>
              <w:t xml:space="preserve">. </w:t>
            </w:r>
            <w:r>
              <w:rPr>
                <w:rStyle w:val="normaltextrun"/>
                <w:b/>
                <w:bCs/>
              </w:rPr>
              <w:t>Options from Stage 3</w:t>
            </w:r>
          </w:p>
        </w:tc>
      </w:tr>
      <w:tr w:rsidR="00C5526E" w14:paraId="6B026294" w14:textId="589623DF" w:rsidTr="7FBCBF42">
        <w:tc>
          <w:tcPr>
            <w:tcW w:w="1335" w:type="dxa"/>
            <w:tcBorders>
              <w:bottom w:val="single" w:sz="4" w:space="0" w:color="4C94D8" w:themeColor="text2" w:themeTint="80"/>
            </w:tcBorders>
            <w:shd w:val="clear" w:color="auto" w:fill="CAEDFB" w:themeFill="accent4" w:themeFillTint="33"/>
          </w:tcPr>
          <w:p w14:paraId="7252F8F7" w14:textId="0157761A" w:rsidR="00C5526E" w:rsidRPr="00C5526E" w:rsidRDefault="00C5526E" w:rsidP="00A335D8">
            <w:pPr>
              <w:spacing w:after="120"/>
              <w:jc w:val="both"/>
              <w:rPr>
                <w:rStyle w:val="normaltextrun"/>
                <w:sz w:val="22"/>
                <w:szCs w:val="22"/>
              </w:rPr>
            </w:pPr>
            <w:r w:rsidRPr="00C5526E">
              <w:rPr>
                <w:rStyle w:val="normaltextrun"/>
                <w:b/>
                <w:bCs/>
                <w:sz w:val="22"/>
                <w:szCs w:val="22"/>
              </w:rPr>
              <w:t>Option 1</w:t>
            </w:r>
            <w:r w:rsidRPr="00C5526E">
              <w:rPr>
                <w:rStyle w:val="normaltextrun"/>
                <w:sz w:val="22"/>
                <w:szCs w:val="22"/>
              </w:rPr>
              <w:t xml:space="preserve"> </w:t>
            </w:r>
          </w:p>
          <w:p w14:paraId="7749F329" w14:textId="4E3C2958" w:rsidR="00C5526E" w:rsidRPr="00C5526E" w:rsidRDefault="00C5526E" w:rsidP="00C5526E">
            <w:pPr>
              <w:spacing w:after="120"/>
              <w:jc w:val="both"/>
              <w:rPr>
                <w:rStyle w:val="normaltextrun"/>
                <w:b/>
                <w:bCs/>
                <w:sz w:val="22"/>
                <w:szCs w:val="22"/>
              </w:rPr>
            </w:pPr>
          </w:p>
        </w:tc>
        <w:tc>
          <w:tcPr>
            <w:tcW w:w="8229" w:type="dxa"/>
            <w:tcBorders>
              <w:bottom w:val="single" w:sz="4" w:space="0" w:color="4C94D8" w:themeColor="text2" w:themeTint="80"/>
            </w:tcBorders>
            <w:shd w:val="clear" w:color="auto" w:fill="CAEDFB" w:themeFill="accent4" w:themeFillTint="33"/>
          </w:tcPr>
          <w:p w14:paraId="12EB0419" w14:textId="21496F3A" w:rsidR="00C5526E" w:rsidRPr="00A401A9" w:rsidRDefault="00C5526E" w:rsidP="00C5526E">
            <w:pPr>
              <w:spacing w:after="80"/>
              <w:rPr>
                <w:rStyle w:val="normaltextrun"/>
                <w:b/>
                <w:bCs/>
                <w:sz w:val="22"/>
                <w:szCs w:val="22"/>
              </w:rPr>
            </w:pPr>
            <w:r w:rsidRPr="00C5526E">
              <w:rPr>
                <w:rStyle w:val="normaltextrun"/>
                <w:b/>
                <w:bCs/>
                <w:sz w:val="22"/>
                <w:szCs w:val="22"/>
              </w:rPr>
              <w:t>Establish regional demand-side secretariats</w:t>
            </w:r>
            <w:r w:rsidRPr="00A401A9">
              <w:rPr>
                <w:rStyle w:val="normaltextrun"/>
                <w:sz w:val="22"/>
                <w:szCs w:val="22"/>
              </w:rPr>
              <w:t xml:space="preserve"> – decentrali</w:t>
            </w:r>
            <w:r w:rsidR="007F1BD5">
              <w:rPr>
                <w:rStyle w:val="normaltextrun"/>
                <w:sz w:val="22"/>
                <w:szCs w:val="22"/>
              </w:rPr>
              <w:t>s</w:t>
            </w:r>
            <w:r w:rsidRPr="00A401A9">
              <w:rPr>
                <w:rStyle w:val="normaltextrun"/>
                <w:sz w:val="22"/>
                <w:szCs w:val="22"/>
              </w:rPr>
              <w:t>ed coordination bodies focused on locali</w:t>
            </w:r>
            <w:r w:rsidR="007F1BD5">
              <w:rPr>
                <w:rStyle w:val="normaltextrun"/>
                <w:sz w:val="22"/>
                <w:szCs w:val="22"/>
              </w:rPr>
              <w:t>s</w:t>
            </w:r>
            <w:r w:rsidRPr="00A401A9">
              <w:rPr>
                <w:rStyle w:val="normaltextrun"/>
                <w:sz w:val="22"/>
                <w:szCs w:val="22"/>
              </w:rPr>
              <w:t>ed evidence synthesis engagement.</w:t>
            </w:r>
          </w:p>
        </w:tc>
      </w:tr>
      <w:tr w:rsidR="00C5526E" w14:paraId="2372AD82" w14:textId="77777777" w:rsidTr="7FBCBF42">
        <w:tc>
          <w:tcPr>
            <w:tcW w:w="1335" w:type="dxa"/>
            <w:tcBorders>
              <w:top w:val="single" w:sz="4" w:space="0" w:color="4C94D8" w:themeColor="text2" w:themeTint="80"/>
              <w:bottom w:val="single" w:sz="4" w:space="0" w:color="4C94D8" w:themeColor="text2" w:themeTint="80"/>
            </w:tcBorders>
            <w:shd w:val="clear" w:color="auto" w:fill="CAEDFB" w:themeFill="accent4" w:themeFillTint="33"/>
          </w:tcPr>
          <w:p w14:paraId="60D57849" w14:textId="77777777" w:rsidR="00C5526E" w:rsidRPr="00C5526E" w:rsidRDefault="00C5526E" w:rsidP="00C5526E">
            <w:pPr>
              <w:spacing w:after="120"/>
              <w:jc w:val="both"/>
              <w:rPr>
                <w:rStyle w:val="normaltextrun"/>
                <w:sz w:val="22"/>
                <w:szCs w:val="22"/>
              </w:rPr>
            </w:pPr>
            <w:r w:rsidRPr="00C5526E">
              <w:rPr>
                <w:rStyle w:val="normaltextrun"/>
                <w:b/>
                <w:bCs/>
                <w:sz w:val="22"/>
                <w:szCs w:val="22"/>
              </w:rPr>
              <w:t>Option 2</w:t>
            </w:r>
            <w:r w:rsidRPr="00C5526E">
              <w:rPr>
                <w:rStyle w:val="normaltextrun"/>
                <w:sz w:val="22"/>
                <w:szCs w:val="22"/>
              </w:rPr>
              <w:t xml:space="preserve"> </w:t>
            </w:r>
          </w:p>
          <w:p w14:paraId="2DE3527B" w14:textId="77777777" w:rsidR="00C5526E" w:rsidRPr="00C5526E" w:rsidRDefault="00C5526E" w:rsidP="00A335D8">
            <w:pPr>
              <w:spacing w:after="120"/>
              <w:jc w:val="both"/>
              <w:rPr>
                <w:rStyle w:val="normaltextrun"/>
                <w:b/>
                <w:bCs/>
                <w:sz w:val="22"/>
                <w:szCs w:val="22"/>
              </w:rPr>
            </w:pPr>
          </w:p>
        </w:tc>
        <w:tc>
          <w:tcPr>
            <w:tcW w:w="8229" w:type="dxa"/>
            <w:tcBorders>
              <w:top w:val="single" w:sz="4" w:space="0" w:color="4C94D8" w:themeColor="text2" w:themeTint="80"/>
              <w:bottom w:val="single" w:sz="4" w:space="0" w:color="4C94D8" w:themeColor="text2" w:themeTint="80"/>
            </w:tcBorders>
            <w:shd w:val="clear" w:color="auto" w:fill="CAEDFB" w:themeFill="accent4" w:themeFillTint="33"/>
          </w:tcPr>
          <w:p w14:paraId="04E0142D" w14:textId="160B6A0E" w:rsidR="00C5526E" w:rsidRPr="00A401A9" w:rsidRDefault="00C5526E" w:rsidP="00C5526E">
            <w:pPr>
              <w:spacing w:after="80"/>
              <w:rPr>
                <w:rStyle w:val="normaltextrun"/>
                <w:sz w:val="22"/>
                <w:szCs w:val="22"/>
              </w:rPr>
            </w:pPr>
            <w:r w:rsidRPr="00C5526E">
              <w:rPr>
                <w:rStyle w:val="normaltextrun"/>
                <w:b/>
                <w:bCs/>
                <w:sz w:val="22"/>
                <w:szCs w:val="22"/>
              </w:rPr>
              <w:t>Provide implementation support to evidence intermediaries</w:t>
            </w:r>
            <w:r w:rsidRPr="00A401A9">
              <w:rPr>
                <w:rStyle w:val="normaltextrun"/>
                <w:sz w:val="22"/>
                <w:szCs w:val="22"/>
              </w:rPr>
              <w:t xml:space="preserve"> – capacity-building efforts to strengthen intermediaries in connecting evidence with end-users.</w:t>
            </w:r>
          </w:p>
        </w:tc>
      </w:tr>
      <w:tr w:rsidR="00C5526E" w14:paraId="31E00705" w14:textId="77777777" w:rsidTr="7FBCBF42">
        <w:tc>
          <w:tcPr>
            <w:tcW w:w="1335" w:type="dxa"/>
            <w:tcBorders>
              <w:top w:val="single" w:sz="4" w:space="0" w:color="4C94D8" w:themeColor="text2" w:themeTint="80"/>
              <w:bottom w:val="single" w:sz="4" w:space="0" w:color="4C94D8" w:themeColor="text2" w:themeTint="80"/>
            </w:tcBorders>
            <w:shd w:val="clear" w:color="auto" w:fill="CAEDFB" w:themeFill="accent4" w:themeFillTint="33"/>
          </w:tcPr>
          <w:p w14:paraId="45374818" w14:textId="77777777" w:rsidR="00C5526E" w:rsidRPr="00C5526E" w:rsidRDefault="00C5526E" w:rsidP="00C5526E">
            <w:pPr>
              <w:spacing w:after="120"/>
              <w:jc w:val="both"/>
              <w:rPr>
                <w:rStyle w:val="normaltextrun"/>
                <w:sz w:val="22"/>
                <w:szCs w:val="22"/>
              </w:rPr>
            </w:pPr>
            <w:r w:rsidRPr="00C5526E">
              <w:rPr>
                <w:rStyle w:val="normaltextrun"/>
                <w:b/>
                <w:bCs/>
                <w:sz w:val="22"/>
                <w:szCs w:val="22"/>
              </w:rPr>
              <w:t>Option 3</w:t>
            </w:r>
            <w:r w:rsidRPr="00C5526E">
              <w:rPr>
                <w:rStyle w:val="normaltextrun"/>
                <w:sz w:val="22"/>
                <w:szCs w:val="22"/>
              </w:rPr>
              <w:t xml:space="preserve"> </w:t>
            </w:r>
          </w:p>
          <w:p w14:paraId="7849DA36" w14:textId="77777777" w:rsidR="00C5526E" w:rsidRPr="00C5526E" w:rsidRDefault="00C5526E" w:rsidP="00A335D8">
            <w:pPr>
              <w:spacing w:after="120"/>
              <w:jc w:val="both"/>
              <w:rPr>
                <w:rStyle w:val="normaltextrun"/>
                <w:b/>
                <w:bCs/>
                <w:sz w:val="22"/>
                <w:szCs w:val="22"/>
              </w:rPr>
            </w:pPr>
          </w:p>
        </w:tc>
        <w:tc>
          <w:tcPr>
            <w:tcW w:w="8229" w:type="dxa"/>
            <w:tcBorders>
              <w:top w:val="single" w:sz="4" w:space="0" w:color="4C94D8" w:themeColor="text2" w:themeTint="80"/>
              <w:bottom w:val="single" w:sz="4" w:space="0" w:color="4C94D8" w:themeColor="text2" w:themeTint="80"/>
            </w:tcBorders>
            <w:shd w:val="clear" w:color="auto" w:fill="CAEDFB" w:themeFill="accent4" w:themeFillTint="33"/>
          </w:tcPr>
          <w:p w14:paraId="44454E77" w14:textId="2934011B" w:rsidR="00C5526E" w:rsidRPr="00A401A9" w:rsidRDefault="00C5526E" w:rsidP="00C5526E">
            <w:pPr>
              <w:spacing w:after="80"/>
              <w:rPr>
                <w:rStyle w:val="normaltextrun"/>
                <w:sz w:val="22"/>
                <w:szCs w:val="22"/>
              </w:rPr>
            </w:pPr>
            <w:r w:rsidRPr="00C5526E">
              <w:rPr>
                <w:rStyle w:val="normaltextrun"/>
                <w:b/>
                <w:bCs/>
                <w:sz w:val="22"/>
                <w:szCs w:val="22"/>
              </w:rPr>
              <w:t>Create co-design labs</w:t>
            </w:r>
            <w:r w:rsidRPr="00A401A9">
              <w:rPr>
                <w:rStyle w:val="normaltextrun"/>
                <w:sz w:val="22"/>
                <w:szCs w:val="22"/>
              </w:rPr>
              <w:t xml:space="preserve"> – collaborative spaces for researchers, policymakers, and stakeholders to co-produce evidence and solutions.</w:t>
            </w:r>
          </w:p>
        </w:tc>
      </w:tr>
      <w:tr w:rsidR="00C5526E" w14:paraId="5A5F1420" w14:textId="77777777" w:rsidTr="7FBCBF42">
        <w:tc>
          <w:tcPr>
            <w:tcW w:w="1335" w:type="dxa"/>
            <w:tcBorders>
              <w:top w:val="single" w:sz="4" w:space="0" w:color="4C94D8" w:themeColor="text2" w:themeTint="80"/>
              <w:bottom w:val="single" w:sz="4" w:space="0" w:color="4C94D8" w:themeColor="text2" w:themeTint="80"/>
            </w:tcBorders>
            <w:shd w:val="clear" w:color="auto" w:fill="CAEDFB" w:themeFill="accent4" w:themeFillTint="33"/>
          </w:tcPr>
          <w:p w14:paraId="219A55D5" w14:textId="77777777" w:rsidR="00C5526E" w:rsidRPr="00C5526E" w:rsidRDefault="00C5526E" w:rsidP="00C5526E">
            <w:pPr>
              <w:spacing w:after="120"/>
              <w:jc w:val="both"/>
              <w:rPr>
                <w:rStyle w:val="normaltextrun"/>
                <w:sz w:val="22"/>
                <w:szCs w:val="22"/>
              </w:rPr>
            </w:pPr>
            <w:r w:rsidRPr="00C5526E">
              <w:rPr>
                <w:rStyle w:val="normaltextrun"/>
                <w:b/>
                <w:bCs/>
                <w:sz w:val="22"/>
                <w:szCs w:val="22"/>
              </w:rPr>
              <w:t xml:space="preserve">Option 4 </w:t>
            </w:r>
          </w:p>
          <w:p w14:paraId="2F198A4D" w14:textId="77777777" w:rsidR="00C5526E" w:rsidRPr="00C5526E" w:rsidRDefault="00C5526E" w:rsidP="00A335D8">
            <w:pPr>
              <w:spacing w:after="120"/>
              <w:jc w:val="both"/>
              <w:rPr>
                <w:rStyle w:val="normaltextrun"/>
                <w:b/>
                <w:bCs/>
                <w:sz w:val="22"/>
                <w:szCs w:val="22"/>
              </w:rPr>
            </w:pPr>
          </w:p>
        </w:tc>
        <w:tc>
          <w:tcPr>
            <w:tcW w:w="8229" w:type="dxa"/>
            <w:tcBorders>
              <w:top w:val="single" w:sz="4" w:space="0" w:color="4C94D8" w:themeColor="text2" w:themeTint="80"/>
              <w:bottom w:val="single" w:sz="4" w:space="0" w:color="4C94D8" w:themeColor="text2" w:themeTint="80"/>
            </w:tcBorders>
            <w:shd w:val="clear" w:color="auto" w:fill="CAEDFB" w:themeFill="accent4" w:themeFillTint="33"/>
          </w:tcPr>
          <w:p w14:paraId="01DB6FDD" w14:textId="2EC04592" w:rsidR="00C5526E" w:rsidRPr="00A401A9" w:rsidRDefault="00C5526E" w:rsidP="00C5526E">
            <w:pPr>
              <w:spacing w:after="80"/>
              <w:rPr>
                <w:rStyle w:val="normaltextrun"/>
                <w:sz w:val="22"/>
                <w:szCs w:val="22"/>
              </w:rPr>
            </w:pPr>
            <w:r w:rsidRPr="00C5526E">
              <w:rPr>
                <w:rStyle w:val="normaltextrun"/>
                <w:b/>
                <w:bCs/>
                <w:sz w:val="22"/>
                <w:szCs w:val="22"/>
              </w:rPr>
              <w:t>Develop question repositories or banks</w:t>
            </w:r>
            <w:r w:rsidRPr="00A401A9">
              <w:rPr>
                <w:rStyle w:val="normaltextrun"/>
                <w:sz w:val="22"/>
                <w:szCs w:val="22"/>
              </w:rPr>
              <w:t xml:space="preserve"> – structured platforms to bridge demand-side actors and evidence synthesisers through shared policy questions</w:t>
            </w:r>
            <w:r w:rsidR="00275563">
              <w:rPr>
                <w:rStyle w:val="normaltextrun"/>
                <w:sz w:val="22"/>
                <w:szCs w:val="22"/>
              </w:rPr>
              <w:t xml:space="preserve"> (to be expanded to themes</w:t>
            </w:r>
            <w:r w:rsidR="00F271FD">
              <w:rPr>
                <w:rStyle w:val="normaltextrun"/>
                <w:sz w:val="22"/>
                <w:szCs w:val="22"/>
              </w:rPr>
              <w:t xml:space="preserve"> and evidence gap mapping</w:t>
            </w:r>
            <w:r w:rsidR="00275563">
              <w:rPr>
                <w:rStyle w:val="normaltextrun"/>
                <w:sz w:val="22"/>
                <w:szCs w:val="22"/>
              </w:rPr>
              <w:t>)</w:t>
            </w:r>
          </w:p>
        </w:tc>
      </w:tr>
      <w:tr w:rsidR="00C5526E" w14:paraId="11D05A8E" w14:textId="77777777" w:rsidTr="7FBCBF42">
        <w:tc>
          <w:tcPr>
            <w:tcW w:w="1335" w:type="dxa"/>
            <w:tcBorders>
              <w:top w:val="single" w:sz="4" w:space="0" w:color="4C94D8" w:themeColor="text2" w:themeTint="80"/>
            </w:tcBorders>
            <w:shd w:val="clear" w:color="auto" w:fill="CAEDFB" w:themeFill="accent4" w:themeFillTint="33"/>
          </w:tcPr>
          <w:p w14:paraId="06BF36B2" w14:textId="750AFC97" w:rsidR="00C5526E" w:rsidRPr="00C5526E" w:rsidRDefault="00C5526E" w:rsidP="00A335D8">
            <w:pPr>
              <w:spacing w:after="120"/>
              <w:jc w:val="both"/>
              <w:rPr>
                <w:rStyle w:val="normaltextrun"/>
                <w:b/>
                <w:bCs/>
                <w:sz w:val="22"/>
                <w:szCs w:val="22"/>
              </w:rPr>
            </w:pPr>
            <w:r w:rsidRPr="00C5526E">
              <w:rPr>
                <w:rStyle w:val="normaltextrun"/>
                <w:b/>
                <w:bCs/>
                <w:sz w:val="22"/>
                <w:szCs w:val="22"/>
              </w:rPr>
              <w:t>Option 5</w:t>
            </w:r>
          </w:p>
        </w:tc>
        <w:tc>
          <w:tcPr>
            <w:tcW w:w="8229" w:type="dxa"/>
            <w:tcBorders>
              <w:top w:val="single" w:sz="4" w:space="0" w:color="4C94D8" w:themeColor="text2" w:themeTint="80"/>
            </w:tcBorders>
            <w:shd w:val="clear" w:color="auto" w:fill="CAEDFB" w:themeFill="accent4" w:themeFillTint="33"/>
          </w:tcPr>
          <w:p w14:paraId="70A1FF69" w14:textId="25441010" w:rsidR="00C5526E" w:rsidRPr="00A401A9" w:rsidRDefault="00C5526E" w:rsidP="00C5526E">
            <w:pPr>
              <w:spacing w:after="80"/>
              <w:rPr>
                <w:rStyle w:val="normaltextrun"/>
                <w:sz w:val="22"/>
                <w:szCs w:val="22"/>
              </w:rPr>
            </w:pPr>
            <w:r w:rsidRPr="00C5526E">
              <w:rPr>
                <w:rStyle w:val="normaltextrun"/>
                <w:b/>
                <w:bCs/>
                <w:sz w:val="22"/>
                <w:szCs w:val="22"/>
              </w:rPr>
              <w:t>Provide grants to end-users</w:t>
            </w:r>
            <w:r w:rsidRPr="00A401A9">
              <w:rPr>
                <w:rStyle w:val="normaltextrun"/>
                <w:sz w:val="22"/>
                <w:szCs w:val="22"/>
              </w:rPr>
              <w:t xml:space="preserve"> – flexible funding mechanisms to support the integration of evidence synthesis into policymaking and </w:t>
            </w:r>
            <w:r w:rsidR="001120D2">
              <w:rPr>
                <w:rStyle w:val="normaltextrun"/>
                <w:sz w:val="22"/>
                <w:szCs w:val="22"/>
              </w:rPr>
              <w:t>other decision-making processes</w:t>
            </w:r>
            <w:r w:rsidRPr="00A401A9">
              <w:rPr>
                <w:rStyle w:val="normaltextrun"/>
                <w:sz w:val="22"/>
                <w:szCs w:val="22"/>
              </w:rPr>
              <w:t>.</w:t>
            </w:r>
          </w:p>
        </w:tc>
      </w:tr>
    </w:tbl>
    <w:p w14:paraId="1B0E4555" w14:textId="217670A0" w:rsidR="7FBCBF42" w:rsidRDefault="7FBCBF42" w:rsidP="7FBCBF42">
      <w:pPr>
        <w:pStyle w:val="Heading4"/>
        <w:rPr>
          <w:rStyle w:val="normaltextrun"/>
        </w:rPr>
      </w:pPr>
    </w:p>
    <w:p w14:paraId="6B4B3123" w14:textId="00A06E89" w:rsidR="00AC3926" w:rsidRDefault="001B7EC0" w:rsidP="001B7EC0">
      <w:pPr>
        <w:pStyle w:val="Heading4"/>
        <w:rPr>
          <w:rStyle w:val="normaltextrun"/>
        </w:rPr>
      </w:pPr>
      <w:r>
        <w:rPr>
          <w:rStyle w:val="normaltextrun"/>
        </w:rPr>
        <w:t>There is a strength in having complementary and modular options</w:t>
      </w:r>
    </w:p>
    <w:p w14:paraId="63A46BC0" w14:textId="376AD4B6" w:rsidR="001B7EC0" w:rsidRDefault="00362612" w:rsidP="001A60D1">
      <w:pPr>
        <w:rPr>
          <w:rStyle w:val="normaltextrun"/>
        </w:rPr>
      </w:pPr>
      <w:r>
        <w:rPr>
          <w:rStyle w:val="normaltextrun"/>
        </w:rPr>
        <w:t xml:space="preserve">Feedback </w:t>
      </w:r>
      <w:r w:rsidR="7685583A" w:rsidRPr="7FBCBF42">
        <w:rPr>
          <w:rStyle w:val="normaltextrun"/>
        </w:rPr>
        <w:t>supported the idea</w:t>
      </w:r>
      <w:r>
        <w:rPr>
          <w:rStyle w:val="normaltextrun"/>
        </w:rPr>
        <w:t xml:space="preserve"> of </w:t>
      </w:r>
      <w:r w:rsidRPr="7FBCBF42">
        <w:rPr>
          <w:rStyle w:val="normaltextrun"/>
        </w:rPr>
        <w:t>implement</w:t>
      </w:r>
      <w:r w:rsidR="1D4071A3" w:rsidRPr="7FBCBF42">
        <w:rPr>
          <w:rStyle w:val="normaltextrun"/>
        </w:rPr>
        <w:t>ing</w:t>
      </w:r>
      <w:r w:rsidRPr="00362612">
        <w:rPr>
          <w:rStyle w:val="normaltextrun"/>
        </w:rPr>
        <w:t xml:space="preserve"> the five options in a modular or complementary way, rather than as discrete or competing models. This view </w:t>
      </w:r>
      <w:r w:rsidR="00AA5BD9">
        <w:rPr>
          <w:rStyle w:val="normaltextrun"/>
        </w:rPr>
        <w:t xml:space="preserve">also aligned with a notion that </w:t>
      </w:r>
      <w:r w:rsidRPr="00362612">
        <w:rPr>
          <w:rStyle w:val="normaltextrun"/>
        </w:rPr>
        <w:t>Options 1</w:t>
      </w:r>
      <w:r w:rsidR="00831ED0">
        <w:rPr>
          <w:rStyle w:val="normaltextrun"/>
        </w:rPr>
        <w:t xml:space="preserve">, 2 and </w:t>
      </w:r>
      <w:r w:rsidRPr="00362612">
        <w:rPr>
          <w:rStyle w:val="normaltextrun"/>
        </w:rPr>
        <w:t>3 (Regional Secretariats, Intermediary Support, Co-Design Labs) are mutually reinforcing components</w:t>
      </w:r>
      <w:r w:rsidR="001A60D1">
        <w:t xml:space="preserve">. </w:t>
      </w:r>
      <w:r w:rsidRPr="00362612">
        <w:rPr>
          <w:rStyle w:val="normaltextrun"/>
        </w:rPr>
        <w:t xml:space="preserve">For example, regional secretariats could serve as system-level governance structures, while intermediary support provides mid-level capacity and co-design labs enable frontline engagement. </w:t>
      </w:r>
      <w:r w:rsidRPr="7FBCBF42">
        <w:rPr>
          <w:rStyle w:val="normaltextrun"/>
        </w:rPr>
        <w:t>This promote</w:t>
      </w:r>
      <w:r w:rsidR="1E891178" w:rsidRPr="7FBCBF42">
        <w:rPr>
          <w:rStyle w:val="normaltextrun"/>
        </w:rPr>
        <w:t>s</w:t>
      </w:r>
      <w:r w:rsidRPr="00362612">
        <w:rPr>
          <w:rStyle w:val="normaltextrun"/>
        </w:rPr>
        <w:t xml:space="preserve"> adaptability and the potential for sequencing based on readiness</w:t>
      </w:r>
      <w:r w:rsidR="001A60D1">
        <w:rPr>
          <w:rStyle w:val="normaltextrun"/>
        </w:rPr>
        <w:t xml:space="preserve"> in different sectors and regions</w:t>
      </w:r>
      <w:r w:rsidRPr="00362612">
        <w:rPr>
          <w:rStyle w:val="normaltextrun"/>
        </w:rPr>
        <w:t>.</w:t>
      </w:r>
    </w:p>
    <w:p w14:paraId="29127A98" w14:textId="4458B9A8" w:rsidR="001A60D1" w:rsidRDefault="00907638" w:rsidP="003E4346">
      <w:pPr>
        <w:pStyle w:val="Heading4"/>
        <w:rPr>
          <w:rStyle w:val="normaltextrun"/>
        </w:rPr>
      </w:pPr>
      <w:r>
        <w:rPr>
          <w:rStyle w:val="normaltextrun"/>
        </w:rPr>
        <w:t>There is a</w:t>
      </w:r>
      <w:r w:rsidR="003E4346">
        <w:rPr>
          <w:rStyle w:val="normaltextrun"/>
        </w:rPr>
        <w:t xml:space="preserve"> positive focus on equity and regional representation</w:t>
      </w:r>
    </w:p>
    <w:p w14:paraId="47486D9C" w14:textId="59D95185" w:rsidR="00FA02F3" w:rsidRPr="00826777" w:rsidRDefault="00FA02F3" w:rsidP="00FA02F3">
      <w:pPr>
        <w:rPr>
          <w:lang w:bidi="th-TH"/>
        </w:rPr>
      </w:pPr>
      <w:r w:rsidRPr="00826777">
        <w:rPr>
          <w:lang w:bidi="th-TH"/>
        </w:rPr>
        <w:t xml:space="preserve">Respondents welcomed the report’s emphasis on engaging under-represented sectors and regions. However, some noted risks of geographic exclusion or uneven uptake if regional or sectoral disparities are not actively addressed. Feedback called for clarification on how support for marginalised actors will be sustained over time, particularly in light of shifting political </w:t>
      </w:r>
      <w:r w:rsidR="22178C95" w:rsidRPr="4E613D92">
        <w:rPr>
          <w:lang w:bidi="th-TH"/>
        </w:rPr>
        <w:t>and</w:t>
      </w:r>
      <w:r w:rsidRPr="00826777">
        <w:rPr>
          <w:lang w:bidi="th-TH"/>
        </w:rPr>
        <w:t xml:space="preserve"> funding environments. There was also support for building on existing regional mechanisms, such as UN collaborative platforms</w:t>
      </w:r>
      <w:r w:rsidR="009970EE">
        <w:rPr>
          <w:lang w:bidi="th-TH"/>
        </w:rPr>
        <w:t>, existing intermediaries,</w:t>
      </w:r>
      <w:r w:rsidRPr="00826777">
        <w:rPr>
          <w:lang w:bidi="th-TH"/>
        </w:rPr>
        <w:t xml:space="preserve"> </w:t>
      </w:r>
      <w:r w:rsidR="35108AFA" w:rsidRPr="4E613D92">
        <w:rPr>
          <w:lang w:bidi="th-TH"/>
        </w:rPr>
        <w:t>and</w:t>
      </w:r>
      <w:r w:rsidRPr="00826777">
        <w:rPr>
          <w:lang w:bidi="th-TH"/>
        </w:rPr>
        <w:t xml:space="preserve"> regional </w:t>
      </w:r>
      <w:r w:rsidR="00751EC0">
        <w:rPr>
          <w:lang w:bidi="th-TH"/>
        </w:rPr>
        <w:t>evidence</w:t>
      </w:r>
      <w:r w:rsidRPr="00826777">
        <w:rPr>
          <w:lang w:bidi="th-TH"/>
        </w:rPr>
        <w:t xml:space="preserve"> communities, to ensure political legitimacy and continuity.</w:t>
      </w:r>
    </w:p>
    <w:p w14:paraId="229BABFC" w14:textId="267A27F3" w:rsidR="007D6243" w:rsidRDefault="0082364D" w:rsidP="0082364D">
      <w:pPr>
        <w:pStyle w:val="Heading4"/>
        <w:rPr>
          <w:rStyle w:val="normaltextrun"/>
        </w:rPr>
      </w:pPr>
      <w:r>
        <w:rPr>
          <w:rStyle w:val="normaltextrun"/>
        </w:rPr>
        <w:t>Some sectors, eager for support, do not have the maturity of existing players</w:t>
      </w:r>
    </w:p>
    <w:p w14:paraId="622E85DC" w14:textId="2FA37E5D" w:rsidR="006E2408" w:rsidRDefault="007D6243" w:rsidP="007D6243">
      <w:pPr>
        <w:rPr>
          <w:lang w:bidi="th-TH"/>
        </w:rPr>
      </w:pPr>
      <w:r w:rsidRPr="00826777">
        <w:rPr>
          <w:lang w:bidi="th-TH"/>
        </w:rPr>
        <w:t xml:space="preserve">A strong </w:t>
      </w:r>
      <w:r>
        <w:rPr>
          <w:lang w:bidi="th-TH"/>
        </w:rPr>
        <w:t xml:space="preserve">and recurring </w:t>
      </w:r>
      <w:r w:rsidRPr="00826777">
        <w:rPr>
          <w:lang w:bidi="th-TH"/>
        </w:rPr>
        <w:t xml:space="preserve">theme in the feedback concerned the need to account for differences in evidence </w:t>
      </w:r>
      <w:r w:rsidR="005E6EA6">
        <w:rPr>
          <w:lang w:bidi="th-TH"/>
        </w:rPr>
        <w:t xml:space="preserve">synthesis </w:t>
      </w:r>
      <w:r w:rsidRPr="00826777">
        <w:rPr>
          <w:lang w:bidi="th-TH"/>
        </w:rPr>
        <w:t>maturity across sectors. While fields like health and social sciences often benefit from formal intermediaries and established synthesis infrastructure, other domains</w:t>
      </w:r>
      <w:r w:rsidR="0082364D">
        <w:rPr>
          <w:lang w:bidi="th-TH"/>
        </w:rPr>
        <w:t xml:space="preserve"> – </w:t>
      </w:r>
      <w:r w:rsidRPr="00826777">
        <w:rPr>
          <w:lang w:bidi="th-TH"/>
        </w:rPr>
        <w:t xml:space="preserve">such as environment, education, </w:t>
      </w:r>
      <w:r w:rsidR="00F472F9">
        <w:rPr>
          <w:lang w:bidi="th-TH"/>
        </w:rPr>
        <w:t xml:space="preserve">housing, gender </w:t>
      </w:r>
      <w:r w:rsidRPr="00826777">
        <w:rPr>
          <w:lang w:bidi="th-TH"/>
        </w:rPr>
        <w:t>and humanitarian response</w:t>
      </w:r>
      <w:r w:rsidR="0082364D">
        <w:rPr>
          <w:lang w:bidi="th-TH"/>
        </w:rPr>
        <w:t xml:space="preserve"> – </w:t>
      </w:r>
      <w:r w:rsidRPr="00826777">
        <w:rPr>
          <w:lang w:bidi="th-TH"/>
        </w:rPr>
        <w:t xml:space="preserve">may lack comparable systems. </w:t>
      </w:r>
      <w:r w:rsidR="00E0226C">
        <w:rPr>
          <w:lang w:bidi="th-TH"/>
        </w:rPr>
        <w:t xml:space="preserve">They </w:t>
      </w:r>
      <w:r w:rsidR="00E0226C" w:rsidRPr="006E2408">
        <w:rPr>
          <w:lang w:bidi="th-TH"/>
        </w:rPr>
        <w:t>often operate with limited infrastructure and face systemic barriers to evidence use.</w:t>
      </w:r>
      <w:r w:rsidR="00E0226C">
        <w:rPr>
          <w:lang w:bidi="th-TH"/>
        </w:rPr>
        <w:t xml:space="preserve"> </w:t>
      </w:r>
      <w:r w:rsidR="006E2408" w:rsidRPr="006E2408">
        <w:rPr>
          <w:lang w:bidi="th-TH"/>
        </w:rPr>
        <w:t xml:space="preserve">Sectoral inequity is as critical as regional disparity in shaping demand-side engagement. </w:t>
      </w:r>
    </w:p>
    <w:p w14:paraId="5150A8C2" w14:textId="43B705DD" w:rsidR="008959EB" w:rsidRDefault="007D6243" w:rsidP="007D6243">
      <w:pPr>
        <w:rPr>
          <w:lang w:bidi="th-TH"/>
        </w:rPr>
      </w:pPr>
      <w:r w:rsidRPr="00826777">
        <w:rPr>
          <w:lang w:bidi="th-TH"/>
        </w:rPr>
        <w:t>As such, strategies that work well in one domain may not translate effectively to another. Several contributors recommended explicitly recognising these disparities and tailoring or sequencing options to reflect both regional and sectoral variation.</w:t>
      </w:r>
      <w:r w:rsidR="0D02399F" w:rsidRPr="7FBCBF42">
        <w:rPr>
          <w:lang w:bidi="th-TH"/>
        </w:rPr>
        <w:t xml:space="preserve"> </w:t>
      </w:r>
      <w:r w:rsidR="05362E01" w:rsidRPr="7FBCBF42">
        <w:rPr>
          <w:lang w:bidi="th-TH"/>
        </w:rPr>
        <w:t>However</w:t>
      </w:r>
      <w:r w:rsidR="00EA1D80" w:rsidRPr="7FBCBF42">
        <w:rPr>
          <w:lang w:bidi="th-TH"/>
        </w:rPr>
        <w:t>,</w:t>
      </w:r>
      <w:r w:rsidR="22D12F30" w:rsidRPr="7FBCBF42">
        <w:rPr>
          <w:lang w:bidi="th-TH"/>
        </w:rPr>
        <w:t xml:space="preserve"> others felt</w:t>
      </w:r>
      <w:r w:rsidR="00EA1D80">
        <w:rPr>
          <w:lang w:bidi="th-TH"/>
        </w:rPr>
        <w:t xml:space="preserve"> </w:t>
      </w:r>
      <w:r w:rsidR="00C242F1">
        <w:rPr>
          <w:lang w:bidi="th-TH"/>
        </w:rPr>
        <w:t xml:space="preserve">that </w:t>
      </w:r>
      <w:r w:rsidR="008959EB">
        <w:rPr>
          <w:lang w:bidi="th-TH"/>
        </w:rPr>
        <w:t xml:space="preserve">options did </w:t>
      </w:r>
      <w:r w:rsidR="00D814E1">
        <w:rPr>
          <w:lang w:bidi="th-TH"/>
        </w:rPr>
        <w:t xml:space="preserve">not </w:t>
      </w:r>
      <w:r w:rsidR="00C7361E">
        <w:rPr>
          <w:lang w:bidi="th-TH"/>
        </w:rPr>
        <w:t xml:space="preserve">sufficiently </w:t>
      </w:r>
      <w:r w:rsidR="008959EB" w:rsidRPr="008959EB">
        <w:rPr>
          <w:lang w:bidi="th-TH"/>
        </w:rPr>
        <w:t xml:space="preserve">account for </w:t>
      </w:r>
      <w:r w:rsidR="00D814E1">
        <w:rPr>
          <w:lang w:bidi="th-TH"/>
        </w:rPr>
        <w:t xml:space="preserve">capabilities of </w:t>
      </w:r>
      <w:r w:rsidR="008959EB" w:rsidRPr="008959EB">
        <w:rPr>
          <w:lang w:bidi="th-TH"/>
        </w:rPr>
        <w:t>existing intermediaries and networks</w:t>
      </w:r>
      <w:r w:rsidR="00A35674">
        <w:rPr>
          <w:lang w:bidi="th-TH"/>
        </w:rPr>
        <w:t>.</w:t>
      </w:r>
    </w:p>
    <w:p w14:paraId="25E75AA9" w14:textId="54F7BC02" w:rsidR="00EF0CAD" w:rsidRDefault="00A02091" w:rsidP="00A02091">
      <w:pPr>
        <w:pStyle w:val="Heading4"/>
        <w:rPr>
          <w:lang w:bidi="th-TH"/>
        </w:rPr>
      </w:pPr>
      <w:r>
        <w:rPr>
          <w:lang w:bidi="th-TH"/>
        </w:rPr>
        <w:t>The definition and clarification of end-users continues to spark discussion</w:t>
      </w:r>
    </w:p>
    <w:p w14:paraId="070C34E6" w14:textId="3E1C09F8" w:rsidR="00AD497E" w:rsidRDefault="00A02091" w:rsidP="00A02091">
      <w:pPr>
        <w:rPr>
          <w:lang w:bidi="th-TH"/>
        </w:rPr>
      </w:pPr>
      <w:r w:rsidRPr="00826777">
        <w:rPr>
          <w:lang w:bidi="th-TH"/>
        </w:rPr>
        <w:t xml:space="preserve">Respondents </w:t>
      </w:r>
      <w:r w:rsidR="00A10938">
        <w:rPr>
          <w:lang w:bidi="th-TH"/>
        </w:rPr>
        <w:t>highlighted nuances in the</w:t>
      </w:r>
      <w:r w:rsidRPr="00826777">
        <w:rPr>
          <w:lang w:bidi="th-TH"/>
        </w:rPr>
        <w:t xml:space="preserve"> end-</w:t>
      </w:r>
      <w:r w:rsidRPr="7FBCBF42">
        <w:rPr>
          <w:lang w:bidi="th-TH"/>
        </w:rPr>
        <w:t>user</w:t>
      </w:r>
      <w:r w:rsidR="64FF64F8" w:rsidRPr="7FBCBF42">
        <w:rPr>
          <w:lang w:bidi="th-TH"/>
        </w:rPr>
        <w:t>s</w:t>
      </w:r>
      <w:r w:rsidRPr="7FBCBF42">
        <w:rPr>
          <w:lang w:bidi="th-TH"/>
        </w:rPr>
        <w:t xml:space="preserve"> </w:t>
      </w:r>
      <w:r w:rsidR="08A01AFC" w:rsidRPr="7FBCBF42">
        <w:rPr>
          <w:lang w:bidi="th-TH"/>
        </w:rPr>
        <w:t>identified</w:t>
      </w:r>
      <w:r w:rsidR="002D318C">
        <w:rPr>
          <w:lang w:bidi="th-TH"/>
        </w:rPr>
        <w:t>,</w:t>
      </w:r>
      <w:r w:rsidRPr="00826777">
        <w:rPr>
          <w:lang w:bidi="th-TH"/>
        </w:rPr>
        <w:t xml:space="preserve"> </w:t>
      </w:r>
      <w:r w:rsidR="00B40727">
        <w:rPr>
          <w:lang w:bidi="th-TH"/>
        </w:rPr>
        <w:t xml:space="preserve">noting the varied roles played by </w:t>
      </w:r>
      <w:r w:rsidRPr="00826777">
        <w:rPr>
          <w:lang w:bidi="th-TH"/>
        </w:rPr>
        <w:t>government actors, multilateral or bilateral decision-makers, and embedded evidence</w:t>
      </w:r>
      <w:r w:rsidR="003C2EAB">
        <w:rPr>
          <w:lang w:bidi="th-TH"/>
        </w:rPr>
        <w:t xml:space="preserve"> support</w:t>
      </w:r>
      <w:r w:rsidRPr="00826777">
        <w:rPr>
          <w:lang w:bidi="th-TH"/>
        </w:rPr>
        <w:t xml:space="preserve"> </w:t>
      </w:r>
      <w:r w:rsidR="001B3476">
        <w:rPr>
          <w:lang w:bidi="th-TH"/>
        </w:rPr>
        <w:t>units</w:t>
      </w:r>
      <w:r w:rsidRPr="00826777">
        <w:rPr>
          <w:lang w:bidi="th-TH"/>
        </w:rPr>
        <w:t xml:space="preserve"> (such as </w:t>
      </w:r>
      <w:r w:rsidR="003C2EAB">
        <w:rPr>
          <w:lang w:bidi="th-TH"/>
        </w:rPr>
        <w:t xml:space="preserve">in </w:t>
      </w:r>
      <w:r w:rsidRPr="00826777">
        <w:rPr>
          <w:lang w:bidi="th-TH"/>
        </w:rPr>
        <w:t xml:space="preserve">policy units and UN evaluation offices). These actors often operate with distinct mandates, incentives, and institutional access. </w:t>
      </w:r>
    </w:p>
    <w:p w14:paraId="664B9A8B" w14:textId="10B419B9" w:rsidR="00A02091" w:rsidRDefault="00A02091" w:rsidP="00A02091">
      <w:pPr>
        <w:rPr>
          <w:lang w:bidi="th-TH"/>
        </w:rPr>
      </w:pPr>
      <w:r w:rsidRPr="00826777">
        <w:rPr>
          <w:lang w:bidi="th-TH"/>
        </w:rPr>
        <w:t xml:space="preserve">Understanding these </w:t>
      </w:r>
      <w:r w:rsidR="36BBF8A6" w:rsidRPr="4E613D92">
        <w:rPr>
          <w:lang w:bidi="th-TH"/>
        </w:rPr>
        <w:t>differe</w:t>
      </w:r>
      <w:r w:rsidRPr="4E613D92">
        <w:rPr>
          <w:lang w:bidi="th-TH"/>
        </w:rPr>
        <w:t>nces</w:t>
      </w:r>
      <w:r w:rsidRPr="00826777">
        <w:rPr>
          <w:lang w:bidi="th-TH"/>
        </w:rPr>
        <w:t xml:space="preserve"> is critical to designing fit-for-purpose engagement models and governance arrangements. </w:t>
      </w:r>
      <w:r w:rsidR="0048191C">
        <w:rPr>
          <w:lang w:bidi="th-TH"/>
        </w:rPr>
        <w:t xml:space="preserve">These distinctions will be of increased importance as mechanisms are designed to leverage and support players – with some bodies </w:t>
      </w:r>
      <w:r w:rsidR="00010DBC">
        <w:rPr>
          <w:lang w:bidi="th-TH"/>
        </w:rPr>
        <w:t xml:space="preserve">having potential to be </w:t>
      </w:r>
      <w:r w:rsidR="009F6597" w:rsidRPr="7FBCBF42">
        <w:rPr>
          <w:lang w:bidi="th-TH"/>
        </w:rPr>
        <w:t xml:space="preserve">an </w:t>
      </w:r>
      <w:r w:rsidR="00010DBC">
        <w:rPr>
          <w:lang w:bidi="th-TH"/>
        </w:rPr>
        <w:t xml:space="preserve">organisational anchor (host or supporter of work), </w:t>
      </w:r>
      <w:r w:rsidR="00A64532">
        <w:rPr>
          <w:lang w:bidi="th-TH"/>
        </w:rPr>
        <w:t xml:space="preserve">while also serving roles as </w:t>
      </w:r>
      <w:r w:rsidR="003F3759">
        <w:rPr>
          <w:lang w:bidi="th-TH"/>
        </w:rPr>
        <w:t>producer of evidence and evidence user</w:t>
      </w:r>
      <w:r w:rsidR="006F0E33">
        <w:rPr>
          <w:lang w:bidi="th-TH"/>
        </w:rPr>
        <w:t xml:space="preserve"> (see also next section)</w:t>
      </w:r>
      <w:r w:rsidR="003F3759">
        <w:rPr>
          <w:lang w:bidi="th-TH"/>
        </w:rPr>
        <w:t xml:space="preserve">. </w:t>
      </w:r>
    </w:p>
    <w:p w14:paraId="1E492DDC" w14:textId="35EF5D64" w:rsidR="00420673" w:rsidRPr="00420673" w:rsidRDefault="00420673" w:rsidP="00420673">
      <w:pPr>
        <w:pStyle w:val="Heading4"/>
        <w:rPr>
          <w:lang w:val="en-AU" w:bidi="th-TH"/>
        </w:rPr>
      </w:pPr>
      <w:r w:rsidRPr="00420673">
        <w:rPr>
          <w:lang w:val="en-AU" w:bidi="th-TH"/>
        </w:rPr>
        <w:t>Gaps</w:t>
      </w:r>
      <w:r w:rsidR="00CC3D9C" w:rsidRPr="00420673">
        <w:rPr>
          <w:lang w:val="en-AU" w:bidi="th-TH"/>
        </w:rPr>
        <w:t>, emerging actors, and the role of existing intermediaries</w:t>
      </w:r>
    </w:p>
    <w:p w14:paraId="78710512" w14:textId="20E6A4B6" w:rsidR="00420673" w:rsidRPr="00420673" w:rsidRDefault="00420673" w:rsidP="00420673">
      <w:pPr>
        <w:rPr>
          <w:lang w:val="en-AU" w:bidi="th-TH"/>
        </w:rPr>
      </w:pPr>
      <w:r w:rsidRPr="00420673">
        <w:rPr>
          <w:lang w:val="en-AU" w:bidi="th-TH"/>
        </w:rPr>
        <w:t>While the Stage 3 feedback acknowledged the value of working with existing intermediaries</w:t>
      </w:r>
      <w:r w:rsidR="00A375E9">
        <w:rPr>
          <w:lang w:bidi="th-TH"/>
        </w:rPr>
        <w:t xml:space="preserve"> – </w:t>
      </w:r>
      <w:r w:rsidRPr="00420673">
        <w:rPr>
          <w:lang w:val="en-AU" w:bidi="th-TH"/>
        </w:rPr>
        <w:t>many of whom bring deep sectoral expertise, trusted networks, and institutional memory</w:t>
      </w:r>
      <w:r w:rsidR="00A375E9">
        <w:rPr>
          <w:lang w:bidi="th-TH"/>
        </w:rPr>
        <w:t xml:space="preserve"> – </w:t>
      </w:r>
      <w:r w:rsidR="0079534A">
        <w:rPr>
          <w:lang w:bidi="th-TH"/>
        </w:rPr>
        <w:t xml:space="preserve">it </w:t>
      </w:r>
      <w:r w:rsidRPr="00420673">
        <w:rPr>
          <w:lang w:val="en-AU" w:bidi="th-TH"/>
        </w:rPr>
        <w:t>also highlighted important gaps across the evidence synthesis system. Not all regions or sectors benefit from well-established intermediary infrastructure, and the quality, focus, and inclusiveness of existing organisations vary significantly.</w:t>
      </w:r>
    </w:p>
    <w:p w14:paraId="22DC6D91" w14:textId="185403F4" w:rsidR="00420673" w:rsidRPr="00420673" w:rsidRDefault="00420673" w:rsidP="00420673">
      <w:pPr>
        <w:rPr>
          <w:lang w:val="en-AU" w:bidi="th-TH"/>
        </w:rPr>
      </w:pPr>
      <w:r w:rsidRPr="00420673">
        <w:rPr>
          <w:lang w:val="en-AU" w:bidi="th-TH"/>
        </w:rPr>
        <w:t>Several emerging actors expressed a clear appetite for greater support to build or formalise their intermediary roles, particularly in underrepresented domains such as environment, education, and local governance</w:t>
      </w:r>
      <w:r w:rsidR="002D4857">
        <w:rPr>
          <w:lang w:val="en-AU" w:bidi="th-TH"/>
        </w:rPr>
        <w:t xml:space="preserve"> and </w:t>
      </w:r>
      <w:r w:rsidR="12CE14F8" w:rsidRPr="7FBCBF42">
        <w:rPr>
          <w:lang w:val="en-AU" w:bidi="th-TH"/>
        </w:rPr>
        <w:t xml:space="preserve">in </w:t>
      </w:r>
      <w:r w:rsidR="002D4857">
        <w:rPr>
          <w:lang w:val="en-AU" w:bidi="th-TH"/>
        </w:rPr>
        <w:t>marginalised</w:t>
      </w:r>
      <w:r w:rsidR="00B63914">
        <w:rPr>
          <w:lang w:val="en-AU" w:bidi="th-TH"/>
        </w:rPr>
        <w:t xml:space="preserve">, </w:t>
      </w:r>
      <w:r w:rsidR="002D4857">
        <w:rPr>
          <w:lang w:val="en-AU" w:bidi="th-TH"/>
        </w:rPr>
        <w:t>resource-constrained regions</w:t>
      </w:r>
      <w:r w:rsidRPr="00420673">
        <w:rPr>
          <w:lang w:val="en-AU" w:bidi="th-TH"/>
        </w:rPr>
        <w:t xml:space="preserve">. These groups </w:t>
      </w:r>
      <w:r w:rsidR="0062201B">
        <w:rPr>
          <w:lang w:val="en-AU" w:bidi="th-TH"/>
        </w:rPr>
        <w:t xml:space="preserve">are </w:t>
      </w:r>
      <w:r w:rsidRPr="00420673">
        <w:rPr>
          <w:lang w:val="en-AU" w:bidi="th-TH"/>
        </w:rPr>
        <w:t xml:space="preserve">often </w:t>
      </w:r>
      <w:r w:rsidR="0062201B">
        <w:rPr>
          <w:lang w:val="en-AU" w:bidi="th-TH"/>
        </w:rPr>
        <w:t xml:space="preserve">striving to </w:t>
      </w:r>
      <w:r w:rsidRPr="00420673">
        <w:rPr>
          <w:lang w:val="en-AU" w:bidi="th-TH"/>
        </w:rPr>
        <w:t>bring innovative practices to end-users, but lack access to sustained funding, mentorship, or formal recognition</w:t>
      </w:r>
      <w:r w:rsidR="0062201B">
        <w:rPr>
          <w:lang w:val="en-AU" w:bidi="th-TH"/>
        </w:rPr>
        <w:t xml:space="preserve"> to advance their work</w:t>
      </w:r>
      <w:r w:rsidRPr="00420673">
        <w:rPr>
          <w:lang w:val="en-AU" w:bidi="th-TH"/>
        </w:rPr>
        <w:t xml:space="preserve">. </w:t>
      </w:r>
      <w:r w:rsidR="00FA178D" w:rsidRPr="00FA178D">
        <w:rPr>
          <w:lang w:val="en-AU" w:bidi="th-TH"/>
        </w:rPr>
        <w:t>Without targeted sector-specific investment and mentoring, even committed actors within these fields may struggle to access or adapt synthesis outputs, widening the evidence-use gap and reinforcing sectoral imbalances.</w:t>
      </w:r>
    </w:p>
    <w:p w14:paraId="7D64080C" w14:textId="5EE5895C" w:rsidR="00420673" w:rsidRPr="00420673" w:rsidRDefault="00420673" w:rsidP="00420673">
      <w:pPr>
        <w:rPr>
          <w:lang w:val="en-AU" w:bidi="th-TH"/>
        </w:rPr>
      </w:pPr>
      <w:r w:rsidRPr="00420673">
        <w:rPr>
          <w:lang w:val="en-AU" w:bidi="th-TH"/>
        </w:rPr>
        <w:t xml:space="preserve">It was also observed that some existing actors may have an implicit interest in preserving their influence within the current system. While such dynamics are not unexpected in any maturing field, they underline the importance of </w:t>
      </w:r>
      <w:r w:rsidR="000F5C1C">
        <w:rPr>
          <w:lang w:val="en-AU" w:bidi="th-TH"/>
        </w:rPr>
        <w:t xml:space="preserve">placing equity at the forefront by </w:t>
      </w:r>
      <w:r w:rsidRPr="00420673">
        <w:rPr>
          <w:lang w:val="en-AU" w:bidi="th-TH"/>
        </w:rPr>
        <w:t>ensuring that support mechanisms are open, inclusive, and intentionally designed to foster new entrants.</w:t>
      </w:r>
    </w:p>
    <w:p w14:paraId="0195B34B" w14:textId="2C315AF6" w:rsidR="00420673" w:rsidRPr="00420673" w:rsidRDefault="00420673" w:rsidP="00420673">
      <w:pPr>
        <w:rPr>
          <w:lang w:val="en-AU" w:bidi="th-TH"/>
        </w:rPr>
      </w:pPr>
      <w:r w:rsidRPr="00420673">
        <w:rPr>
          <w:lang w:val="en-AU" w:bidi="th-TH"/>
        </w:rPr>
        <w:t>In this context, a balanced strategy is needed</w:t>
      </w:r>
      <w:r w:rsidR="00CC3D9C">
        <w:rPr>
          <w:lang w:bidi="th-TH"/>
        </w:rPr>
        <w:t xml:space="preserve"> – </w:t>
      </w:r>
      <w:r w:rsidRPr="00420673">
        <w:rPr>
          <w:lang w:val="en-AU" w:bidi="th-TH"/>
        </w:rPr>
        <w:t>one that leverages the strengths of existing organisations while also creating space for new players to emerge</w:t>
      </w:r>
      <w:r w:rsidR="0033271C">
        <w:rPr>
          <w:lang w:val="en-AU" w:bidi="th-TH"/>
        </w:rPr>
        <w:t>, specifically in under-represented regions and sectors</w:t>
      </w:r>
      <w:r w:rsidRPr="00420673">
        <w:rPr>
          <w:lang w:val="en-AU" w:bidi="th-TH"/>
        </w:rPr>
        <w:t xml:space="preserve"> Innovations such as regional secretariats or open intermediary networks may provide the enabling infrastructure to achieve both.</w:t>
      </w:r>
    </w:p>
    <w:p w14:paraId="24C0B7A0" w14:textId="513815EF" w:rsidR="00B63908" w:rsidRDefault="00B63908" w:rsidP="00B63908">
      <w:pPr>
        <w:pStyle w:val="Heading4"/>
        <w:rPr>
          <w:rStyle w:val="normaltextrun"/>
        </w:rPr>
      </w:pPr>
      <w:r>
        <w:rPr>
          <w:rStyle w:val="normaltextrun"/>
        </w:rPr>
        <w:t xml:space="preserve">Broadening scope for question repositories </w:t>
      </w:r>
    </w:p>
    <w:p w14:paraId="5EF8BBD0" w14:textId="77777777" w:rsidR="00E214CA" w:rsidRDefault="00B63908" w:rsidP="00E214CA">
      <w:pPr>
        <w:spacing w:after="80"/>
        <w:rPr>
          <w:lang w:bidi="th-TH"/>
        </w:rPr>
      </w:pPr>
      <w:r w:rsidRPr="00826777">
        <w:rPr>
          <w:lang w:bidi="th-TH"/>
        </w:rPr>
        <w:t>Option 4 (question repositories) attracted mixed views. While the concept was seen as promising, concerns were raised about its reliance on academic modes of question formulation. Several respondents suggested reframing the model as a repository of broad priority themes</w:t>
      </w:r>
      <w:r w:rsidR="00E214CA" w:rsidRPr="00826777">
        <w:rPr>
          <w:lang w:bidi="th-TH"/>
        </w:rPr>
        <w:t xml:space="preserve">, which could later be refined into answerable synthesis questions through co-production processes. </w:t>
      </w:r>
    </w:p>
    <w:p w14:paraId="10513E55" w14:textId="304E079A" w:rsidR="00B63908" w:rsidRDefault="00BA573A" w:rsidP="00C57A40">
      <w:pPr>
        <w:spacing w:after="80"/>
        <w:rPr>
          <w:lang w:bidi="th-TH"/>
        </w:rPr>
      </w:pPr>
      <w:r w:rsidRPr="00BA573A">
        <w:rPr>
          <w:lang w:val="en-GB" w:bidi="th-TH"/>
        </w:rPr>
        <w:t>Additionally, it was recommended to include evidence gap mapping, enabling the demand side to review existing evidence in their area of interest and submit any unaddressed questions for the question bank.</w:t>
      </w:r>
      <w:r>
        <w:rPr>
          <w:lang w:val="en-GB" w:bidi="th-TH"/>
        </w:rPr>
        <w:t xml:space="preserve"> </w:t>
      </w:r>
      <w:r w:rsidR="00B63908" w:rsidRPr="00826777">
        <w:rPr>
          <w:lang w:bidi="th-TH"/>
        </w:rPr>
        <w:t>This would make the model more responsive to how real-world policy priorities are typically shaped</w:t>
      </w:r>
      <w:r w:rsidR="000C22CC">
        <w:rPr>
          <w:lang w:bidi="th-TH"/>
        </w:rPr>
        <w:t xml:space="preserve"> – </w:t>
      </w:r>
      <w:r w:rsidR="00B63908" w:rsidRPr="00826777">
        <w:rPr>
          <w:lang w:bidi="th-TH"/>
        </w:rPr>
        <w:t>through negotiation, political context, or crisis response.</w:t>
      </w:r>
    </w:p>
    <w:p w14:paraId="673F4BF0" w14:textId="42F5FD61" w:rsidR="000C22CC" w:rsidRDefault="001B170E" w:rsidP="000445A1">
      <w:pPr>
        <w:pStyle w:val="Heading3"/>
        <w:spacing w:before="0"/>
        <w:jc w:val="both"/>
      </w:pPr>
      <w:r>
        <w:t>Implications of feedback for Stage 4</w:t>
      </w:r>
    </w:p>
    <w:p w14:paraId="43F3BECE" w14:textId="77777777" w:rsidR="005034DF" w:rsidRPr="00826777" w:rsidRDefault="005034DF" w:rsidP="005034DF">
      <w:pPr>
        <w:pStyle w:val="Heading4"/>
        <w:rPr>
          <w:lang w:bidi="th-TH"/>
        </w:rPr>
      </w:pPr>
      <w:r w:rsidRPr="00826777">
        <w:rPr>
          <w:lang w:bidi="th-TH"/>
        </w:rPr>
        <w:t>Capturing Variability and Demand-Side Complexity</w:t>
      </w:r>
    </w:p>
    <w:p w14:paraId="78EBCC02" w14:textId="73D21391" w:rsidR="005034DF" w:rsidRPr="00826777" w:rsidRDefault="005034DF" w:rsidP="00C57A40">
      <w:pPr>
        <w:spacing w:after="80"/>
        <w:rPr>
          <w:lang w:bidi="th-TH"/>
        </w:rPr>
      </w:pPr>
      <w:r w:rsidRPr="00826777">
        <w:rPr>
          <w:lang w:bidi="th-TH"/>
        </w:rPr>
        <w:t xml:space="preserve">The feedback underscored the importance of managing </w:t>
      </w:r>
      <w:r w:rsidR="1D343C4C" w:rsidRPr="7FBCBF42">
        <w:rPr>
          <w:lang w:bidi="th-TH"/>
        </w:rPr>
        <w:t>differences</w:t>
      </w:r>
      <w:r w:rsidRPr="7FBCBF42">
        <w:rPr>
          <w:lang w:bidi="th-TH"/>
        </w:rPr>
        <w:t xml:space="preserve"> </w:t>
      </w:r>
      <w:r w:rsidRPr="00826777">
        <w:rPr>
          <w:lang w:bidi="th-TH"/>
        </w:rPr>
        <w:t>across sectors and geographies. End-users differ in their awareness of evidence synthesis methods, access to primary data, and institutional readiness to use evidence. These differences shape not only their capacity to engage but also their patterns of evidence-seeking behaviour</w:t>
      </w:r>
      <w:r w:rsidRPr="7FBCBF42">
        <w:rPr>
          <w:lang w:bidi="th-TH"/>
        </w:rPr>
        <w:t>.</w:t>
      </w:r>
      <w:r w:rsidRPr="00826777">
        <w:rPr>
          <w:lang w:bidi="th-TH"/>
        </w:rPr>
        <w:t xml:space="preserve"> Any future design or implementation must accommodate this complexity.</w:t>
      </w:r>
    </w:p>
    <w:p w14:paraId="08FE6D81" w14:textId="77777777" w:rsidR="005034DF" w:rsidRPr="00826777" w:rsidRDefault="005034DF" w:rsidP="005034DF">
      <w:pPr>
        <w:pStyle w:val="Heading4"/>
        <w:rPr>
          <w:lang w:bidi="th-TH"/>
        </w:rPr>
      </w:pPr>
      <w:r w:rsidRPr="00826777">
        <w:rPr>
          <w:lang w:bidi="th-TH"/>
        </w:rPr>
        <w:t>Balancing Central Support with Local Flexibility</w:t>
      </w:r>
    </w:p>
    <w:p w14:paraId="23BB9C3F" w14:textId="23BE331D" w:rsidR="005034DF" w:rsidRPr="00826777" w:rsidRDefault="005034DF" w:rsidP="00C57A40">
      <w:pPr>
        <w:spacing w:after="80"/>
        <w:rPr>
          <w:lang w:bidi="th-TH"/>
        </w:rPr>
      </w:pPr>
      <w:r w:rsidRPr="00826777">
        <w:rPr>
          <w:lang w:bidi="th-TH"/>
        </w:rPr>
        <w:t>Stakeholders emphasised the need for centralised frameworks and guidance</w:t>
      </w:r>
      <w:r w:rsidR="00363ED2">
        <w:rPr>
          <w:lang w:bidi="th-TH"/>
        </w:rPr>
        <w:t xml:space="preserve"> – </w:t>
      </w:r>
      <w:r w:rsidRPr="00826777">
        <w:rPr>
          <w:lang w:bidi="th-TH"/>
        </w:rPr>
        <w:t>particularly for capacity-building among intermediaries</w:t>
      </w:r>
      <w:r w:rsidR="00363ED2">
        <w:rPr>
          <w:lang w:bidi="th-TH"/>
        </w:rPr>
        <w:t xml:space="preserve"> – </w:t>
      </w:r>
      <w:r w:rsidRPr="00826777">
        <w:rPr>
          <w:lang w:bidi="th-TH"/>
        </w:rPr>
        <w:t>while also promoting local ownership. A hybrid approach that includes generic tools adaptable to specific contexts was recommended. This could include modular toolkits or repositories, supported by global standards and peer learning platforms</w:t>
      </w:r>
      <w:r w:rsidR="00CD3965">
        <w:rPr>
          <w:lang w:bidi="th-TH"/>
        </w:rPr>
        <w:t xml:space="preserve"> </w:t>
      </w:r>
      <w:r w:rsidR="000F4DC9">
        <w:rPr>
          <w:lang w:bidi="th-TH"/>
        </w:rPr>
        <w:t>linked with other WGs.</w:t>
      </w:r>
    </w:p>
    <w:p w14:paraId="6F65E112" w14:textId="77777777" w:rsidR="005034DF" w:rsidRPr="00826777" w:rsidRDefault="005034DF" w:rsidP="005034DF">
      <w:pPr>
        <w:pStyle w:val="Heading4"/>
        <w:rPr>
          <w:lang w:bidi="th-TH"/>
        </w:rPr>
      </w:pPr>
      <w:r w:rsidRPr="00826777">
        <w:rPr>
          <w:lang w:bidi="th-TH"/>
        </w:rPr>
        <w:t>Sequencing and Governance</w:t>
      </w:r>
    </w:p>
    <w:p w14:paraId="7703288A" w14:textId="45170B9B" w:rsidR="001B170E" w:rsidRPr="00826777" w:rsidRDefault="005034DF" w:rsidP="00C57A40">
      <w:pPr>
        <w:spacing w:after="80"/>
        <w:rPr>
          <w:lang w:bidi="th-TH"/>
        </w:rPr>
      </w:pPr>
      <w:r w:rsidRPr="00826777">
        <w:rPr>
          <w:lang w:bidi="th-TH"/>
        </w:rPr>
        <w:t>Finally, several respondents called for clearer articulation of sequencing logic</w:t>
      </w:r>
      <w:r w:rsidR="00363ED2">
        <w:rPr>
          <w:lang w:bidi="th-TH"/>
        </w:rPr>
        <w:t xml:space="preserve"> – </w:t>
      </w:r>
      <w:r w:rsidRPr="00826777">
        <w:rPr>
          <w:lang w:bidi="th-TH"/>
        </w:rPr>
        <w:t>i.e., which options should be prioritised first, and under what conditions. Questions also emerged around governance</w:t>
      </w:r>
      <w:r w:rsidR="00170EF5">
        <w:rPr>
          <w:lang w:bidi="th-TH"/>
        </w:rPr>
        <w:t xml:space="preserve"> –</w:t>
      </w:r>
      <w:r w:rsidRPr="00826777">
        <w:rPr>
          <w:lang w:bidi="th-TH"/>
        </w:rPr>
        <w:t xml:space="preserve"> what structures will oversee these options, how trade-offs between investment areas will be managed, and what prioritisation criteria will be applied. These are key design issues for Stage 4 </w:t>
      </w:r>
      <w:r w:rsidR="54C0DC2A" w:rsidRPr="7FBCBF42">
        <w:rPr>
          <w:lang w:bidi="th-TH"/>
        </w:rPr>
        <w:t>which are</w:t>
      </w:r>
      <w:r w:rsidR="000F4DC9">
        <w:rPr>
          <w:lang w:bidi="th-TH"/>
        </w:rPr>
        <w:t xml:space="preserve"> addressed in the final section. </w:t>
      </w:r>
    </w:p>
    <w:p w14:paraId="5554C758" w14:textId="3FE3E19C" w:rsidR="00C9585C" w:rsidRDefault="008B6661" w:rsidP="000445A1">
      <w:pPr>
        <w:pStyle w:val="Heading3"/>
        <w:spacing w:before="0"/>
        <w:jc w:val="both"/>
      </w:pPr>
      <w:r>
        <w:t>Assessment of Options in Stage 4</w:t>
      </w:r>
    </w:p>
    <w:p w14:paraId="73B6DA7A" w14:textId="091DD4BF" w:rsidR="007704FC" w:rsidRDefault="005B3540" w:rsidP="00C57A40">
      <w:pPr>
        <w:spacing w:after="80"/>
        <w:rPr>
          <w:lang w:val="en-AU"/>
        </w:rPr>
      </w:pPr>
      <w:r>
        <w:rPr>
          <w:lang w:val="en-AU"/>
        </w:rPr>
        <w:t xml:space="preserve">WG1 applied two assessment approaches of options in Stage 4 work. The first relied on polling and </w:t>
      </w:r>
      <w:r w:rsidR="008D4934">
        <w:rPr>
          <w:lang w:val="en-AU"/>
        </w:rPr>
        <w:t xml:space="preserve">a </w:t>
      </w:r>
      <w:r>
        <w:rPr>
          <w:lang w:val="en-AU"/>
        </w:rPr>
        <w:t xml:space="preserve">group discussion of </w:t>
      </w:r>
      <w:r w:rsidR="008D4934">
        <w:rPr>
          <w:lang w:val="en-AU"/>
        </w:rPr>
        <w:t xml:space="preserve">the </w:t>
      </w:r>
      <w:r>
        <w:rPr>
          <w:lang w:val="en-AU"/>
        </w:rPr>
        <w:t xml:space="preserve">drivers behind </w:t>
      </w:r>
      <w:r w:rsidR="008D4934">
        <w:rPr>
          <w:lang w:val="en-AU"/>
        </w:rPr>
        <w:t xml:space="preserve">their </w:t>
      </w:r>
      <w:r>
        <w:rPr>
          <w:lang w:val="en-AU"/>
        </w:rPr>
        <w:t>decisions</w:t>
      </w:r>
      <w:r w:rsidR="00E164B3">
        <w:rPr>
          <w:lang w:val="en-AU"/>
        </w:rPr>
        <w:t xml:space="preserve">. The polls </w:t>
      </w:r>
      <w:r w:rsidR="00632E08">
        <w:rPr>
          <w:lang w:val="en-AU"/>
        </w:rPr>
        <w:t>examined various</w:t>
      </w:r>
      <w:r w:rsidR="00E164B3">
        <w:rPr>
          <w:lang w:val="en-AU"/>
        </w:rPr>
        <w:t xml:space="preserve"> criteria</w:t>
      </w:r>
      <w:r w:rsidR="00632E08">
        <w:rPr>
          <w:lang w:val="en-AU"/>
        </w:rPr>
        <w:t xml:space="preserve"> </w:t>
      </w:r>
      <w:r w:rsidR="00E164B3">
        <w:rPr>
          <w:lang w:val="en-AU"/>
        </w:rPr>
        <w:t xml:space="preserve">including impact, effort, equity, legitimacy, and value. This </w:t>
      </w:r>
      <w:r w:rsidR="00632E08">
        <w:rPr>
          <w:lang w:val="en-AU"/>
        </w:rPr>
        <w:t xml:space="preserve">exercise also </w:t>
      </w:r>
      <w:r w:rsidR="00E164B3">
        <w:rPr>
          <w:lang w:val="en-AU"/>
        </w:rPr>
        <w:t xml:space="preserve">included an ordinal ranking of options from best to worst – before and after discussion. </w:t>
      </w:r>
      <w:r w:rsidR="00632E08">
        <w:rPr>
          <w:lang w:val="en-AU"/>
        </w:rPr>
        <w:t xml:space="preserve">The second assessment directly addressed the </w:t>
      </w:r>
      <w:r w:rsidR="00EB3072">
        <w:rPr>
          <w:lang w:val="en-AU"/>
        </w:rPr>
        <w:t xml:space="preserve">effort and impact dimensions, </w:t>
      </w:r>
      <w:r w:rsidR="000A79AF" w:rsidRPr="7FBCBF42">
        <w:rPr>
          <w:lang w:val="en-AU"/>
        </w:rPr>
        <w:t>which have been</w:t>
      </w:r>
      <w:r w:rsidR="00EB3072">
        <w:rPr>
          <w:lang w:val="en-AU"/>
        </w:rPr>
        <w:t xml:space="preserve"> applied across all </w:t>
      </w:r>
      <w:r w:rsidR="15E1DDC5" w:rsidRPr="4E613D92">
        <w:rPr>
          <w:lang w:val="en-AU"/>
        </w:rPr>
        <w:t>working group</w:t>
      </w:r>
      <w:r w:rsidR="00EB3072" w:rsidRPr="4E613D92">
        <w:rPr>
          <w:lang w:val="en-AU"/>
        </w:rPr>
        <w:t xml:space="preserve">s. </w:t>
      </w:r>
    </w:p>
    <w:p w14:paraId="21693B2E" w14:textId="2C88BFC9" w:rsidR="00EB3072" w:rsidRDefault="00EB3072" w:rsidP="00C57A40">
      <w:pPr>
        <w:spacing w:after="80"/>
        <w:rPr>
          <w:lang w:val="en-AU"/>
        </w:rPr>
      </w:pPr>
      <w:r>
        <w:rPr>
          <w:lang w:val="en-AU"/>
        </w:rPr>
        <w:t xml:space="preserve">In each approach the number of responses </w:t>
      </w:r>
      <w:r w:rsidR="001767A2">
        <w:rPr>
          <w:lang w:val="en-AU"/>
        </w:rPr>
        <w:t xml:space="preserve">was limited to available participants </w:t>
      </w:r>
      <w:r w:rsidR="008333F6">
        <w:rPr>
          <w:lang w:val="en-AU"/>
        </w:rPr>
        <w:t xml:space="preserve">and </w:t>
      </w:r>
      <w:r w:rsidR="001767A2">
        <w:rPr>
          <w:lang w:val="en-AU"/>
        </w:rPr>
        <w:t xml:space="preserve">restricted by the timeframes. These results should therefore be considered as </w:t>
      </w:r>
      <w:r w:rsidR="3DC44252" w:rsidRPr="4E613D92">
        <w:rPr>
          <w:lang w:val="en-AU"/>
        </w:rPr>
        <w:t>indicative</w:t>
      </w:r>
      <w:r w:rsidR="001767A2" w:rsidRPr="7FBCBF42">
        <w:rPr>
          <w:lang w:val="en-AU"/>
        </w:rPr>
        <w:t>.</w:t>
      </w:r>
      <w:r w:rsidR="001767A2">
        <w:rPr>
          <w:lang w:val="en-AU"/>
        </w:rPr>
        <w:t xml:space="preserve"> </w:t>
      </w:r>
      <w:r w:rsidR="009E26E0">
        <w:rPr>
          <w:lang w:val="en-AU"/>
        </w:rPr>
        <w:t>The approach is probably m</w:t>
      </w:r>
      <w:r w:rsidR="001767A2">
        <w:rPr>
          <w:lang w:val="en-AU"/>
        </w:rPr>
        <w:t xml:space="preserve">ost useful for </w:t>
      </w:r>
      <w:r w:rsidR="009E26E0">
        <w:rPr>
          <w:lang w:val="en-AU"/>
        </w:rPr>
        <w:t>exploring</w:t>
      </w:r>
      <w:r w:rsidR="001767A2">
        <w:rPr>
          <w:lang w:val="en-AU"/>
        </w:rPr>
        <w:t xml:space="preserve"> the reasoning behind decisions and understanding how certain considerations should inform decisions. </w:t>
      </w:r>
    </w:p>
    <w:p w14:paraId="7E5BB9C9" w14:textId="087733CA" w:rsidR="001767A2" w:rsidRDefault="007947B6" w:rsidP="007947B6">
      <w:pPr>
        <w:pStyle w:val="Heading4"/>
        <w:rPr>
          <w:lang w:val="en-AU"/>
        </w:rPr>
      </w:pPr>
      <w:r>
        <w:rPr>
          <w:lang w:val="en-AU"/>
        </w:rPr>
        <w:t xml:space="preserve">Polling of preferred options against key criteria showed broad support across options </w:t>
      </w:r>
    </w:p>
    <w:p w14:paraId="161433EA" w14:textId="2C52406D" w:rsidR="00632E08" w:rsidRDefault="3318E831" w:rsidP="00315E82">
      <w:pPr>
        <w:spacing w:after="80"/>
      </w:pPr>
      <w:r>
        <w:t>P</w:t>
      </w:r>
      <w:r w:rsidR="007947B6">
        <w:t xml:space="preserve">articipants in the polling (n=20) </w:t>
      </w:r>
      <w:r w:rsidR="4D4416F1">
        <w:t>represented</w:t>
      </w:r>
      <w:r w:rsidR="007947B6">
        <w:t xml:space="preserve"> </w:t>
      </w:r>
      <w:r w:rsidR="007E316D">
        <w:t>nine</w:t>
      </w:r>
      <w:r w:rsidR="007947B6">
        <w:t xml:space="preserve"> nations and multiple sectors. </w:t>
      </w:r>
      <w:r w:rsidR="00241808">
        <w:t xml:space="preserve">When asked about </w:t>
      </w:r>
      <w:r w:rsidR="00C50219">
        <w:t xml:space="preserve">choosing one option which have the greatest impact for their work, participants generally described actions which aligned with existing options. </w:t>
      </w:r>
      <w:r w:rsidR="00726CC8">
        <w:t>The options suggested included:</w:t>
      </w:r>
    </w:p>
    <w:p w14:paraId="23AE9DBB" w14:textId="6D898256" w:rsidR="00726CC8" w:rsidRPr="00726CC8" w:rsidRDefault="00726CC8" w:rsidP="00E45EBD">
      <w:pPr>
        <w:pStyle w:val="ListParagraph"/>
        <w:numPr>
          <w:ilvl w:val="0"/>
          <w:numId w:val="33"/>
        </w:numPr>
        <w:ind w:left="993"/>
      </w:pPr>
      <w:r w:rsidRPr="00726CC8">
        <w:t xml:space="preserve">Funding </w:t>
      </w:r>
      <w:r w:rsidR="00E8525E">
        <w:t>and</w:t>
      </w:r>
      <w:r w:rsidR="00E8525E" w:rsidRPr="00726CC8">
        <w:t xml:space="preserve"> infrastructure for evidence intermediaries</w:t>
      </w:r>
      <w:r w:rsidR="00E8525E">
        <w:t xml:space="preserve"> </w:t>
      </w:r>
      <w:r w:rsidR="0083214F">
        <w:t xml:space="preserve">(Option </w:t>
      </w:r>
      <w:r w:rsidR="008128BA">
        <w:t xml:space="preserve">1, </w:t>
      </w:r>
      <w:r w:rsidR="0083214F">
        <w:t>2 and 5)</w:t>
      </w:r>
    </w:p>
    <w:p w14:paraId="2C2D023C" w14:textId="661CCEC1" w:rsidR="00726CC8" w:rsidRPr="00726CC8" w:rsidRDefault="00726CC8" w:rsidP="00E45EBD">
      <w:pPr>
        <w:pStyle w:val="ListParagraph"/>
        <w:numPr>
          <w:ilvl w:val="0"/>
          <w:numId w:val="33"/>
        </w:numPr>
        <w:ind w:left="993"/>
      </w:pPr>
      <w:r w:rsidRPr="00726CC8">
        <w:t xml:space="preserve">Capacity </w:t>
      </w:r>
      <w:r w:rsidR="00E8525E" w:rsidRPr="00726CC8">
        <w:t xml:space="preserve">building </w:t>
      </w:r>
      <w:r w:rsidR="00E8525E">
        <w:t>and</w:t>
      </w:r>
      <w:r w:rsidR="00E8525E" w:rsidRPr="00726CC8">
        <w:t xml:space="preserve"> knowledge translation</w:t>
      </w:r>
      <w:r w:rsidR="00E8525E">
        <w:t xml:space="preserve"> </w:t>
      </w:r>
      <w:r w:rsidR="00532E0B">
        <w:t>(Option 1 and 2)</w:t>
      </w:r>
    </w:p>
    <w:p w14:paraId="6E8BB43F" w14:textId="6DBE75D1" w:rsidR="00726CC8" w:rsidRPr="00726CC8" w:rsidRDefault="00726CC8" w:rsidP="00E45EBD">
      <w:pPr>
        <w:pStyle w:val="ListParagraph"/>
        <w:numPr>
          <w:ilvl w:val="0"/>
          <w:numId w:val="33"/>
        </w:numPr>
        <w:ind w:left="993"/>
      </w:pPr>
      <w:r w:rsidRPr="00726CC8">
        <w:t xml:space="preserve">Policymaker </w:t>
      </w:r>
      <w:r w:rsidR="00E8525E" w:rsidRPr="00726CC8">
        <w:t xml:space="preserve">engagement </w:t>
      </w:r>
      <w:r w:rsidR="00E8525E">
        <w:t>and</w:t>
      </w:r>
      <w:r w:rsidR="00E8525E" w:rsidRPr="00726CC8">
        <w:t xml:space="preserve"> decision-making support</w:t>
      </w:r>
      <w:r w:rsidR="00E8525E">
        <w:t xml:space="preserve"> </w:t>
      </w:r>
      <w:r w:rsidR="00532E0B">
        <w:t xml:space="preserve">(Option </w:t>
      </w:r>
      <w:r w:rsidR="006139C4">
        <w:t>3, 4 and 5)</w:t>
      </w:r>
    </w:p>
    <w:p w14:paraId="527A282D" w14:textId="30DF7D08" w:rsidR="00726CC8" w:rsidRPr="00726CC8" w:rsidRDefault="00726CC8" w:rsidP="00E45EBD">
      <w:pPr>
        <w:pStyle w:val="ListParagraph"/>
        <w:numPr>
          <w:ilvl w:val="0"/>
          <w:numId w:val="33"/>
        </w:numPr>
        <w:ind w:left="993"/>
      </w:pPr>
      <w:r w:rsidRPr="00726CC8">
        <w:t>Sector-</w:t>
      </w:r>
      <w:r w:rsidR="00E8525E" w:rsidRPr="00726CC8">
        <w:t>specific evidence integration</w:t>
      </w:r>
      <w:r w:rsidR="00E8525E">
        <w:t xml:space="preserve"> </w:t>
      </w:r>
      <w:r w:rsidR="006139C4">
        <w:t>(Option 2 and 3)</w:t>
      </w:r>
    </w:p>
    <w:p w14:paraId="309258FD" w14:textId="6585410E" w:rsidR="00726CC8" w:rsidRPr="00726CC8" w:rsidRDefault="00726CC8" w:rsidP="00E45EBD">
      <w:pPr>
        <w:pStyle w:val="ListParagraph"/>
        <w:numPr>
          <w:ilvl w:val="0"/>
          <w:numId w:val="33"/>
        </w:numPr>
        <w:ind w:left="993"/>
      </w:pPr>
      <w:r w:rsidRPr="00726CC8">
        <w:t>Demand-</w:t>
      </w:r>
      <w:r w:rsidR="00E8525E" w:rsidRPr="00726CC8">
        <w:t xml:space="preserve">side awareness </w:t>
      </w:r>
      <w:r w:rsidR="00E8525E">
        <w:t>and</w:t>
      </w:r>
      <w:r w:rsidR="00E8525E" w:rsidRPr="00726CC8">
        <w:t xml:space="preserve"> engagement</w:t>
      </w:r>
      <w:r w:rsidR="00E8525E">
        <w:t xml:space="preserve"> </w:t>
      </w:r>
      <w:r w:rsidR="006139C4">
        <w:t>(Option 1 and 2)</w:t>
      </w:r>
    </w:p>
    <w:p w14:paraId="25D96BAE" w14:textId="4EB289F9" w:rsidR="00726CC8" w:rsidRPr="00726CC8" w:rsidRDefault="00726CC8" w:rsidP="00E45EBD">
      <w:pPr>
        <w:pStyle w:val="ListParagraph"/>
        <w:numPr>
          <w:ilvl w:val="0"/>
          <w:numId w:val="33"/>
        </w:numPr>
        <w:ind w:left="993"/>
      </w:pPr>
      <w:r w:rsidRPr="00726CC8">
        <w:t xml:space="preserve">Policy </w:t>
      </w:r>
      <w:r w:rsidR="00E8525E" w:rsidRPr="00726CC8">
        <w:t xml:space="preserve">contexts </w:t>
      </w:r>
      <w:r w:rsidR="00E8525E">
        <w:t>and</w:t>
      </w:r>
      <w:r w:rsidR="00E8525E" w:rsidRPr="00726CC8">
        <w:t xml:space="preserve"> evidence utili</w:t>
      </w:r>
      <w:r w:rsidR="007F1BD5">
        <w:t>s</w:t>
      </w:r>
      <w:r w:rsidR="00E8525E" w:rsidRPr="00726CC8">
        <w:t>ation</w:t>
      </w:r>
      <w:r w:rsidR="00E8525E">
        <w:t xml:space="preserve"> </w:t>
      </w:r>
      <w:r w:rsidR="006139C4">
        <w:t>(Option 3 and 4)</w:t>
      </w:r>
    </w:p>
    <w:p w14:paraId="4EECCDB7" w14:textId="061855FE" w:rsidR="00726CC8" w:rsidRPr="00726CC8" w:rsidRDefault="00726CC8" w:rsidP="00A84256">
      <w:pPr>
        <w:pStyle w:val="ListParagraph"/>
        <w:numPr>
          <w:ilvl w:val="0"/>
          <w:numId w:val="33"/>
        </w:numPr>
        <w:spacing w:after="80"/>
        <w:ind w:left="992" w:hanging="357"/>
      </w:pPr>
      <w:r w:rsidRPr="00726CC8">
        <w:t xml:space="preserve">Priority </w:t>
      </w:r>
      <w:r w:rsidR="00E8525E" w:rsidRPr="00726CC8">
        <w:t xml:space="preserve">setting </w:t>
      </w:r>
      <w:r w:rsidR="00E8525E">
        <w:t>and</w:t>
      </w:r>
      <w:r w:rsidR="00E8525E" w:rsidRPr="00726CC8">
        <w:t xml:space="preserve"> strategic influence</w:t>
      </w:r>
      <w:r w:rsidR="00E8525E">
        <w:t xml:space="preserve"> </w:t>
      </w:r>
      <w:r w:rsidR="006139C4">
        <w:t>(Option 4)</w:t>
      </w:r>
    </w:p>
    <w:p w14:paraId="5630A81F" w14:textId="195EC248" w:rsidR="00726CC8" w:rsidRDefault="006413E3" w:rsidP="00315E82">
      <w:pPr>
        <w:spacing w:after="80"/>
      </w:pPr>
      <w:r>
        <w:t xml:space="preserve">When polled </w:t>
      </w:r>
      <w:r w:rsidR="00DC264C">
        <w:t xml:space="preserve">on which option best met </w:t>
      </w:r>
      <w:r>
        <w:t>key criteria</w:t>
      </w:r>
      <w:r w:rsidR="00EC0562">
        <w:t xml:space="preserve"> (</w:t>
      </w:r>
      <w:r w:rsidR="00EC0562">
        <w:rPr>
          <w:lang w:val="en-AU"/>
        </w:rPr>
        <w:t>impact, effort, equity, legitimacy, and value)</w:t>
      </w:r>
      <w:r>
        <w:t xml:space="preserve"> results were generally evenly spread. </w:t>
      </w:r>
      <w:r w:rsidR="00DC264C">
        <w:t>Exceptions were</w:t>
      </w:r>
      <w:r w:rsidR="00E45EBD">
        <w:t>:</w:t>
      </w:r>
    </w:p>
    <w:p w14:paraId="358A86DE" w14:textId="3F352B6C" w:rsidR="00F274E1" w:rsidRDefault="00E45EBD" w:rsidP="00E45EBD">
      <w:pPr>
        <w:pStyle w:val="ListParagraph"/>
        <w:numPr>
          <w:ilvl w:val="0"/>
          <w:numId w:val="37"/>
        </w:numPr>
        <w:ind w:left="851"/>
        <w:jc w:val="both"/>
      </w:pPr>
      <w:r>
        <w:t xml:space="preserve">Option 1 (regional secretariats) </w:t>
      </w:r>
      <w:r w:rsidR="00E92737">
        <w:t>polled strongly in equity (14 votes –</w:t>
      </w:r>
      <w:r w:rsidR="00E522F3">
        <w:t xml:space="preserve"> coming </w:t>
      </w:r>
      <w:r w:rsidR="00E92737">
        <w:t>first) and weakly in effort and impact (4 votes each)</w:t>
      </w:r>
    </w:p>
    <w:p w14:paraId="4AC87471" w14:textId="66A9C91F" w:rsidR="00E45EBD" w:rsidRDefault="00F274E1" w:rsidP="00E45EBD">
      <w:pPr>
        <w:pStyle w:val="ListParagraph"/>
        <w:numPr>
          <w:ilvl w:val="0"/>
          <w:numId w:val="37"/>
        </w:numPr>
        <w:ind w:left="851"/>
        <w:jc w:val="both"/>
      </w:pPr>
      <w:r>
        <w:t>Option 2 (intermediary support) polled very strongly in equity (14 votes –</w:t>
      </w:r>
      <w:r w:rsidR="00E522F3">
        <w:t xml:space="preserve"> coming </w:t>
      </w:r>
      <w:r>
        <w:t>first)</w:t>
      </w:r>
      <w:r w:rsidR="00E92737">
        <w:t xml:space="preserve"> </w:t>
      </w:r>
    </w:p>
    <w:p w14:paraId="1927B433" w14:textId="5C1BDD1F" w:rsidR="00EC0562" w:rsidRDefault="00EC0562" w:rsidP="00E45EBD">
      <w:pPr>
        <w:pStyle w:val="ListParagraph"/>
        <w:numPr>
          <w:ilvl w:val="0"/>
          <w:numId w:val="37"/>
        </w:numPr>
        <w:ind w:left="851"/>
        <w:jc w:val="both"/>
      </w:pPr>
      <w:r>
        <w:t>Option 3 (co-design labs) polled evenly and well across all criteria</w:t>
      </w:r>
    </w:p>
    <w:p w14:paraId="5534A6BB" w14:textId="0EF449CF" w:rsidR="00EC0562" w:rsidRDefault="00EC0562" w:rsidP="00E45EBD">
      <w:pPr>
        <w:pStyle w:val="ListParagraph"/>
        <w:numPr>
          <w:ilvl w:val="0"/>
          <w:numId w:val="37"/>
        </w:numPr>
        <w:ind w:left="851"/>
        <w:jc w:val="both"/>
      </w:pPr>
      <w:r>
        <w:t>Option 4 (question repositories)</w:t>
      </w:r>
      <w:r w:rsidR="00453414">
        <w:t xml:space="preserve"> polled poorly in</w:t>
      </w:r>
      <w:r w:rsidR="00844FE3">
        <w:t xml:space="preserve"> equity (2 votes) and </w:t>
      </w:r>
      <w:r w:rsidR="00453414">
        <w:t>legitimacy (4 votes)</w:t>
      </w:r>
      <w:r>
        <w:t xml:space="preserve"> </w:t>
      </w:r>
    </w:p>
    <w:p w14:paraId="039BC83D" w14:textId="7CBD8DC2" w:rsidR="00844FE3" w:rsidRDefault="00844FE3" w:rsidP="00A84256">
      <w:pPr>
        <w:pStyle w:val="ListParagraph"/>
        <w:numPr>
          <w:ilvl w:val="0"/>
          <w:numId w:val="37"/>
        </w:numPr>
        <w:spacing w:after="80"/>
        <w:ind w:left="850" w:hanging="357"/>
        <w:jc w:val="both"/>
      </w:pPr>
      <w:r>
        <w:t xml:space="preserve">Option 5 (grants) polled </w:t>
      </w:r>
      <w:r w:rsidR="000E31AC">
        <w:t>well in all criteria except legitimacy (4 votes)</w:t>
      </w:r>
    </w:p>
    <w:p w14:paraId="4F6C3E61" w14:textId="33F0E890" w:rsidR="00551E3E" w:rsidRDefault="00053529" w:rsidP="00ED673D">
      <w:pPr>
        <w:spacing w:after="0"/>
      </w:pPr>
      <w:bookmarkStart w:id="0" w:name="_Toc195539442"/>
      <w:r>
        <w:t xml:space="preserve">The ordinal ranking provided interesting results when compared to the individual criteria. </w:t>
      </w:r>
      <w:r w:rsidR="00A673C9">
        <w:t>P</w:t>
      </w:r>
      <w:r w:rsidR="00E13EE1">
        <w:t xml:space="preserve">re and post discussion, participants ranked Options 1 to 3 as </w:t>
      </w:r>
      <w:r w:rsidR="00E161CB">
        <w:t>their</w:t>
      </w:r>
      <w:r w:rsidR="00E13EE1">
        <w:t xml:space="preserve"> top three each time, and Options </w:t>
      </w:r>
      <w:r w:rsidR="006B5748">
        <w:t>4 and 5</w:t>
      </w:r>
      <w:r w:rsidR="00E161CB">
        <w:t xml:space="preserve"> as</w:t>
      </w:r>
      <w:r w:rsidR="006B5748">
        <w:t xml:space="preserve"> last </w:t>
      </w:r>
      <w:r w:rsidR="00E161CB">
        <w:t>both times. However</w:t>
      </w:r>
      <w:r w:rsidR="00FA46B8">
        <w:t>,</w:t>
      </w:r>
      <w:r w:rsidR="00E161CB">
        <w:t xml:space="preserve"> the first and third positions swapped between rankings </w:t>
      </w:r>
      <w:r w:rsidR="003575CC">
        <w:t xml:space="preserve">with </w:t>
      </w:r>
      <w:r w:rsidR="00FA46B8">
        <w:t xml:space="preserve">Option 1 and Option 2 swapping places. Option 2 (support for </w:t>
      </w:r>
      <w:r w:rsidR="00482E49">
        <w:t>intermediaries) was ranked as the best option in the final poll</w:t>
      </w:r>
      <w:r w:rsidR="009B6C09">
        <w:t xml:space="preserve"> – see </w:t>
      </w:r>
      <w:r w:rsidR="009B6C09" w:rsidRPr="009B6C09">
        <w:rPr>
          <w:b/>
          <w:bCs/>
        </w:rPr>
        <w:t>figure 1</w:t>
      </w:r>
      <w:r w:rsidR="009B6C09">
        <w:t>.</w:t>
      </w:r>
      <w:r w:rsidR="00482E49">
        <w:t xml:space="preserve"> </w:t>
      </w:r>
      <w:r w:rsidR="00FA46B8">
        <w:t xml:space="preserve"> </w:t>
      </w:r>
    </w:p>
    <w:p w14:paraId="3C16B0FB" w14:textId="77777777" w:rsidR="00551E3E" w:rsidRDefault="00551E3E">
      <w:r>
        <w:br w:type="page"/>
      </w:r>
    </w:p>
    <w:p w14:paraId="1D1E7165" w14:textId="77777777" w:rsidR="00E16BC5" w:rsidRDefault="00E16BC5" w:rsidP="00ED673D">
      <w:pPr>
        <w:spacing w:after="0"/>
      </w:pPr>
    </w:p>
    <w:tbl>
      <w:tblPr>
        <w:tblStyle w:val="TableGrid"/>
        <w:tblpPr w:leftFromText="180" w:rightFromText="180" w:vertAnchor="text" w:horzAnchor="margin" w:tblpXSpec="right" w:tblpY="91"/>
        <w:tblOverlap w:val="never"/>
        <w:tblW w:w="10102" w:type="dxa"/>
        <w:tblBorders>
          <w:top w:val="none" w:sz="0" w:space="0" w:color="auto"/>
          <w:left w:val="single" w:sz="4" w:space="0" w:color="FFFFFF" w:themeColor="background1"/>
          <w:bottom w:val="none" w:sz="0" w:space="0" w:color="auto"/>
          <w:right w:val="none" w:sz="0" w:space="0" w:color="auto"/>
          <w:insideH w:val="none" w:sz="0" w:space="0" w:color="auto"/>
          <w:insideV w:val="single" w:sz="4" w:space="0" w:color="0B769F" w:themeColor="accent4" w:themeShade="BF"/>
        </w:tblBorders>
        <w:tblCellMar>
          <w:top w:w="28" w:type="dxa"/>
          <w:left w:w="142" w:type="dxa"/>
          <w:bottom w:w="28" w:type="dxa"/>
          <w:right w:w="142" w:type="dxa"/>
        </w:tblCellMar>
        <w:tblLook w:val="04A0" w:firstRow="1" w:lastRow="0" w:firstColumn="1" w:lastColumn="0" w:noHBand="0" w:noVBand="1"/>
      </w:tblPr>
      <w:tblGrid>
        <w:gridCol w:w="10102"/>
      </w:tblGrid>
      <w:tr w:rsidR="00040231" w14:paraId="0BFA53ED" w14:textId="77777777" w:rsidTr="00C4783F">
        <w:tc>
          <w:tcPr>
            <w:tcW w:w="10102" w:type="dxa"/>
            <w:tcBorders>
              <w:bottom w:val="single" w:sz="4" w:space="0" w:color="0B769F" w:themeColor="accent4" w:themeShade="BF"/>
            </w:tcBorders>
            <w:shd w:val="clear" w:color="auto" w:fill="auto"/>
          </w:tcPr>
          <w:p w14:paraId="6D525E58" w14:textId="0D3EE7AD" w:rsidR="00040231" w:rsidRPr="00455322" w:rsidRDefault="00040231" w:rsidP="00AA0924">
            <w:pPr>
              <w:rPr>
                <w:rStyle w:val="normaltextrun"/>
                <w:b/>
                <w:bCs/>
              </w:rPr>
            </w:pPr>
            <w:r>
              <w:rPr>
                <w:rStyle w:val="normaltextrun"/>
                <w:b/>
                <w:bCs/>
              </w:rPr>
              <w:t>Figure</w:t>
            </w:r>
            <w:r w:rsidRPr="00A139DF">
              <w:rPr>
                <w:rStyle w:val="normaltextrun"/>
                <w:b/>
                <w:bCs/>
              </w:rPr>
              <w:t xml:space="preserve"> 1. </w:t>
            </w:r>
            <w:r>
              <w:rPr>
                <w:rStyle w:val="normaltextrun"/>
                <w:b/>
                <w:bCs/>
              </w:rPr>
              <w:t xml:space="preserve">Final ranking of options </w:t>
            </w:r>
            <w:r w:rsidR="00C4783F">
              <w:rPr>
                <w:rStyle w:val="normaltextrun"/>
                <w:b/>
                <w:bCs/>
              </w:rPr>
              <w:t>– participants asked to rank options from best to worst</w:t>
            </w:r>
          </w:p>
        </w:tc>
      </w:tr>
      <w:tr w:rsidR="00040231" w14:paraId="13F30BEB" w14:textId="77777777" w:rsidTr="00C4783F">
        <w:tc>
          <w:tcPr>
            <w:tcW w:w="10102" w:type="dxa"/>
            <w:tcBorders>
              <w:top w:val="single" w:sz="4" w:space="0" w:color="0B769F" w:themeColor="accent4" w:themeShade="BF"/>
              <w:bottom w:val="single" w:sz="4" w:space="0" w:color="0B769F" w:themeColor="accent4" w:themeShade="BF"/>
            </w:tcBorders>
            <w:shd w:val="clear" w:color="auto" w:fill="auto"/>
          </w:tcPr>
          <w:p w14:paraId="58536FC0" w14:textId="6F104FA9" w:rsidR="00040231" w:rsidRPr="00ED673D" w:rsidRDefault="00ED673D" w:rsidP="00ED673D">
            <w:pPr>
              <w:spacing w:after="120"/>
              <w:ind w:left="276"/>
              <w:jc w:val="both"/>
              <w:rPr>
                <w:rStyle w:val="normaltextrun"/>
                <w:i/>
                <w:iCs/>
                <w:sz w:val="22"/>
                <w:szCs w:val="22"/>
              </w:rPr>
            </w:pPr>
            <w:r>
              <w:rPr>
                <w:noProof/>
              </w:rPr>
              <w:drawing>
                <wp:inline distT="0" distB="0" distL="0" distR="0" wp14:anchorId="30AF789D" wp14:editId="63F6FD92">
                  <wp:extent cx="5324475" cy="1913059"/>
                  <wp:effectExtent l="0" t="0" r="0" b="0"/>
                  <wp:docPr id="4" name="Picture 3" descr="A colorful rectangular bars with black text&#10;&#10;AI-generated content may be incorrect.">
                    <a:extLst xmlns:a="http://schemas.openxmlformats.org/drawingml/2006/main">
                      <a:ext uri="{FF2B5EF4-FFF2-40B4-BE49-F238E27FC236}">
                        <a16:creationId xmlns:a16="http://schemas.microsoft.com/office/drawing/2014/main" id="{E612E942-DBF6-4BAA-2614-9F40B9DAA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olorful rectangular bars with black text&#10;&#10;AI-generated content may be incorrect.">
                            <a:extLst>
                              <a:ext uri="{FF2B5EF4-FFF2-40B4-BE49-F238E27FC236}">
                                <a16:creationId xmlns:a16="http://schemas.microsoft.com/office/drawing/2014/main" id="{E612E942-DBF6-4BAA-2614-9F40B9DAA258}"/>
                              </a:ext>
                            </a:extLst>
                          </pic:cNvPr>
                          <pic:cNvPicPr>
                            <a:picLocks noChangeAspect="1"/>
                          </pic:cNvPicPr>
                        </pic:nvPicPr>
                        <pic:blipFill>
                          <a:blip r:embed="rId13"/>
                          <a:stretch>
                            <a:fillRect/>
                          </a:stretch>
                        </pic:blipFill>
                        <pic:spPr>
                          <a:xfrm>
                            <a:off x="0" y="0"/>
                            <a:ext cx="5365913" cy="1927947"/>
                          </a:xfrm>
                          <a:prstGeom prst="rect">
                            <a:avLst/>
                          </a:prstGeom>
                        </pic:spPr>
                      </pic:pic>
                    </a:graphicData>
                  </a:graphic>
                </wp:inline>
              </w:drawing>
            </w:r>
          </w:p>
        </w:tc>
      </w:tr>
    </w:tbl>
    <w:p w14:paraId="5C6C03DA" w14:textId="76DDF0AE" w:rsidR="007A2E74" w:rsidRPr="00F8109D" w:rsidRDefault="00110284" w:rsidP="007A2E74">
      <w:r>
        <w:t xml:space="preserve">These results </w:t>
      </w:r>
      <w:r w:rsidR="0090101E">
        <w:t>were consistent</w:t>
      </w:r>
      <w:r w:rsidR="00A606A0">
        <w:t xml:space="preserve"> with some Feedback from Stage 3 </w:t>
      </w:r>
      <w:r>
        <w:t>in suggesting that</w:t>
      </w:r>
      <w:r w:rsidR="00A606A0">
        <w:t xml:space="preserve"> Options 1, 2 and 3 were complementary and would be supportive of a system view of enhancing demand-side engagement. Namely that</w:t>
      </w:r>
      <w:r w:rsidR="007A2E74" w:rsidRPr="007A2E74">
        <w:t xml:space="preserve"> </w:t>
      </w:r>
      <w:r w:rsidR="007A2E74" w:rsidRPr="00F8109D">
        <w:t>these could be seen as components of a layered architecture of support:</w:t>
      </w:r>
    </w:p>
    <w:p w14:paraId="36DCB61C" w14:textId="3182E835" w:rsidR="007A2E74" w:rsidRPr="002114C8" w:rsidRDefault="007A2E74" w:rsidP="007A2E74">
      <w:pPr>
        <w:pStyle w:val="ListParagraph"/>
        <w:numPr>
          <w:ilvl w:val="0"/>
          <w:numId w:val="24"/>
        </w:numPr>
        <w:spacing w:line="259" w:lineRule="auto"/>
      </w:pPr>
      <w:r w:rsidRPr="00F8109D">
        <w:rPr>
          <w:b/>
          <w:bCs/>
        </w:rPr>
        <w:t>System-level governance</w:t>
      </w:r>
      <w:r w:rsidRPr="002114C8">
        <w:t xml:space="preserve"> through Regional Secretariats</w:t>
      </w:r>
    </w:p>
    <w:p w14:paraId="4C4329EF" w14:textId="0613065C" w:rsidR="007A2E74" w:rsidRPr="002114C8" w:rsidRDefault="007A2E74" w:rsidP="007A2E74">
      <w:pPr>
        <w:pStyle w:val="ListParagraph"/>
        <w:numPr>
          <w:ilvl w:val="0"/>
          <w:numId w:val="24"/>
        </w:numPr>
        <w:spacing w:line="259" w:lineRule="auto"/>
      </w:pPr>
      <w:r w:rsidRPr="00F8109D">
        <w:rPr>
          <w:b/>
          <w:bCs/>
        </w:rPr>
        <w:t>Mid-level intermediation</w:t>
      </w:r>
      <w:r w:rsidRPr="002114C8">
        <w:t xml:space="preserve"> via targeted support structures and</w:t>
      </w:r>
    </w:p>
    <w:p w14:paraId="47ACA6E4" w14:textId="77777777" w:rsidR="007A2E74" w:rsidRDefault="007A2E74" w:rsidP="007A2E74">
      <w:pPr>
        <w:pStyle w:val="ListParagraph"/>
        <w:numPr>
          <w:ilvl w:val="0"/>
          <w:numId w:val="24"/>
        </w:numPr>
        <w:spacing w:line="259" w:lineRule="auto"/>
      </w:pPr>
      <w:r w:rsidRPr="00F8109D">
        <w:rPr>
          <w:b/>
          <w:bCs/>
        </w:rPr>
        <w:t>Frontline engagement</w:t>
      </w:r>
      <w:r w:rsidRPr="002114C8">
        <w:t xml:space="preserve"> through co-design mechanisms. </w:t>
      </w:r>
    </w:p>
    <w:p w14:paraId="336DCDCF" w14:textId="43491CE2" w:rsidR="00110284" w:rsidRDefault="004C3CA8" w:rsidP="004C3CA8">
      <w:pPr>
        <w:pStyle w:val="Heading3"/>
        <w:spacing w:after="120"/>
        <w:jc w:val="both"/>
      </w:pPr>
      <w:r>
        <w:t>Effort and impact analysis</w:t>
      </w:r>
    </w:p>
    <w:p w14:paraId="3B1E3B25" w14:textId="38D10180" w:rsidR="0038428B" w:rsidRPr="00CE1E17" w:rsidRDefault="0038428B" w:rsidP="0038428B">
      <w:r w:rsidRPr="00CE1E17">
        <w:t>The results of the survey conducted among working group members, which aimed to assess "impact"—defined as the magnitude of the benefits derived from the implementation of an option—</w:t>
      </w:r>
      <w:r w:rsidR="00994516" w:rsidRPr="00CE1E17">
        <w:t xml:space="preserve"> largely </w:t>
      </w:r>
      <w:r w:rsidRPr="00CE1E17">
        <w:t>confirmed the ranking generated from the polls conducted during the workshop with external partners (see table below).</w:t>
      </w:r>
    </w:p>
    <w:p w14:paraId="062BF257" w14:textId="4787E1C7" w:rsidR="002D6D70" w:rsidRPr="002D6D70" w:rsidRDefault="002D6D70" w:rsidP="00110284">
      <w:pPr>
        <w:rPr>
          <w:b/>
          <w:bCs/>
        </w:rPr>
      </w:pPr>
      <w:r w:rsidRPr="002D6D70">
        <w:rPr>
          <w:b/>
          <w:bCs/>
        </w:rPr>
        <w:t xml:space="preserve">Table 1: </w:t>
      </w:r>
      <w:r w:rsidR="00E77783">
        <w:rPr>
          <w:b/>
          <w:bCs/>
        </w:rPr>
        <w:t>I</w:t>
      </w:r>
      <w:r w:rsidRPr="002D6D70">
        <w:rPr>
          <w:b/>
          <w:bCs/>
        </w:rPr>
        <w:t xml:space="preserve">mpact assessments </w:t>
      </w:r>
    </w:p>
    <w:tbl>
      <w:tblPr>
        <w:tblStyle w:val="TableGrid"/>
        <w:tblW w:w="9351" w:type="dxa"/>
        <w:tblLook w:val="04A0" w:firstRow="1" w:lastRow="0" w:firstColumn="1" w:lastColumn="0" w:noHBand="0" w:noVBand="1"/>
      </w:tblPr>
      <w:tblGrid>
        <w:gridCol w:w="2240"/>
        <w:gridCol w:w="1391"/>
        <w:gridCol w:w="5720"/>
      </w:tblGrid>
      <w:tr w:rsidR="000F1594" w:rsidRPr="002D6D70" w14:paraId="6B0A711A" w14:textId="77777777" w:rsidTr="001D7755">
        <w:trPr>
          <w:trHeight w:val="320"/>
        </w:trPr>
        <w:tc>
          <w:tcPr>
            <w:tcW w:w="2240" w:type="dxa"/>
            <w:shd w:val="clear" w:color="auto" w:fill="156082" w:themeFill="accent1"/>
            <w:hideMark/>
          </w:tcPr>
          <w:p w14:paraId="56A060A1" w14:textId="77777777" w:rsidR="000F1594" w:rsidRPr="002D6D70" w:rsidRDefault="000F1594">
            <w:pPr>
              <w:rPr>
                <w:b/>
                <w:bCs/>
                <w:color w:val="FFFFFF" w:themeColor="background1"/>
              </w:rPr>
            </w:pPr>
            <w:r w:rsidRPr="002D6D70">
              <w:rPr>
                <w:b/>
                <w:bCs/>
                <w:color w:val="FFFFFF" w:themeColor="background1"/>
              </w:rPr>
              <w:t>Option</w:t>
            </w:r>
          </w:p>
        </w:tc>
        <w:tc>
          <w:tcPr>
            <w:tcW w:w="1391" w:type="dxa"/>
            <w:shd w:val="clear" w:color="auto" w:fill="156082" w:themeFill="accent1"/>
            <w:hideMark/>
          </w:tcPr>
          <w:p w14:paraId="61A7E6D7" w14:textId="77777777" w:rsidR="000F1594" w:rsidRPr="002D6D70" w:rsidRDefault="000F1594">
            <w:pPr>
              <w:rPr>
                <w:b/>
                <w:bCs/>
                <w:color w:val="FFFFFF" w:themeColor="background1"/>
              </w:rPr>
            </w:pPr>
            <w:r w:rsidRPr="002D6D70">
              <w:rPr>
                <w:b/>
                <w:bCs/>
                <w:color w:val="FFFFFF" w:themeColor="background1"/>
              </w:rPr>
              <w:t>Impact Ranking</w:t>
            </w:r>
          </w:p>
        </w:tc>
        <w:tc>
          <w:tcPr>
            <w:tcW w:w="5720" w:type="dxa"/>
            <w:shd w:val="clear" w:color="auto" w:fill="156082" w:themeFill="accent1"/>
            <w:hideMark/>
          </w:tcPr>
          <w:p w14:paraId="676A1091" w14:textId="5E8BF9D0" w:rsidR="000F1594" w:rsidRPr="002D6D70" w:rsidRDefault="000F1594">
            <w:pPr>
              <w:rPr>
                <w:b/>
                <w:bCs/>
                <w:color w:val="FFFFFF" w:themeColor="background1"/>
              </w:rPr>
            </w:pPr>
            <w:r w:rsidRPr="002D6D70">
              <w:rPr>
                <w:b/>
                <w:bCs/>
                <w:color w:val="FFFFFF" w:themeColor="background1"/>
              </w:rPr>
              <w:t>Key Considerations</w:t>
            </w:r>
          </w:p>
        </w:tc>
      </w:tr>
      <w:tr w:rsidR="000F1594" w:rsidRPr="008D2C63" w14:paraId="6A12A2E3" w14:textId="77777777" w:rsidTr="001D7755">
        <w:trPr>
          <w:trHeight w:val="974"/>
        </w:trPr>
        <w:tc>
          <w:tcPr>
            <w:tcW w:w="2240" w:type="dxa"/>
            <w:hideMark/>
          </w:tcPr>
          <w:p w14:paraId="0AA1E35E" w14:textId="77777777" w:rsidR="000F1594" w:rsidRPr="002D6D70" w:rsidRDefault="000F1594">
            <w:pPr>
              <w:rPr>
                <w:b/>
                <w:bCs/>
                <w:sz w:val="22"/>
                <w:szCs w:val="22"/>
              </w:rPr>
            </w:pPr>
            <w:r w:rsidRPr="002D6D70">
              <w:rPr>
                <w:b/>
                <w:bCs/>
                <w:sz w:val="22"/>
                <w:szCs w:val="22"/>
              </w:rPr>
              <w:t>1. Regional Secretariats</w:t>
            </w:r>
          </w:p>
        </w:tc>
        <w:tc>
          <w:tcPr>
            <w:tcW w:w="1391" w:type="dxa"/>
            <w:hideMark/>
          </w:tcPr>
          <w:p w14:paraId="74D982C1" w14:textId="77777777" w:rsidR="000F1594" w:rsidRDefault="000F1594">
            <w:pPr>
              <w:rPr>
                <w:sz w:val="22"/>
                <w:szCs w:val="22"/>
              </w:rPr>
            </w:pPr>
            <w:r>
              <w:rPr>
                <w:sz w:val="22"/>
                <w:szCs w:val="22"/>
              </w:rPr>
              <w:t>3</w:t>
            </w:r>
            <w:r w:rsidRPr="001872A2">
              <w:rPr>
                <w:sz w:val="22"/>
                <w:szCs w:val="22"/>
                <w:vertAlign w:val="superscript"/>
              </w:rPr>
              <w:t>rd</w:t>
            </w:r>
          </w:p>
          <w:p w14:paraId="7F9C366E" w14:textId="460CD1CD" w:rsidR="000F1594" w:rsidRPr="002D6D70" w:rsidRDefault="000F1594">
            <w:pPr>
              <w:rPr>
                <w:sz w:val="22"/>
                <w:szCs w:val="22"/>
              </w:rPr>
            </w:pPr>
            <w:r>
              <w:rPr>
                <w:sz w:val="22"/>
                <w:szCs w:val="22"/>
              </w:rPr>
              <w:t>(Avg: 7.4)</w:t>
            </w:r>
          </w:p>
        </w:tc>
        <w:tc>
          <w:tcPr>
            <w:tcW w:w="5720" w:type="dxa"/>
            <w:hideMark/>
          </w:tcPr>
          <w:p w14:paraId="25312985" w14:textId="757D84F1" w:rsidR="000F1594" w:rsidRPr="002D6D70" w:rsidRDefault="000F1594">
            <w:pPr>
              <w:rPr>
                <w:sz w:val="22"/>
                <w:szCs w:val="22"/>
              </w:rPr>
            </w:pPr>
            <w:r w:rsidRPr="002D6D70">
              <w:rPr>
                <w:sz w:val="22"/>
                <w:szCs w:val="22"/>
              </w:rPr>
              <w:t>Valuable for coordination in setting up new or coordinating existing players. Favored if seeking long-term system-level change.</w:t>
            </w:r>
          </w:p>
        </w:tc>
      </w:tr>
      <w:tr w:rsidR="000F1594" w:rsidRPr="008D2C63" w14:paraId="6245D4DA" w14:textId="77777777" w:rsidTr="007245B9">
        <w:trPr>
          <w:trHeight w:val="693"/>
        </w:trPr>
        <w:tc>
          <w:tcPr>
            <w:tcW w:w="2240" w:type="dxa"/>
            <w:hideMark/>
          </w:tcPr>
          <w:p w14:paraId="67FFDAEB" w14:textId="77777777" w:rsidR="000F1594" w:rsidRPr="002D6D70" w:rsidRDefault="000F1594">
            <w:pPr>
              <w:rPr>
                <w:b/>
                <w:bCs/>
                <w:sz w:val="22"/>
                <w:szCs w:val="22"/>
              </w:rPr>
            </w:pPr>
            <w:r w:rsidRPr="002D6D70">
              <w:rPr>
                <w:b/>
                <w:bCs/>
                <w:sz w:val="22"/>
                <w:szCs w:val="22"/>
              </w:rPr>
              <w:t>2. Support to Intermediaries</w:t>
            </w:r>
          </w:p>
        </w:tc>
        <w:tc>
          <w:tcPr>
            <w:tcW w:w="1391" w:type="dxa"/>
            <w:hideMark/>
          </w:tcPr>
          <w:p w14:paraId="117731B1" w14:textId="77777777" w:rsidR="000F1594" w:rsidRDefault="000F1594">
            <w:pPr>
              <w:rPr>
                <w:sz w:val="22"/>
                <w:szCs w:val="22"/>
              </w:rPr>
            </w:pPr>
            <w:r>
              <w:rPr>
                <w:sz w:val="22"/>
                <w:szCs w:val="22"/>
              </w:rPr>
              <w:t>1</w:t>
            </w:r>
            <w:r w:rsidRPr="00C16AEB">
              <w:rPr>
                <w:sz w:val="22"/>
                <w:szCs w:val="22"/>
                <w:vertAlign w:val="superscript"/>
              </w:rPr>
              <w:t>st</w:t>
            </w:r>
            <w:r>
              <w:rPr>
                <w:sz w:val="22"/>
                <w:szCs w:val="22"/>
              </w:rPr>
              <w:t xml:space="preserve"> </w:t>
            </w:r>
          </w:p>
          <w:p w14:paraId="5D7E5E42" w14:textId="7CE8FE78" w:rsidR="000F1594" w:rsidRPr="002D6D70" w:rsidRDefault="000F1594">
            <w:pPr>
              <w:rPr>
                <w:sz w:val="22"/>
                <w:szCs w:val="22"/>
              </w:rPr>
            </w:pPr>
            <w:r>
              <w:rPr>
                <w:sz w:val="22"/>
                <w:szCs w:val="22"/>
              </w:rPr>
              <w:t>(Avg: 8.6)</w:t>
            </w:r>
          </w:p>
        </w:tc>
        <w:tc>
          <w:tcPr>
            <w:tcW w:w="5720" w:type="dxa"/>
            <w:hideMark/>
          </w:tcPr>
          <w:p w14:paraId="2A2B82CE" w14:textId="3CB00533" w:rsidR="000F1594" w:rsidRPr="002D6D70" w:rsidRDefault="000F1594">
            <w:pPr>
              <w:rPr>
                <w:sz w:val="22"/>
                <w:szCs w:val="22"/>
              </w:rPr>
            </w:pPr>
            <w:r w:rsidRPr="002D6D70">
              <w:rPr>
                <w:sz w:val="22"/>
                <w:szCs w:val="22"/>
              </w:rPr>
              <w:t>Most favored overall. Strengthens actors closest to users; seen as feasible and high-return.</w:t>
            </w:r>
          </w:p>
        </w:tc>
      </w:tr>
      <w:tr w:rsidR="000F1594" w:rsidRPr="008D2C63" w14:paraId="05EEA668" w14:textId="77777777" w:rsidTr="0030355C">
        <w:trPr>
          <w:trHeight w:val="720"/>
        </w:trPr>
        <w:tc>
          <w:tcPr>
            <w:tcW w:w="2240" w:type="dxa"/>
            <w:hideMark/>
          </w:tcPr>
          <w:p w14:paraId="2C039BFE" w14:textId="77777777" w:rsidR="000F1594" w:rsidRPr="002D6D70" w:rsidRDefault="000F1594">
            <w:pPr>
              <w:rPr>
                <w:b/>
                <w:bCs/>
                <w:sz w:val="22"/>
                <w:szCs w:val="22"/>
              </w:rPr>
            </w:pPr>
            <w:r w:rsidRPr="002D6D70">
              <w:rPr>
                <w:b/>
                <w:bCs/>
                <w:sz w:val="22"/>
                <w:szCs w:val="22"/>
              </w:rPr>
              <w:t>3. Co-Design Labs</w:t>
            </w:r>
          </w:p>
        </w:tc>
        <w:tc>
          <w:tcPr>
            <w:tcW w:w="1391" w:type="dxa"/>
            <w:hideMark/>
          </w:tcPr>
          <w:p w14:paraId="1DDC4CAD" w14:textId="77777777" w:rsidR="000F1594" w:rsidRDefault="000F1594">
            <w:pPr>
              <w:rPr>
                <w:sz w:val="22"/>
                <w:szCs w:val="22"/>
              </w:rPr>
            </w:pPr>
            <w:r>
              <w:rPr>
                <w:sz w:val="22"/>
                <w:szCs w:val="22"/>
              </w:rPr>
              <w:t>2</w:t>
            </w:r>
            <w:r w:rsidRPr="00975C52">
              <w:rPr>
                <w:sz w:val="22"/>
                <w:szCs w:val="22"/>
                <w:vertAlign w:val="superscript"/>
              </w:rPr>
              <w:t>nd</w:t>
            </w:r>
            <w:r>
              <w:rPr>
                <w:sz w:val="22"/>
                <w:szCs w:val="22"/>
              </w:rPr>
              <w:t xml:space="preserve"> </w:t>
            </w:r>
          </w:p>
          <w:p w14:paraId="21842F39" w14:textId="7404BA6C" w:rsidR="000F1594" w:rsidRPr="002D6D70" w:rsidRDefault="000F1594">
            <w:pPr>
              <w:rPr>
                <w:sz w:val="22"/>
                <w:szCs w:val="22"/>
              </w:rPr>
            </w:pPr>
            <w:r>
              <w:rPr>
                <w:sz w:val="22"/>
                <w:szCs w:val="22"/>
              </w:rPr>
              <w:t>(Avg: 7.9)</w:t>
            </w:r>
          </w:p>
        </w:tc>
        <w:tc>
          <w:tcPr>
            <w:tcW w:w="5720" w:type="dxa"/>
            <w:hideMark/>
          </w:tcPr>
          <w:p w14:paraId="16243414" w14:textId="3F4DD31A" w:rsidR="000F1594" w:rsidRPr="002D6D70" w:rsidRDefault="000F1594">
            <w:pPr>
              <w:rPr>
                <w:sz w:val="22"/>
                <w:szCs w:val="22"/>
              </w:rPr>
            </w:pPr>
            <w:r w:rsidRPr="002D6D70">
              <w:rPr>
                <w:sz w:val="22"/>
                <w:szCs w:val="22"/>
              </w:rPr>
              <w:t>Strong for innovation and collaboration. Needs facilitation and sustained investment.</w:t>
            </w:r>
          </w:p>
        </w:tc>
      </w:tr>
      <w:tr w:rsidR="000F1594" w:rsidRPr="008D2C63" w14:paraId="6091AA59" w14:textId="77777777" w:rsidTr="007245B9">
        <w:trPr>
          <w:trHeight w:val="670"/>
        </w:trPr>
        <w:tc>
          <w:tcPr>
            <w:tcW w:w="2240" w:type="dxa"/>
            <w:hideMark/>
          </w:tcPr>
          <w:p w14:paraId="2F728DAB" w14:textId="77777777" w:rsidR="000F1594" w:rsidRPr="002D6D70" w:rsidRDefault="000F1594">
            <w:pPr>
              <w:rPr>
                <w:b/>
                <w:bCs/>
                <w:sz w:val="22"/>
                <w:szCs w:val="22"/>
              </w:rPr>
            </w:pPr>
            <w:r w:rsidRPr="002D6D70">
              <w:rPr>
                <w:b/>
                <w:bCs/>
                <w:sz w:val="22"/>
                <w:szCs w:val="22"/>
              </w:rPr>
              <w:t>4. Question Repositories</w:t>
            </w:r>
          </w:p>
        </w:tc>
        <w:tc>
          <w:tcPr>
            <w:tcW w:w="1391" w:type="dxa"/>
            <w:hideMark/>
          </w:tcPr>
          <w:p w14:paraId="6B209B88" w14:textId="7CD870C4" w:rsidR="000F1594" w:rsidRDefault="000F1594">
            <w:pPr>
              <w:rPr>
                <w:sz w:val="22"/>
                <w:szCs w:val="22"/>
              </w:rPr>
            </w:pPr>
            <w:r>
              <w:rPr>
                <w:sz w:val="22"/>
                <w:szCs w:val="22"/>
              </w:rPr>
              <w:t>5</w:t>
            </w:r>
            <w:r w:rsidRPr="00936567">
              <w:rPr>
                <w:sz w:val="22"/>
                <w:szCs w:val="22"/>
                <w:vertAlign w:val="superscript"/>
              </w:rPr>
              <w:t>th</w:t>
            </w:r>
            <w:r>
              <w:rPr>
                <w:sz w:val="22"/>
                <w:szCs w:val="22"/>
              </w:rPr>
              <w:t xml:space="preserve"> </w:t>
            </w:r>
          </w:p>
          <w:p w14:paraId="58B1A133" w14:textId="2D7FC53F" w:rsidR="000F1594" w:rsidRPr="002D6D70" w:rsidRDefault="000F1594">
            <w:pPr>
              <w:rPr>
                <w:sz w:val="22"/>
                <w:szCs w:val="22"/>
              </w:rPr>
            </w:pPr>
            <w:r>
              <w:rPr>
                <w:sz w:val="22"/>
                <w:szCs w:val="22"/>
              </w:rPr>
              <w:t>(Avg: 6.2)</w:t>
            </w:r>
          </w:p>
        </w:tc>
        <w:tc>
          <w:tcPr>
            <w:tcW w:w="5720" w:type="dxa"/>
            <w:hideMark/>
          </w:tcPr>
          <w:p w14:paraId="66D3A5EF" w14:textId="4F001270" w:rsidR="000F1594" w:rsidRPr="002D6D70" w:rsidRDefault="000F1594">
            <w:pPr>
              <w:rPr>
                <w:sz w:val="22"/>
                <w:szCs w:val="22"/>
              </w:rPr>
            </w:pPr>
            <w:r w:rsidRPr="002D6D70">
              <w:rPr>
                <w:sz w:val="22"/>
                <w:szCs w:val="22"/>
              </w:rPr>
              <w:t>Needs to be tied to existing connections accessed by end-users and link to policy cycles and embedded processes.</w:t>
            </w:r>
          </w:p>
        </w:tc>
      </w:tr>
      <w:tr w:rsidR="000F1594" w:rsidRPr="008D2C63" w14:paraId="1851230D" w14:textId="77777777" w:rsidTr="001D7755">
        <w:trPr>
          <w:trHeight w:val="848"/>
        </w:trPr>
        <w:tc>
          <w:tcPr>
            <w:tcW w:w="2240" w:type="dxa"/>
            <w:hideMark/>
          </w:tcPr>
          <w:p w14:paraId="4F410115" w14:textId="77777777" w:rsidR="000F1594" w:rsidRPr="002D6D70" w:rsidRDefault="000F1594">
            <w:pPr>
              <w:rPr>
                <w:b/>
                <w:bCs/>
                <w:sz w:val="22"/>
                <w:szCs w:val="22"/>
              </w:rPr>
            </w:pPr>
            <w:r w:rsidRPr="002D6D70">
              <w:rPr>
                <w:b/>
                <w:bCs/>
                <w:sz w:val="22"/>
                <w:szCs w:val="22"/>
              </w:rPr>
              <w:t>5. End-User Grants</w:t>
            </w:r>
          </w:p>
        </w:tc>
        <w:tc>
          <w:tcPr>
            <w:tcW w:w="1391" w:type="dxa"/>
            <w:hideMark/>
          </w:tcPr>
          <w:p w14:paraId="15D7BC9D" w14:textId="77777777" w:rsidR="000F1594" w:rsidRDefault="000F1594">
            <w:pPr>
              <w:rPr>
                <w:sz w:val="22"/>
                <w:szCs w:val="22"/>
              </w:rPr>
            </w:pPr>
            <w:r>
              <w:rPr>
                <w:sz w:val="22"/>
                <w:szCs w:val="22"/>
              </w:rPr>
              <w:t>4</w:t>
            </w:r>
            <w:r w:rsidRPr="001872A2">
              <w:rPr>
                <w:sz w:val="22"/>
                <w:szCs w:val="22"/>
                <w:vertAlign w:val="superscript"/>
              </w:rPr>
              <w:t>th</w:t>
            </w:r>
          </w:p>
          <w:p w14:paraId="0BD359ED" w14:textId="2693AA06" w:rsidR="000F1594" w:rsidRPr="002D6D70" w:rsidRDefault="000F1594">
            <w:pPr>
              <w:rPr>
                <w:sz w:val="22"/>
                <w:szCs w:val="22"/>
              </w:rPr>
            </w:pPr>
            <w:r>
              <w:rPr>
                <w:sz w:val="22"/>
                <w:szCs w:val="22"/>
              </w:rPr>
              <w:t>(Avg: 6.9)</w:t>
            </w:r>
          </w:p>
        </w:tc>
        <w:tc>
          <w:tcPr>
            <w:tcW w:w="5720" w:type="dxa"/>
            <w:hideMark/>
          </w:tcPr>
          <w:p w14:paraId="5A3AAECF" w14:textId="0FBFD239" w:rsidR="000F1594" w:rsidRPr="002D6D70" w:rsidRDefault="000F1594">
            <w:pPr>
              <w:rPr>
                <w:sz w:val="22"/>
                <w:szCs w:val="22"/>
              </w:rPr>
            </w:pPr>
            <w:r w:rsidRPr="002D6D70">
              <w:rPr>
                <w:sz w:val="22"/>
                <w:szCs w:val="22"/>
              </w:rPr>
              <w:t>Useful for locali</w:t>
            </w:r>
            <w:r>
              <w:rPr>
                <w:sz w:val="22"/>
                <w:szCs w:val="22"/>
              </w:rPr>
              <w:t>s</w:t>
            </w:r>
            <w:r w:rsidRPr="002D6D70">
              <w:rPr>
                <w:sz w:val="22"/>
                <w:szCs w:val="22"/>
              </w:rPr>
              <w:t xml:space="preserve">ed experimentation an applicable with limited existing infrastructure. </w:t>
            </w:r>
          </w:p>
        </w:tc>
      </w:tr>
    </w:tbl>
    <w:p w14:paraId="0BAC91CB" w14:textId="77777777" w:rsidR="004D6CC1" w:rsidRDefault="004D6CC1" w:rsidP="00110284"/>
    <w:p w14:paraId="09C4DE83" w14:textId="66BBA0F1" w:rsidR="00346329" w:rsidRDefault="00FE0CBD" w:rsidP="00657534">
      <w:r w:rsidRPr="00FE0CBD">
        <w:t>The analysis concludes that Options 1, 2, and 3 are suitable for investment as they serve as complementary and scale-relevant interventions to support demand-side engagement.</w:t>
      </w:r>
      <w:r w:rsidR="00346329">
        <w:t xml:space="preserve"> </w:t>
      </w:r>
      <w:r>
        <w:t>Options 4 and 5 are likely to be sound complementary approaches that co</w:t>
      </w:r>
      <w:r w:rsidR="3DD19C4B">
        <w:t>u</w:t>
      </w:r>
      <w:r>
        <w:t xml:space="preserve">ld be applied </w:t>
      </w:r>
      <w:r w:rsidR="001D7682">
        <w:t>to enhance certain modes of engagement (</w:t>
      </w:r>
      <w:r w:rsidR="00657534">
        <w:t>early-stage</w:t>
      </w:r>
      <w:r w:rsidR="001D7682">
        <w:t xml:space="preserve"> prioritisation and question planning), and flexible</w:t>
      </w:r>
      <w:r w:rsidR="00657534">
        <w:t xml:space="preserve"> and readily implementable</w:t>
      </w:r>
      <w:r w:rsidR="001D7682">
        <w:t xml:space="preserve"> approached to local support. </w:t>
      </w:r>
    </w:p>
    <w:p w14:paraId="41DB3068" w14:textId="26619CB0" w:rsidR="00611AFF" w:rsidRDefault="00A761CF" w:rsidP="00A44AE3">
      <w:pPr>
        <w:pStyle w:val="Heading3"/>
        <w:spacing w:after="120"/>
        <w:jc w:val="both"/>
      </w:pPr>
      <w:r>
        <w:t>How to invest in demand-side engagement work</w:t>
      </w:r>
      <w:r w:rsidR="000830BA">
        <w:t xml:space="preserve"> – implementation </w:t>
      </w:r>
    </w:p>
    <w:p w14:paraId="5B55B41C" w14:textId="704907B5" w:rsidR="009C459F" w:rsidRDefault="00A95A29" w:rsidP="00EB776E">
      <w:r>
        <w:t>In line with the Stage 4 report from other working groups, this section takes the options as discussed and examines their needs for implementation</w:t>
      </w:r>
      <w:r w:rsidR="00885DDA">
        <w:t xml:space="preserve"> across four key areas </w:t>
      </w:r>
      <w:r w:rsidR="00EB776E">
        <w:t>- organisational</w:t>
      </w:r>
      <w:r w:rsidR="00EB776E">
        <w:rPr>
          <w:lang w:bidi="th-TH"/>
        </w:rPr>
        <w:t xml:space="preserve"> </w:t>
      </w:r>
      <w:r w:rsidR="00EB776E" w:rsidRPr="008F7939">
        <w:rPr>
          <w:lang w:bidi="th-TH"/>
        </w:rPr>
        <w:t>/</w:t>
      </w:r>
      <w:r w:rsidR="00EB776E">
        <w:rPr>
          <w:lang w:bidi="th-TH"/>
        </w:rPr>
        <w:t xml:space="preserve"> </w:t>
      </w:r>
      <w:r w:rsidR="00EB776E" w:rsidRPr="008F7939">
        <w:rPr>
          <w:lang w:bidi="th-TH"/>
        </w:rPr>
        <w:t xml:space="preserve">governance, infrastructure, projects, and processes. </w:t>
      </w:r>
      <w:r w:rsidR="00102C16" w:rsidRPr="008F7939">
        <w:rPr>
          <w:lang w:bidi="th-TH"/>
        </w:rPr>
        <w:t>While many options span multiple areas, each has a primary implementation anchor. This framing supports sequencing, alignment with other Working Group recommendations, and identification of enabling conditions.</w:t>
      </w:r>
    </w:p>
    <w:p w14:paraId="6FBE8469" w14:textId="77777777" w:rsidR="00AE183D" w:rsidRPr="008F7939" w:rsidRDefault="00AE183D" w:rsidP="00AE183D">
      <w:pPr>
        <w:pStyle w:val="Heading4"/>
        <w:rPr>
          <w:lang w:bidi="th-TH"/>
        </w:rPr>
      </w:pPr>
      <w:r>
        <w:t>Options requiring o</w:t>
      </w:r>
      <w:r w:rsidRPr="008F7939">
        <w:rPr>
          <w:lang w:bidi="th-TH"/>
        </w:rPr>
        <w:t>rganisational</w:t>
      </w:r>
      <w:r>
        <w:t xml:space="preserve"> or g</w:t>
      </w:r>
      <w:r w:rsidRPr="008F7939">
        <w:rPr>
          <w:lang w:bidi="th-TH"/>
        </w:rPr>
        <w:t>overnance</w:t>
      </w:r>
      <w:r>
        <w:t xml:space="preserve"> changes</w:t>
      </w:r>
    </w:p>
    <w:p w14:paraId="2DA705E8" w14:textId="3A89B0B9" w:rsidR="004A4F97" w:rsidRPr="008F7939" w:rsidRDefault="00AE183D" w:rsidP="004A4F97">
      <w:pPr>
        <w:rPr>
          <w:lang w:bidi="th-TH"/>
        </w:rPr>
      </w:pPr>
      <w:r w:rsidRPr="008F7939">
        <w:rPr>
          <w:b/>
          <w:bCs/>
          <w:lang w:bidi="th-TH"/>
        </w:rPr>
        <w:t xml:space="preserve">Regional Demand-Side Secretariats </w:t>
      </w:r>
      <w:r w:rsidRPr="00AE183D">
        <w:rPr>
          <w:lang w:bidi="th-TH"/>
        </w:rPr>
        <w:t>are</w:t>
      </w:r>
      <w:r w:rsidRPr="008F7939">
        <w:rPr>
          <w:lang w:bidi="th-TH"/>
        </w:rPr>
        <w:t xml:space="preserve"> primarily a governance intervention. Successful implementation depends on establishing formal regional entities with mandates to coordinate demand-side engagement. These bodies </w:t>
      </w:r>
      <w:r w:rsidR="001154C9">
        <w:rPr>
          <w:lang w:bidi="th-TH"/>
        </w:rPr>
        <w:t>may</w:t>
      </w:r>
      <w:r w:rsidRPr="008F7939">
        <w:rPr>
          <w:lang w:bidi="th-TH"/>
        </w:rPr>
        <w:t xml:space="preserve"> be hosted by</w:t>
      </w:r>
      <w:r w:rsidR="004A4F97">
        <w:rPr>
          <w:lang w:bidi="th-TH"/>
        </w:rPr>
        <w:t>,</w:t>
      </w:r>
      <w:r w:rsidRPr="008F7939">
        <w:rPr>
          <w:lang w:bidi="th-TH"/>
        </w:rPr>
        <w:t xml:space="preserve"> </w:t>
      </w:r>
      <w:r w:rsidR="001154C9">
        <w:rPr>
          <w:lang w:bidi="th-TH"/>
        </w:rPr>
        <w:t>or alongside</w:t>
      </w:r>
      <w:r w:rsidR="004C0066">
        <w:rPr>
          <w:lang w:bidi="th-TH"/>
        </w:rPr>
        <w:t>,</w:t>
      </w:r>
      <w:r w:rsidR="001154C9">
        <w:rPr>
          <w:lang w:bidi="th-TH"/>
        </w:rPr>
        <w:t xml:space="preserve"> </w:t>
      </w:r>
      <w:r w:rsidRPr="008F7939">
        <w:rPr>
          <w:lang w:bidi="th-TH"/>
        </w:rPr>
        <w:t>credible organisations (e.g., UN</w:t>
      </w:r>
      <w:r w:rsidR="007A0523">
        <w:rPr>
          <w:lang w:bidi="th-TH"/>
        </w:rPr>
        <w:t xml:space="preserve"> regional bodies</w:t>
      </w:r>
      <w:r w:rsidRPr="008F7939">
        <w:rPr>
          <w:lang w:bidi="th-TH"/>
        </w:rPr>
        <w:t xml:space="preserve">, or </w:t>
      </w:r>
      <w:r w:rsidR="007A0523">
        <w:rPr>
          <w:lang w:bidi="th-TH"/>
        </w:rPr>
        <w:t xml:space="preserve">with </w:t>
      </w:r>
      <w:r w:rsidRPr="008F7939">
        <w:rPr>
          <w:lang w:bidi="th-TH"/>
        </w:rPr>
        <w:t xml:space="preserve">regional </w:t>
      </w:r>
      <w:r w:rsidR="007A0523">
        <w:rPr>
          <w:lang w:bidi="th-TH"/>
        </w:rPr>
        <w:t xml:space="preserve">intermediaries or </w:t>
      </w:r>
      <w:r w:rsidRPr="008F7939">
        <w:rPr>
          <w:lang w:bidi="th-TH"/>
        </w:rPr>
        <w:t xml:space="preserve">think tanks) </w:t>
      </w:r>
      <w:r w:rsidR="007A0523">
        <w:rPr>
          <w:lang w:bidi="th-TH"/>
        </w:rPr>
        <w:t xml:space="preserve">or established as new bodies (aligned with other governing needs of working groups). </w:t>
      </w:r>
      <w:r w:rsidR="004C0066">
        <w:rPr>
          <w:lang w:bidi="th-TH"/>
        </w:rPr>
        <w:t xml:space="preserve">The choice here will depend on the maturity, willingness and readiness of these existing </w:t>
      </w:r>
      <w:r w:rsidR="00850C43">
        <w:rPr>
          <w:lang w:bidi="th-TH"/>
        </w:rPr>
        <w:t>organisations</w:t>
      </w:r>
      <w:r w:rsidR="004C0066">
        <w:rPr>
          <w:lang w:bidi="th-TH"/>
        </w:rPr>
        <w:t>.</w:t>
      </w:r>
    </w:p>
    <w:p w14:paraId="7AEAAC99" w14:textId="5B745854" w:rsidR="00AE183D" w:rsidRPr="008F7939" w:rsidRDefault="00AE183D" w:rsidP="00AE183D">
      <w:pPr>
        <w:rPr>
          <w:lang w:bidi="th-TH"/>
        </w:rPr>
      </w:pPr>
      <w:r w:rsidRPr="008F7939">
        <w:rPr>
          <w:lang w:bidi="th-TH"/>
        </w:rPr>
        <w:t>A central coordination mechanism</w:t>
      </w:r>
      <w:r w:rsidR="00850C43">
        <w:rPr>
          <w:lang w:bidi="th-TH"/>
        </w:rPr>
        <w:t xml:space="preserve"> or function</w:t>
      </w:r>
      <w:r w:rsidRPr="008F7939">
        <w:rPr>
          <w:lang w:bidi="th-TH"/>
        </w:rPr>
        <w:t xml:space="preserve"> may be needed to connect secretariats, support standard-setting, and facilitate shared learning.</w:t>
      </w:r>
      <w:r w:rsidR="00AF0320">
        <w:rPr>
          <w:lang w:bidi="th-TH"/>
        </w:rPr>
        <w:t xml:space="preserve"> The functions of the secretariats could be guided by local, multi-disciplinary boards. The staffing for the secretariats could come from </w:t>
      </w:r>
      <w:r w:rsidR="009A3F8C">
        <w:rPr>
          <w:lang w:bidi="th-TH"/>
        </w:rPr>
        <w:t>newly funded staff, o</w:t>
      </w:r>
      <w:r w:rsidR="00D27482">
        <w:rPr>
          <w:lang w:bidi="th-TH"/>
        </w:rPr>
        <w:t>r in-kind contributions from local actors</w:t>
      </w:r>
      <w:r w:rsidR="007307AB">
        <w:rPr>
          <w:lang w:bidi="th-TH"/>
        </w:rPr>
        <w:t xml:space="preserve"> for limited tasks</w:t>
      </w:r>
      <w:r w:rsidR="00D27482">
        <w:rPr>
          <w:lang w:bidi="th-TH"/>
        </w:rPr>
        <w:t xml:space="preserve">. </w:t>
      </w:r>
      <w:r w:rsidR="007307AB">
        <w:rPr>
          <w:lang w:bidi="th-TH"/>
        </w:rPr>
        <w:t>The secretariats themselves</w:t>
      </w:r>
      <w:r w:rsidR="00F26701">
        <w:rPr>
          <w:lang w:bidi="th-TH"/>
        </w:rPr>
        <w:t xml:space="preserve"> could serve as capability building tools for seconded staff. </w:t>
      </w:r>
    </w:p>
    <w:p w14:paraId="22E29863" w14:textId="77777777" w:rsidR="00805403" w:rsidRPr="00805403" w:rsidRDefault="00805403" w:rsidP="00805403">
      <w:pPr>
        <w:pStyle w:val="Heading4"/>
      </w:pPr>
      <w:r w:rsidRPr="00805403">
        <w:t>Options requiring or establishing new infrastructure</w:t>
      </w:r>
    </w:p>
    <w:p w14:paraId="69FCC7E2" w14:textId="5C3FE1F6" w:rsidR="00805403" w:rsidRPr="00805403" w:rsidRDefault="00805403" w:rsidP="00805403">
      <w:pPr>
        <w:rPr>
          <w:szCs w:val="30"/>
          <w:lang w:val="en-AU" w:bidi="th-TH"/>
        </w:rPr>
      </w:pPr>
      <w:r>
        <w:rPr>
          <w:b/>
          <w:bCs/>
          <w:szCs w:val="30"/>
          <w:lang w:val="en-AU" w:bidi="th-TH"/>
        </w:rPr>
        <w:t xml:space="preserve">Thematic </w:t>
      </w:r>
      <w:r w:rsidRPr="00805403">
        <w:rPr>
          <w:b/>
          <w:bCs/>
          <w:szCs w:val="30"/>
          <w:lang w:val="en-AU" w:bidi="th-TH"/>
        </w:rPr>
        <w:t xml:space="preserve">Repositories </w:t>
      </w:r>
      <w:r>
        <w:rPr>
          <w:b/>
          <w:bCs/>
          <w:szCs w:val="30"/>
          <w:lang w:val="en-AU" w:bidi="th-TH"/>
        </w:rPr>
        <w:t>(including question b</w:t>
      </w:r>
      <w:r w:rsidRPr="00805403">
        <w:rPr>
          <w:b/>
          <w:bCs/>
          <w:szCs w:val="30"/>
          <w:lang w:val="en-AU" w:bidi="th-TH"/>
        </w:rPr>
        <w:t>anks</w:t>
      </w:r>
      <w:r w:rsidR="0085066D">
        <w:rPr>
          <w:b/>
          <w:bCs/>
          <w:szCs w:val="30"/>
          <w:lang w:val="en-AU" w:bidi="th-TH"/>
        </w:rPr>
        <w:t xml:space="preserve"> and evidence gap mapping</w:t>
      </w:r>
      <w:r>
        <w:rPr>
          <w:b/>
          <w:bCs/>
          <w:szCs w:val="30"/>
          <w:lang w:val="en-AU" w:bidi="th-TH"/>
        </w:rPr>
        <w:t>)</w:t>
      </w:r>
      <w:r w:rsidRPr="00805403">
        <w:rPr>
          <w:b/>
          <w:bCs/>
          <w:szCs w:val="30"/>
          <w:lang w:val="en-AU" w:bidi="th-TH"/>
        </w:rPr>
        <w:t xml:space="preserve"> – </w:t>
      </w:r>
      <w:r w:rsidRPr="00805403">
        <w:rPr>
          <w:szCs w:val="30"/>
          <w:lang w:val="en-AU" w:bidi="th-TH"/>
        </w:rPr>
        <w:t>This option is fundamentally a digital infrastructure investment</w:t>
      </w:r>
      <w:r w:rsidR="00C43FA6">
        <w:rPr>
          <w:szCs w:val="30"/>
          <w:lang w:val="en-AU" w:bidi="th-TH"/>
        </w:rPr>
        <w:t xml:space="preserve"> supported by a method or process for generating the information to be captured and shared</w:t>
      </w:r>
      <w:r w:rsidRPr="00805403">
        <w:rPr>
          <w:szCs w:val="30"/>
          <w:lang w:val="en-AU" w:bidi="th-TH"/>
        </w:rPr>
        <w:t>. It involves developing an interactive platform that curates, updates, and links priority policy questions to synthesis processes. Implementation requires significant coordination, data governance, and technical expertise, and may need to integrate with tools from WG</w:t>
      </w:r>
      <w:r w:rsidR="00830B8F">
        <w:rPr>
          <w:szCs w:val="30"/>
          <w:lang w:val="en-AU" w:bidi="th-TH"/>
        </w:rPr>
        <w:t xml:space="preserve">2 and </w:t>
      </w:r>
      <w:r w:rsidR="008B1640">
        <w:rPr>
          <w:szCs w:val="30"/>
          <w:lang w:val="en-AU" w:bidi="th-TH"/>
        </w:rPr>
        <w:t>WG</w:t>
      </w:r>
      <w:r w:rsidRPr="00805403">
        <w:rPr>
          <w:szCs w:val="30"/>
          <w:lang w:val="en-AU" w:bidi="th-TH"/>
        </w:rPr>
        <w:t>3 (e.g., evidence platforms, living syntheses).</w:t>
      </w:r>
    </w:p>
    <w:p w14:paraId="218D129A" w14:textId="77777777" w:rsidR="00805403" w:rsidRDefault="00805403" w:rsidP="00805403">
      <w:pPr>
        <w:rPr>
          <w:szCs w:val="30"/>
          <w:lang w:val="en-AU" w:bidi="th-TH"/>
        </w:rPr>
      </w:pPr>
      <w:r w:rsidRPr="00805403">
        <w:rPr>
          <w:szCs w:val="30"/>
          <w:lang w:val="en-AU" w:bidi="th-TH"/>
        </w:rPr>
        <w:t>To succeed, this platform must be user-centred, regionally relevant, and linked to institutional processes for question setting. Given its complexity, development should begin in parallel with early-stage options but launch later, once intermediary capacity and engagement pathways are in place.</w:t>
      </w:r>
    </w:p>
    <w:p w14:paraId="13D41E91" w14:textId="77777777" w:rsidR="005055E9" w:rsidRPr="005055E9" w:rsidRDefault="005055E9" w:rsidP="005055E9">
      <w:pPr>
        <w:pStyle w:val="Heading4"/>
      </w:pPr>
      <w:r w:rsidRPr="005055E9">
        <w:t>Options to be delivered as projects – time limited or task and product focused</w:t>
      </w:r>
    </w:p>
    <w:p w14:paraId="4BA56589" w14:textId="59D40B6D" w:rsidR="005055E9" w:rsidRPr="005055E9" w:rsidRDefault="005055E9" w:rsidP="005055E9">
      <w:pPr>
        <w:rPr>
          <w:lang w:val="en-AU" w:bidi="th-TH"/>
        </w:rPr>
      </w:pPr>
      <w:r w:rsidRPr="7FBCBF42">
        <w:rPr>
          <w:b/>
          <w:lang w:val="en-AU" w:bidi="th-TH"/>
        </w:rPr>
        <w:t xml:space="preserve">Co-Design Labs </w:t>
      </w:r>
      <w:r w:rsidRPr="7FBCBF42">
        <w:rPr>
          <w:lang w:val="en-AU" w:bidi="th-TH"/>
        </w:rPr>
        <w:t>are project-based innovations focused on solving complex problems through collaborative synthesis. They require flexible hosting arrangements</w:t>
      </w:r>
      <w:r w:rsidR="005F25BD" w:rsidRPr="7FBCBF42">
        <w:rPr>
          <w:lang w:val="en-AU" w:bidi="th-TH"/>
        </w:rPr>
        <w:t xml:space="preserve"> – </w:t>
      </w:r>
      <w:r w:rsidRPr="7FBCBF42">
        <w:rPr>
          <w:lang w:val="en-AU" w:bidi="th-TH"/>
        </w:rPr>
        <w:t>such as universities, think tanks, or government innovation units</w:t>
      </w:r>
      <w:r w:rsidR="005F25BD" w:rsidRPr="7FBCBF42">
        <w:rPr>
          <w:lang w:val="en-AU" w:bidi="th-TH"/>
        </w:rPr>
        <w:t xml:space="preserve"> – </w:t>
      </w:r>
      <w:r w:rsidRPr="7FBCBF42">
        <w:rPr>
          <w:lang w:val="en-AU" w:bidi="th-TH"/>
        </w:rPr>
        <w:t xml:space="preserve">and are best implemented as time-limited, outcome-oriented initiatives. These labs </w:t>
      </w:r>
      <w:r w:rsidR="00E37D52" w:rsidRPr="7FBCBF42">
        <w:rPr>
          <w:lang w:val="en-AU" w:bidi="th-TH"/>
        </w:rPr>
        <w:t xml:space="preserve">may </w:t>
      </w:r>
      <w:r w:rsidR="0EABB10B" w:rsidRPr="7FBCBF42">
        <w:rPr>
          <w:lang w:val="en-AU" w:bidi="th-TH"/>
        </w:rPr>
        <w:t>require some</w:t>
      </w:r>
      <w:r w:rsidRPr="7FBCBF42">
        <w:rPr>
          <w:lang w:val="en-AU" w:bidi="th-TH"/>
        </w:rPr>
        <w:t xml:space="preserve"> infrastructure (e.g., facilitation tools) and strong process design but </w:t>
      </w:r>
      <w:r w:rsidR="68F7D062" w:rsidRPr="7FBCBF42">
        <w:rPr>
          <w:lang w:val="en-AU" w:bidi="th-TH"/>
        </w:rPr>
        <w:t>can be</w:t>
      </w:r>
      <w:r w:rsidRPr="7FBCBF42">
        <w:rPr>
          <w:lang w:val="en-AU" w:bidi="th-TH"/>
        </w:rPr>
        <w:t xml:space="preserve"> delivered as discrete projects with </w:t>
      </w:r>
      <w:r w:rsidR="65D4A99A" w:rsidRPr="7FBCBF42">
        <w:rPr>
          <w:lang w:val="en-AU" w:bidi="th-TH"/>
        </w:rPr>
        <w:t>mechanisms to gather feedback over time</w:t>
      </w:r>
      <w:r w:rsidRPr="7FBCBF42">
        <w:rPr>
          <w:lang w:val="en-AU" w:bidi="th-TH"/>
        </w:rPr>
        <w:t>.</w:t>
      </w:r>
    </w:p>
    <w:p w14:paraId="23350FD7" w14:textId="760B1F35" w:rsidR="005055E9" w:rsidRPr="005055E9" w:rsidRDefault="005055E9" w:rsidP="005055E9">
      <w:pPr>
        <w:rPr>
          <w:lang w:val="en-AU" w:bidi="th-TH"/>
        </w:rPr>
      </w:pPr>
      <w:r w:rsidRPr="7FBCBF42">
        <w:rPr>
          <w:lang w:val="en-AU" w:bidi="th-TH"/>
        </w:rPr>
        <w:t>Given their ability to generate early value</w:t>
      </w:r>
      <w:r w:rsidR="00A1055D" w:rsidRPr="7FBCBF42">
        <w:rPr>
          <w:lang w:val="en-AU" w:bidi="th-TH"/>
        </w:rPr>
        <w:t>, multi-stakeholder relations</w:t>
      </w:r>
      <w:r w:rsidRPr="7FBCBF42">
        <w:rPr>
          <w:lang w:val="en-AU" w:bidi="th-TH"/>
        </w:rPr>
        <w:t xml:space="preserve"> and </w:t>
      </w:r>
      <w:r w:rsidR="00551E3E" w:rsidRPr="7FBCBF42">
        <w:rPr>
          <w:lang w:val="en-AU" w:bidi="th-TH"/>
        </w:rPr>
        <w:t>end-</w:t>
      </w:r>
      <w:r w:rsidRPr="7FBCBF42">
        <w:rPr>
          <w:lang w:val="en-AU" w:bidi="th-TH"/>
        </w:rPr>
        <w:t xml:space="preserve">user engagement, co-design labs can serve as both proof-of-concept and vehicles </w:t>
      </w:r>
      <w:r w:rsidR="00CD5F34" w:rsidRPr="7FBCBF42">
        <w:rPr>
          <w:lang w:val="en-AU" w:bidi="th-TH"/>
        </w:rPr>
        <w:t>for experimentation</w:t>
      </w:r>
      <w:r w:rsidRPr="7FBCBF42">
        <w:rPr>
          <w:lang w:val="en-AU" w:bidi="th-TH"/>
        </w:rPr>
        <w:t>. They are well-suited for medium-term implementation, ideally after initial capacity-building</w:t>
      </w:r>
      <w:r w:rsidR="211DF4F5" w:rsidRPr="7FBCBF42">
        <w:rPr>
          <w:lang w:val="en-AU" w:bidi="th-TH"/>
        </w:rPr>
        <w:t xml:space="preserve"> for evidence intermediaries</w:t>
      </w:r>
      <w:r w:rsidRPr="7FBCBF42">
        <w:rPr>
          <w:lang w:val="en-AU" w:bidi="th-TH"/>
        </w:rPr>
        <w:t>.</w:t>
      </w:r>
    </w:p>
    <w:p w14:paraId="45AD6121" w14:textId="6ABDD6C0" w:rsidR="005055E9" w:rsidRPr="005055E9" w:rsidRDefault="005055E9" w:rsidP="005055E9">
      <w:pPr>
        <w:rPr>
          <w:szCs w:val="30"/>
          <w:lang w:val="en-AU" w:bidi="th-TH"/>
        </w:rPr>
      </w:pPr>
      <w:r w:rsidRPr="005055E9">
        <w:rPr>
          <w:b/>
          <w:bCs/>
          <w:szCs w:val="30"/>
          <w:lang w:val="en-AU" w:bidi="th-TH"/>
        </w:rPr>
        <w:t xml:space="preserve">Grants to End-Users </w:t>
      </w:r>
      <w:r w:rsidR="00035232" w:rsidRPr="00035232">
        <w:rPr>
          <w:szCs w:val="30"/>
          <w:lang w:val="en-AU" w:bidi="th-TH"/>
        </w:rPr>
        <w:t>are</w:t>
      </w:r>
      <w:r w:rsidRPr="005055E9">
        <w:rPr>
          <w:szCs w:val="30"/>
          <w:lang w:val="en-AU" w:bidi="th-TH"/>
        </w:rPr>
        <w:t xml:space="preserve"> a project funding mechanism designed to catalyse local experimentation in evidence use. </w:t>
      </w:r>
      <w:r w:rsidR="00D85B63">
        <w:rPr>
          <w:szCs w:val="30"/>
          <w:lang w:val="en-AU" w:bidi="th-TH"/>
        </w:rPr>
        <w:t>They have</w:t>
      </w:r>
      <w:r w:rsidRPr="005055E9">
        <w:rPr>
          <w:szCs w:val="30"/>
          <w:lang w:val="en-AU" w:bidi="th-TH"/>
        </w:rPr>
        <w:t xml:space="preserve"> relatively low </w:t>
      </w:r>
      <w:r w:rsidR="00CD5F34" w:rsidRPr="005055E9">
        <w:rPr>
          <w:szCs w:val="30"/>
          <w:lang w:val="en-AU" w:bidi="th-TH"/>
        </w:rPr>
        <w:t>organisational,</w:t>
      </w:r>
      <w:r w:rsidRPr="005055E9">
        <w:rPr>
          <w:szCs w:val="30"/>
          <w:lang w:val="en-AU" w:bidi="th-TH"/>
        </w:rPr>
        <w:t xml:space="preserve"> or infrastructure demands but requires transparent fund administration, equity-focused criteria, and mechanisms to synthesise and share learnings from grantees. Grant-funded activities are time-bound, making this an agile entry point for fostering innovation and demand</w:t>
      </w:r>
      <w:r w:rsidR="009A7AB0">
        <w:rPr>
          <w:szCs w:val="30"/>
          <w:lang w:val="en-AU" w:bidi="th-TH"/>
        </w:rPr>
        <w:t>-side</w:t>
      </w:r>
      <w:r w:rsidRPr="005055E9">
        <w:rPr>
          <w:szCs w:val="30"/>
          <w:lang w:val="en-AU" w:bidi="th-TH"/>
        </w:rPr>
        <w:t xml:space="preserve"> </w:t>
      </w:r>
      <w:r w:rsidR="009A7AB0">
        <w:rPr>
          <w:szCs w:val="30"/>
          <w:lang w:val="en-AU" w:bidi="th-TH"/>
        </w:rPr>
        <w:t>engagement</w:t>
      </w:r>
      <w:r w:rsidRPr="005055E9">
        <w:rPr>
          <w:szCs w:val="30"/>
          <w:lang w:val="en-AU" w:bidi="th-TH"/>
        </w:rPr>
        <w:t>.</w:t>
      </w:r>
      <w:r w:rsidR="00F44B95" w:rsidRPr="00F44B95">
        <w:rPr>
          <w:rFonts w:ascii="Segoe UI" w:eastAsia="Times New Roman" w:hAnsi="Segoe UI" w:cs="Segoe UI"/>
          <w:kern w:val="0"/>
          <w:sz w:val="18"/>
          <w:szCs w:val="18"/>
          <w:lang w:val="en-AU" w:eastAsia="en-AU"/>
          <w14:ligatures w14:val="none"/>
        </w:rPr>
        <w:t xml:space="preserve"> </w:t>
      </w:r>
      <w:r w:rsidR="00F44B95">
        <w:rPr>
          <w:szCs w:val="30"/>
          <w:lang w:val="en-AU" w:bidi="th-TH"/>
        </w:rPr>
        <w:t>They should also</w:t>
      </w:r>
      <w:r w:rsidR="00F44B95" w:rsidRPr="00F44B95">
        <w:rPr>
          <w:szCs w:val="30"/>
          <w:lang w:val="en-AU" w:bidi="th-TH"/>
        </w:rPr>
        <w:t xml:space="preserve"> be tied to an established knowledge need / high priority and targeted to those who cannot fund activities in other ways</w:t>
      </w:r>
      <w:r w:rsidR="00F44B95">
        <w:rPr>
          <w:szCs w:val="30"/>
          <w:lang w:val="en-AU" w:bidi="th-TH"/>
        </w:rPr>
        <w:t xml:space="preserve">. </w:t>
      </w:r>
    </w:p>
    <w:p w14:paraId="60318286" w14:textId="223A081B" w:rsidR="008B1640" w:rsidRPr="00805403" w:rsidRDefault="00F44B95" w:rsidP="00805403">
      <w:pPr>
        <w:rPr>
          <w:szCs w:val="30"/>
          <w:lang w:val="en-AU" w:bidi="th-TH"/>
        </w:rPr>
      </w:pPr>
      <w:r>
        <w:rPr>
          <w:szCs w:val="30"/>
          <w:lang w:val="en-AU" w:bidi="th-TH"/>
        </w:rPr>
        <w:t xml:space="preserve">Grants are a </w:t>
      </w:r>
      <w:r w:rsidR="005055E9" w:rsidRPr="005055E9">
        <w:rPr>
          <w:szCs w:val="30"/>
          <w:lang w:val="en-AU" w:bidi="th-TH"/>
        </w:rPr>
        <w:t xml:space="preserve">strong candidate for early implementation, particularly in regions or sectors lacking formal intermediaries. </w:t>
      </w:r>
      <w:r w:rsidR="00526D93">
        <w:rPr>
          <w:szCs w:val="30"/>
          <w:lang w:val="en-AU" w:bidi="th-TH"/>
        </w:rPr>
        <w:t>They</w:t>
      </w:r>
      <w:r w:rsidR="005055E9" w:rsidRPr="005055E9">
        <w:rPr>
          <w:szCs w:val="30"/>
          <w:lang w:val="en-AU" w:bidi="th-TH"/>
        </w:rPr>
        <w:t xml:space="preserve"> </w:t>
      </w:r>
      <w:r w:rsidR="00526D93">
        <w:rPr>
          <w:szCs w:val="30"/>
          <w:lang w:val="en-AU" w:bidi="th-TH"/>
        </w:rPr>
        <w:t>may also</w:t>
      </w:r>
      <w:r w:rsidR="005055E9" w:rsidRPr="005055E9">
        <w:rPr>
          <w:szCs w:val="30"/>
          <w:lang w:val="en-AU" w:bidi="th-TH"/>
        </w:rPr>
        <w:t xml:space="preserve"> uncover local champions and inform future institutional investments.</w:t>
      </w:r>
    </w:p>
    <w:p w14:paraId="2D8127FB" w14:textId="77777777" w:rsidR="00454F17" w:rsidRPr="008F7939" w:rsidRDefault="00454F17" w:rsidP="00454F17">
      <w:pPr>
        <w:pStyle w:val="Heading4"/>
      </w:pPr>
      <w:r w:rsidRPr="00454F17">
        <w:t>Options focused on p</w:t>
      </w:r>
      <w:r w:rsidRPr="008F7939">
        <w:t>rocesses</w:t>
      </w:r>
      <w:r w:rsidRPr="00454F17">
        <w:t xml:space="preserve"> – actions or activities</w:t>
      </w:r>
    </w:p>
    <w:p w14:paraId="4EE79B94" w14:textId="6C75AAC3" w:rsidR="00454F17" w:rsidRPr="0051513B" w:rsidRDefault="00454F17" w:rsidP="00454F17">
      <w:pPr>
        <w:rPr>
          <w:lang w:val="en-AU" w:bidi="th-TH"/>
        </w:rPr>
      </w:pPr>
      <w:r w:rsidRPr="008F7939">
        <w:rPr>
          <w:b/>
          <w:bCs/>
          <w:lang w:bidi="th-TH"/>
        </w:rPr>
        <w:t xml:space="preserve">Implementation Support to Intermediaries – </w:t>
      </w:r>
      <w:r w:rsidRPr="008F7939">
        <w:rPr>
          <w:lang w:bidi="th-TH"/>
        </w:rPr>
        <w:t>The core of this option lies in building and strengthening the capabilities of evidence intermediaries</w:t>
      </w:r>
      <w:r w:rsidR="00FA279F">
        <w:rPr>
          <w:lang w:bidi="th-TH"/>
        </w:rPr>
        <w:t xml:space="preserve"> and growing the number of intermediaries</w:t>
      </w:r>
      <w:r w:rsidRPr="008F7939">
        <w:rPr>
          <w:lang w:bidi="th-TH"/>
        </w:rPr>
        <w:t>. This requires structured, ongoing processes</w:t>
      </w:r>
      <w:r w:rsidR="00B603E4">
        <w:rPr>
          <w:lang w:bidi="th-TH"/>
        </w:rPr>
        <w:t xml:space="preserve"> – </w:t>
      </w:r>
      <w:r w:rsidRPr="008F7939">
        <w:rPr>
          <w:lang w:bidi="th-TH"/>
        </w:rPr>
        <w:t>training, mentoring, peer learning, and technical assistance</w:t>
      </w:r>
      <w:r w:rsidR="0051513B">
        <w:rPr>
          <w:lang w:bidi="th-TH"/>
        </w:rPr>
        <w:t xml:space="preserve"> </w:t>
      </w:r>
      <w:r w:rsidR="0051513B" w:rsidRPr="0051513B">
        <w:rPr>
          <w:lang w:val="en-AU" w:bidi="th-TH"/>
        </w:rPr>
        <w:t>and match-making of experts across sectors</w:t>
      </w:r>
      <w:r w:rsidRPr="008F7939">
        <w:rPr>
          <w:lang w:bidi="th-TH"/>
        </w:rPr>
        <w:t xml:space="preserve">. A central or regional coordinating hub may support quality control, </w:t>
      </w:r>
      <w:r w:rsidR="00B603E4">
        <w:rPr>
          <w:lang w:bidi="th-TH"/>
        </w:rPr>
        <w:t>training</w:t>
      </w:r>
      <w:r w:rsidRPr="008F7939">
        <w:rPr>
          <w:lang w:bidi="th-TH"/>
        </w:rPr>
        <w:t xml:space="preserve"> development,</w:t>
      </w:r>
      <w:r w:rsidR="00B603E4">
        <w:rPr>
          <w:lang w:bidi="th-TH"/>
        </w:rPr>
        <w:t xml:space="preserve"> mentorship alignment,</w:t>
      </w:r>
      <w:r w:rsidRPr="008F7939">
        <w:rPr>
          <w:lang w:bidi="th-TH"/>
        </w:rPr>
        <w:t xml:space="preserve"> and community of practice facilitation.</w:t>
      </w:r>
    </w:p>
    <w:p w14:paraId="26485CFA" w14:textId="58CC2268" w:rsidR="00454F17" w:rsidRPr="008F7939" w:rsidRDefault="00454F17" w:rsidP="00454F17">
      <w:pPr>
        <w:rPr>
          <w:lang w:bidi="th-TH"/>
        </w:rPr>
      </w:pPr>
      <w:r w:rsidRPr="008F7939">
        <w:rPr>
          <w:lang w:bidi="th-TH"/>
        </w:rPr>
        <w:t xml:space="preserve">Because this option enhances system-wide capacity and supports other options, it should be prioritised for early implementation. Process-based investments here </w:t>
      </w:r>
      <w:r w:rsidR="3924A0AC" w:rsidRPr="7FBCBF42">
        <w:rPr>
          <w:lang w:bidi="th-TH"/>
        </w:rPr>
        <w:t xml:space="preserve">could </w:t>
      </w:r>
      <w:r w:rsidRPr="008F7939">
        <w:rPr>
          <w:lang w:bidi="th-TH"/>
        </w:rPr>
        <w:t>act as enablers for broader engagement strategies.</w:t>
      </w:r>
    </w:p>
    <w:p w14:paraId="3E5F1775" w14:textId="0FB473E0" w:rsidR="006F005F" w:rsidRDefault="00C06423" w:rsidP="00C06423">
      <w:pPr>
        <w:pStyle w:val="Heading3"/>
        <w:spacing w:after="120"/>
        <w:jc w:val="both"/>
      </w:pPr>
      <w:r>
        <w:t xml:space="preserve">Making investment decisions </w:t>
      </w:r>
    </w:p>
    <w:p w14:paraId="5B008F99" w14:textId="2EB66980" w:rsidR="0017159D" w:rsidRPr="003E79FB" w:rsidRDefault="0017159D" w:rsidP="0017159D">
      <w:pPr>
        <w:rPr>
          <w:lang w:bidi="th-TH"/>
        </w:rPr>
      </w:pPr>
      <w:r w:rsidRPr="003E79FB">
        <w:rPr>
          <w:lang w:bidi="th-TH"/>
        </w:rPr>
        <w:t xml:space="preserve">Investment decisions in demand-side engagement must be strategically aligned with sectoral needs, regional priorities, and the maturity of evidence synthesis providers and end-users. The options outlined in this report present distinct pathways for strengthening the ecosystem, but their successful implementation requires careful </w:t>
      </w:r>
      <w:r w:rsidR="00A536EF" w:rsidRPr="003E79FB">
        <w:rPr>
          <w:lang w:bidi="th-TH"/>
        </w:rPr>
        <w:t>consideration</w:t>
      </w:r>
      <w:r w:rsidRPr="003E79FB">
        <w:rPr>
          <w:lang w:bidi="th-TH"/>
        </w:rPr>
        <w:t xml:space="preserve"> on when, where, and how much to invest.</w:t>
      </w:r>
    </w:p>
    <w:p w14:paraId="3836CEC6" w14:textId="2886594E" w:rsidR="009107B7" w:rsidRDefault="00AA17BF" w:rsidP="00AA17BF">
      <w:pPr>
        <w:pStyle w:val="Heading4"/>
      </w:pPr>
      <w:r w:rsidRPr="003E79FB">
        <w:rPr>
          <w:lang w:bidi="th-TH"/>
        </w:rPr>
        <w:t>Critical Decision Points for Investors</w:t>
      </w:r>
    </w:p>
    <w:p w14:paraId="555BD367" w14:textId="77777777" w:rsidR="006F2D4D" w:rsidRPr="006F2D4D" w:rsidRDefault="006F2D4D" w:rsidP="006F2D4D">
      <w:pPr>
        <w:rPr>
          <w:szCs w:val="30"/>
          <w:lang w:val="en-AU" w:bidi="th-TH"/>
        </w:rPr>
      </w:pPr>
      <w:r w:rsidRPr="006F2D4D">
        <w:rPr>
          <w:szCs w:val="30"/>
          <w:lang w:val="en-AU" w:bidi="th-TH"/>
        </w:rPr>
        <w:t>Investors must weigh several key factors when determining the most effective allocation of resources:</w:t>
      </w:r>
    </w:p>
    <w:p w14:paraId="3ECA02C4" w14:textId="541D75DE" w:rsidR="006F2D4D" w:rsidRPr="006F2D4D" w:rsidRDefault="006F2D4D" w:rsidP="00256A38">
      <w:pPr>
        <w:numPr>
          <w:ilvl w:val="0"/>
          <w:numId w:val="38"/>
        </w:numPr>
        <w:tabs>
          <w:tab w:val="num" w:pos="720"/>
        </w:tabs>
        <w:ind w:left="0" w:firstLine="0"/>
        <w:rPr>
          <w:szCs w:val="30"/>
          <w:lang w:val="en-AU" w:bidi="th-TH"/>
        </w:rPr>
      </w:pPr>
      <w:r w:rsidRPr="006F2D4D">
        <w:rPr>
          <w:b/>
          <w:bCs/>
          <w:szCs w:val="30"/>
          <w:lang w:val="en-AU" w:bidi="th-TH"/>
        </w:rPr>
        <w:t xml:space="preserve">Regional </w:t>
      </w:r>
      <w:r w:rsidR="00E37B2D" w:rsidRPr="006F2D4D">
        <w:rPr>
          <w:b/>
          <w:bCs/>
          <w:szCs w:val="30"/>
          <w:lang w:val="en-AU" w:bidi="th-TH"/>
        </w:rPr>
        <w:t>needs and sectoral gaps</w:t>
      </w:r>
      <w:r w:rsidR="00E37B2D" w:rsidRPr="006F2D4D">
        <w:rPr>
          <w:b/>
          <w:bCs/>
          <w:szCs w:val="30"/>
          <w:lang w:val="en-AU" w:bidi="th-TH"/>
        </w:rPr>
        <w:br/>
      </w:r>
      <w:r w:rsidRPr="006F2D4D">
        <w:rPr>
          <w:lang w:val="en-AU" w:bidi="th-TH"/>
        </w:rPr>
        <w:t xml:space="preserve">Evidence synthesis maturity varies widely across different sectors and regions. Established domains such as public health and social sciences often have well-developed intermediaries, while emerging areas like environmental governance, education, and local </w:t>
      </w:r>
      <w:r w:rsidR="00BE7535" w:rsidRPr="006F2D4D">
        <w:rPr>
          <w:lang w:val="en-AU" w:bidi="th-TH"/>
        </w:rPr>
        <w:t>policymaking</w:t>
      </w:r>
      <w:r w:rsidRPr="006F2D4D">
        <w:rPr>
          <w:lang w:val="en-AU" w:bidi="th-TH"/>
        </w:rPr>
        <w:t xml:space="preserve"> require foundational investments. Investors must evaluate regional evidence landscapes and identify sectors where targeted support will yield the greatest systemic improvements.</w:t>
      </w:r>
    </w:p>
    <w:p w14:paraId="66D8E5B4" w14:textId="3CA91915" w:rsidR="006F2D4D" w:rsidRPr="006F2D4D" w:rsidRDefault="006F2D4D" w:rsidP="00256A38">
      <w:pPr>
        <w:numPr>
          <w:ilvl w:val="0"/>
          <w:numId w:val="38"/>
        </w:numPr>
        <w:tabs>
          <w:tab w:val="num" w:pos="720"/>
        </w:tabs>
        <w:ind w:left="0" w:firstLine="0"/>
        <w:rPr>
          <w:szCs w:val="30"/>
          <w:lang w:val="en-AU" w:bidi="th-TH"/>
        </w:rPr>
      </w:pPr>
      <w:r w:rsidRPr="006F2D4D">
        <w:rPr>
          <w:b/>
          <w:bCs/>
          <w:szCs w:val="30"/>
          <w:lang w:val="en-AU" w:bidi="th-TH"/>
        </w:rPr>
        <w:t xml:space="preserve">Equity as </w:t>
      </w:r>
      <w:r w:rsidR="00E37B2D" w:rsidRPr="006F2D4D">
        <w:rPr>
          <w:b/>
          <w:bCs/>
          <w:szCs w:val="30"/>
          <w:lang w:val="en-AU" w:bidi="th-TH"/>
        </w:rPr>
        <w:t>a core consideration</w:t>
      </w:r>
      <w:r w:rsidR="00E37B2D" w:rsidRPr="006F2D4D">
        <w:rPr>
          <w:b/>
          <w:bCs/>
          <w:szCs w:val="30"/>
          <w:lang w:val="en-AU" w:bidi="th-TH"/>
        </w:rPr>
        <w:br/>
      </w:r>
      <w:r w:rsidRPr="006F2D4D">
        <w:rPr>
          <w:lang w:val="en-AU" w:bidi="th-TH"/>
        </w:rPr>
        <w:t>Any investment framework must ensure inclusivity, avoiding the risk of reinforcing existing disparities. Equity should shape funding priorities, ensuring resources reach underrepresented regions and sectors, enabling marginali</w:t>
      </w:r>
      <w:r w:rsidR="00AF52D6">
        <w:rPr>
          <w:lang w:val="en-AU" w:bidi="th-TH"/>
        </w:rPr>
        <w:t>s</w:t>
      </w:r>
      <w:r w:rsidRPr="006F2D4D">
        <w:rPr>
          <w:lang w:val="en-AU" w:bidi="th-TH"/>
        </w:rPr>
        <w:t>ed voices to participate in evidence synthesis and decision-making. Flexible funding models</w:t>
      </w:r>
      <w:r w:rsidR="00E76B7C">
        <w:rPr>
          <w:lang w:val="en-AU" w:bidi="th-TH"/>
        </w:rPr>
        <w:t xml:space="preserve"> – </w:t>
      </w:r>
      <w:r w:rsidRPr="006F2D4D">
        <w:rPr>
          <w:lang w:val="en-AU" w:bidi="th-TH"/>
        </w:rPr>
        <w:t>including grants for end-users</w:t>
      </w:r>
      <w:r w:rsidR="00E76B7C">
        <w:rPr>
          <w:lang w:val="en-AU" w:bidi="th-TH"/>
        </w:rPr>
        <w:t xml:space="preserve"> – </w:t>
      </w:r>
      <w:r w:rsidRPr="006F2D4D">
        <w:rPr>
          <w:lang w:val="en-AU" w:bidi="th-TH"/>
        </w:rPr>
        <w:t>can support locali</w:t>
      </w:r>
      <w:r w:rsidR="007F1BD5">
        <w:rPr>
          <w:lang w:val="en-AU" w:bidi="th-TH"/>
        </w:rPr>
        <w:t>s</w:t>
      </w:r>
      <w:r w:rsidRPr="006F2D4D">
        <w:rPr>
          <w:lang w:val="en-AU" w:bidi="th-TH"/>
        </w:rPr>
        <w:t>ed experimentation and foster diverse approaches to evidence integration.</w:t>
      </w:r>
    </w:p>
    <w:p w14:paraId="29F115B1" w14:textId="7A3FDB7A" w:rsidR="006F2D4D" w:rsidRPr="006F2D4D" w:rsidRDefault="00561665" w:rsidP="00256A38">
      <w:pPr>
        <w:numPr>
          <w:ilvl w:val="0"/>
          <w:numId w:val="38"/>
        </w:numPr>
        <w:tabs>
          <w:tab w:val="num" w:pos="720"/>
        </w:tabs>
        <w:ind w:left="0" w:firstLine="0"/>
        <w:rPr>
          <w:szCs w:val="30"/>
          <w:lang w:val="en-AU" w:bidi="th-TH"/>
        </w:rPr>
      </w:pPr>
      <w:r>
        <w:rPr>
          <w:b/>
          <w:bCs/>
          <w:szCs w:val="30"/>
          <w:lang w:val="en-AU" w:bidi="th-TH"/>
        </w:rPr>
        <w:t>L</w:t>
      </w:r>
      <w:r w:rsidR="00E37B2D" w:rsidRPr="006F2D4D">
        <w:rPr>
          <w:b/>
          <w:bCs/>
          <w:szCs w:val="30"/>
          <w:lang w:val="en-AU" w:bidi="th-TH"/>
        </w:rPr>
        <w:t>everaging existing actors vs. creating new institutions</w:t>
      </w:r>
      <w:r w:rsidR="006F2D4D" w:rsidRPr="006F2D4D">
        <w:rPr>
          <w:b/>
          <w:bCs/>
          <w:szCs w:val="30"/>
          <w:lang w:val="en-AU" w:bidi="th-TH"/>
        </w:rPr>
        <w:br/>
      </w:r>
      <w:r w:rsidR="006F2D4D" w:rsidRPr="006F2D4D">
        <w:rPr>
          <w:lang w:val="en-AU" w:bidi="th-TH"/>
        </w:rPr>
        <w:t xml:space="preserve">Investment choices must balance enhancing existing capacity with establishing new infrastructure where necessary. Some options, such as regional demand-side secretariats, may benefit from anchoring within existing governance structures like evidence networks. Others, like co-design labs, </w:t>
      </w:r>
      <w:r w:rsidR="00851986">
        <w:rPr>
          <w:lang w:val="en-AU" w:bidi="th-TH"/>
        </w:rPr>
        <w:t xml:space="preserve">could work to a defined methodology (commissioned by a secretariat or done as work of intermediary support) and then be supported or hosted by local organisations. </w:t>
      </w:r>
      <w:r w:rsidR="008C6A0C">
        <w:rPr>
          <w:lang w:val="en-AU" w:bidi="th-TH"/>
        </w:rPr>
        <w:t xml:space="preserve">Where none are available, but local interest is high, </w:t>
      </w:r>
      <w:r w:rsidR="00772472">
        <w:rPr>
          <w:lang w:val="en-AU" w:bidi="th-TH"/>
        </w:rPr>
        <w:t xml:space="preserve">support for </w:t>
      </w:r>
      <w:r w:rsidR="008C6A0C">
        <w:rPr>
          <w:lang w:val="en-AU" w:bidi="th-TH"/>
        </w:rPr>
        <w:t xml:space="preserve">new </w:t>
      </w:r>
      <w:r w:rsidR="00772472">
        <w:rPr>
          <w:lang w:val="en-AU" w:bidi="th-TH"/>
        </w:rPr>
        <w:t xml:space="preserve">organisations may be needed to </w:t>
      </w:r>
      <w:r w:rsidR="006F2D4D" w:rsidRPr="006F2D4D">
        <w:rPr>
          <w:lang w:val="en-AU" w:bidi="th-TH"/>
        </w:rPr>
        <w:t>facilitate collaborative engagement.</w:t>
      </w:r>
    </w:p>
    <w:p w14:paraId="20D9DEFA" w14:textId="46B8E07A" w:rsidR="006F2D4D" w:rsidRPr="006F2D4D" w:rsidRDefault="006F2D4D" w:rsidP="00256A38">
      <w:pPr>
        <w:numPr>
          <w:ilvl w:val="0"/>
          <w:numId w:val="38"/>
        </w:numPr>
        <w:tabs>
          <w:tab w:val="num" w:pos="720"/>
        </w:tabs>
        <w:ind w:left="0" w:firstLine="0"/>
        <w:rPr>
          <w:szCs w:val="30"/>
          <w:lang w:val="en-AU" w:bidi="th-TH"/>
        </w:rPr>
      </w:pPr>
      <w:r w:rsidRPr="006F2D4D">
        <w:rPr>
          <w:b/>
          <w:bCs/>
          <w:szCs w:val="30"/>
          <w:lang w:val="en-AU" w:bidi="th-TH"/>
        </w:rPr>
        <w:t xml:space="preserve">Scaling </w:t>
      </w:r>
      <w:r w:rsidR="00E37B2D" w:rsidRPr="006F2D4D">
        <w:rPr>
          <w:b/>
          <w:bCs/>
          <w:szCs w:val="30"/>
          <w:lang w:val="en-AU" w:bidi="th-TH"/>
        </w:rPr>
        <w:t>implementation based on readiness</w:t>
      </w:r>
      <w:r w:rsidRPr="006F2D4D">
        <w:rPr>
          <w:b/>
          <w:bCs/>
          <w:szCs w:val="30"/>
          <w:lang w:val="en-AU" w:bidi="th-TH"/>
        </w:rPr>
        <w:br/>
      </w:r>
      <w:r w:rsidRPr="006F2D4D">
        <w:rPr>
          <w:lang w:val="en-AU" w:bidi="th-TH"/>
        </w:rPr>
        <w:t>The maturity of evidence intermediaries and end-users (policymakers, practitioners, civil</w:t>
      </w:r>
      <w:r w:rsidRPr="006F2D4D">
        <w:rPr>
          <w:szCs w:val="30"/>
          <w:lang w:val="en-AU" w:bidi="th-TH"/>
        </w:rPr>
        <w:t xml:space="preserve"> </w:t>
      </w:r>
      <w:r w:rsidRPr="006F2D4D">
        <w:rPr>
          <w:lang w:val="en-AU" w:bidi="th-TH"/>
        </w:rPr>
        <w:t>society) will determine the feasibility of specific interventions. In regions with limited evidence synthesis capabilities, foundational investments in capacity-building and implementation support should precede complex initiatives like thematic repositories. Phased implementation can help ensure interventions are context-appropriate and adaptable.</w:t>
      </w:r>
    </w:p>
    <w:p w14:paraId="48AB4FC5" w14:textId="64768598" w:rsidR="00A761CF" w:rsidRPr="00837882" w:rsidRDefault="006F2D4D" w:rsidP="00F541D8">
      <w:pPr>
        <w:numPr>
          <w:ilvl w:val="0"/>
          <w:numId w:val="38"/>
        </w:numPr>
        <w:tabs>
          <w:tab w:val="num" w:pos="720"/>
        </w:tabs>
        <w:ind w:left="0" w:firstLine="0"/>
        <w:rPr>
          <w:szCs w:val="30"/>
          <w:lang w:val="en-AU" w:bidi="th-TH"/>
        </w:rPr>
      </w:pPr>
      <w:r w:rsidRPr="006F2D4D">
        <w:rPr>
          <w:b/>
          <w:bCs/>
          <w:szCs w:val="30"/>
          <w:lang w:val="en-AU" w:bidi="th-TH"/>
        </w:rPr>
        <w:t xml:space="preserve">The </w:t>
      </w:r>
      <w:r w:rsidR="00E37B2D" w:rsidRPr="006F2D4D">
        <w:rPr>
          <w:b/>
          <w:bCs/>
          <w:szCs w:val="30"/>
          <w:lang w:val="en-AU" w:bidi="th-TH"/>
        </w:rPr>
        <w:t xml:space="preserve">role of </w:t>
      </w:r>
      <w:r w:rsidRPr="006F2D4D">
        <w:rPr>
          <w:b/>
          <w:bCs/>
          <w:szCs w:val="30"/>
          <w:lang w:val="en-AU" w:bidi="th-TH"/>
        </w:rPr>
        <w:t>the UN Sustainable Development Goals (SDGs)</w:t>
      </w:r>
      <w:r w:rsidRPr="006F2D4D">
        <w:rPr>
          <w:b/>
          <w:bCs/>
          <w:szCs w:val="30"/>
          <w:lang w:val="en-AU" w:bidi="th-TH"/>
        </w:rPr>
        <w:br/>
      </w:r>
      <w:r w:rsidRPr="006F2D4D">
        <w:rPr>
          <w:lang w:val="en-AU" w:bidi="th-TH"/>
        </w:rPr>
        <w:t xml:space="preserve">The SDGs </w:t>
      </w:r>
      <w:r w:rsidR="00E37B2D">
        <w:rPr>
          <w:lang w:val="en-AU" w:bidi="th-TH"/>
        </w:rPr>
        <w:t xml:space="preserve">may </w:t>
      </w:r>
      <w:r w:rsidRPr="006F2D4D">
        <w:rPr>
          <w:lang w:val="en-AU" w:bidi="th-TH"/>
        </w:rPr>
        <w:t>provide an overarching framework for assessing readiness, sector maturity, and demand-side engagement needs. Investors can use the SDGs as a lens for identifying priority areas, aligning interventions with global development agendas, and ensuring funding supports sustainable, impact-driven change.</w:t>
      </w:r>
      <w:r w:rsidR="00A82BB9">
        <w:rPr>
          <w:lang w:val="en-AU" w:bidi="th-TH"/>
        </w:rPr>
        <w:t xml:space="preserve"> Their role post-2030 should be monitored.</w:t>
      </w:r>
    </w:p>
    <w:p w14:paraId="1BF84968" w14:textId="0BCDC938" w:rsidR="00837882" w:rsidRPr="00837882" w:rsidRDefault="00837882" w:rsidP="00837882">
      <w:pPr>
        <w:pStyle w:val="Heading4"/>
        <w:rPr>
          <w:lang w:bidi="th-TH"/>
        </w:rPr>
      </w:pPr>
      <w:r w:rsidRPr="00837882">
        <w:rPr>
          <w:lang w:bidi="th-TH"/>
        </w:rPr>
        <w:t>Two paths forwards?</w:t>
      </w:r>
    </w:p>
    <w:p w14:paraId="542CF221" w14:textId="77777777" w:rsidR="007B4630" w:rsidRPr="00ED7CA7" w:rsidRDefault="007B4630" w:rsidP="007B4630">
      <w:pPr>
        <w:rPr>
          <w:lang w:bidi="th-TH"/>
        </w:rPr>
      </w:pPr>
      <w:r w:rsidRPr="00ED7CA7">
        <w:rPr>
          <w:lang w:bidi="th-TH"/>
        </w:rPr>
        <w:t>To ensure demand-side engagement mechanisms evolve effectively, a two-track approach can balance immediate capacity with long-term development. The first track would identify capable and willing local actors in sectors where demand-side engagement skills are already sound, enabling them to pilot and promote activities in new domains. This process could operate through a regional call for partners, inviting institutions with relevant expertise to co-develop engagement models. A central coordinating secretariat could manage this process, ensuring alignment with evidence synthesis priorities and facilitating cross-learning among selected partners.</w:t>
      </w:r>
    </w:p>
    <w:p w14:paraId="5B51CC28" w14:textId="031C2714" w:rsidR="007B4630" w:rsidRPr="00ED7CA7" w:rsidRDefault="007B4630" w:rsidP="007B4630">
      <w:pPr>
        <w:rPr>
          <w:lang w:bidi="th-TH"/>
        </w:rPr>
      </w:pPr>
      <w:r w:rsidRPr="00ED7CA7">
        <w:rPr>
          <w:lang w:bidi="th-TH"/>
        </w:rPr>
        <w:t xml:space="preserve">The second track would focus on building capabilities in areas where demand-side interest is strong but institutional maturity is weak. This approach would require targeted investment in new </w:t>
      </w:r>
      <w:r w:rsidR="00291DAA">
        <w:rPr>
          <w:lang w:bidi="th-TH"/>
        </w:rPr>
        <w:t>bodies</w:t>
      </w:r>
      <w:r w:rsidRPr="00ED7CA7">
        <w:rPr>
          <w:lang w:bidi="th-TH"/>
        </w:rPr>
        <w:t>, alongside operational funding to support evidence intermediaries and local engagement activities. Strategic interventions</w:t>
      </w:r>
      <w:r w:rsidR="00291DAA">
        <w:rPr>
          <w:lang w:bidi="th-TH"/>
        </w:rPr>
        <w:t xml:space="preserve"> – </w:t>
      </w:r>
      <w:r w:rsidRPr="00ED7CA7">
        <w:rPr>
          <w:lang w:bidi="th-TH"/>
        </w:rPr>
        <w:t>such as mentorship, embedded fellowships, and tailored training programs</w:t>
      </w:r>
      <w:r w:rsidR="00291DAA">
        <w:rPr>
          <w:lang w:bidi="th-TH"/>
        </w:rPr>
        <w:t xml:space="preserve"> – </w:t>
      </w:r>
      <w:r w:rsidRPr="00ED7CA7">
        <w:rPr>
          <w:lang w:bidi="th-TH"/>
        </w:rPr>
        <w:t>would help cultivate expertise in these emerging sectors. Both tracks could operate as pilot initiatives, allowing for refinement and expansion of demand-side supports over the next three years, ultimately shaping a scalable model for regional and sectoral inclusion in evidence synthesis governance.</w:t>
      </w:r>
    </w:p>
    <w:p w14:paraId="53C08793" w14:textId="09FB6BA9" w:rsidR="006C3D02" w:rsidRDefault="000F45F0" w:rsidP="00F52E77">
      <w:pPr>
        <w:pStyle w:val="Heading3"/>
        <w:spacing w:after="120"/>
      </w:pPr>
      <w:r>
        <w:t xml:space="preserve">The </w:t>
      </w:r>
      <w:r w:rsidR="00DB65FA">
        <w:t>next steps</w:t>
      </w:r>
      <w:r>
        <w:t xml:space="preserve"> </w:t>
      </w:r>
      <w:bookmarkEnd w:id="0"/>
      <w:r w:rsidR="00953BA9">
        <w:t>from here</w:t>
      </w:r>
    </w:p>
    <w:p w14:paraId="1470ED89" w14:textId="72734667" w:rsidR="0059066C" w:rsidRPr="001170E8" w:rsidRDefault="00984415" w:rsidP="00984415">
      <w:pPr>
        <w:rPr>
          <w:lang w:bidi="th-TH"/>
        </w:rPr>
      </w:pPr>
      <w:r w:rsidRPr="00984415">
        <w:t>After consulting on this report (Stage 4a), we will assess the costs of these proposals and guide resource allocation (Stage 4b). The final report (Stage 5) will compile findings for discussion at the Cape Town meeting in June 2025, where stakeholders will finali</w:t>
      </w:r>
      <w:r w:rsidR="007F1BD5">
        <w:t>s</w:t>
      </w:r>
      <w:r w:rsidRPr="00984415">
        <w:t>e investment strategies for improving the evidence synthesis ecosystem.</w:t>
      </w:r>
    </w:p>
    <w:p w14:paraId="4BBA7384" w14:textId="48D86620" w:rsidR="00B94F30" w:rsidRDefault="00896F60" w:rsidP="00A44AE3">
      <w:pPr>
        <w:jc w:val="both"/>
        <w:rPr>
          <w:lang w:val="en-US"/>
        </w:rPr>
      </w:pPr>
      <w:r w:rsidRPr="00896F60">
        <w:rPr>
          <w:lang w:val="en-US"/>
        </w:rPr>
        <w:t xml:space="preserve">This is a pivotal moment for shaping a more inclusive, balanced </w:t>
      </w:r>
      <w:r w:rsidR="00981B51" w:rsidRPr="00896F60">
        <w:rPr>
          <w:lang w:val="en-US"/>
        </w:rPr>
        <w:t>global</w:t>
      </w:r>
      <w:r w:rsidRPr="00896F60">
        <w:rPr>
          <w:lang w:val="en-US"/>
        </w:rPr>
        <w:t xml:space="preserve"> ecosystem. The decisions made in Cape Town will determine whether all sectors and regions can benefit </w:t>
      </w:r>
      <w:r w:rsidR="00314386" w:rsidRPr="00896F60">
        <w:rPr>
          <w:lang w:val="en-US"/>
        </w:rPr>
        <w:t>– or</w:t>
      </w:r>
      <w:r w:rsidRPr="00896F60">
        <w:rPr>
          <w:lang w:val="en-US"/>
        </w:rPr>
        <w:t xml:space="preserve"> whether existing disparities will persist.”</w:t>
      </w:r>
    </w:p>
    <w:p w14:paraId="161CD24F" w14:textId="39C3D7BF" w:rsidR="00F16A9E" w:rsidRDefault="00B94F30" w:rsidP="00B94F30">
      <w:pPr>
        <w:rPr>
          <w:lang w:val="en-US"/>
        </w:rPr>
      </w:pPr>
      <w:r>
        <w:rPr>
          <w:lang w:val="en-US"/>
        </w:rPr>
        <w:br w:type="page"/>
      </w:r>
    </w:p>
    <w:p w14:paraId="7FF3745C" w14:textId="566D2F91" w:rsidR="00B94F30" w:rsidRPr="00B94F30" w:rsidRDefault="00B94F30" w:rsidP="00B94F30">
      <w:pPr>
        <w:rPr>
          <w:rFonts w:asciiTheme="majorHAnsi" w:eastAsiaTheme="majorEastAsia" w:hAnsiTheme="majorHAnsi" w:cstheme="majorBidi"/>
          <w:color w:val="0F4761" w:themeColor="accent1" w:themeShade="BF"/>
          <w:sz w:val="32"/>
          <w:szCs w:val="32"/>
          <w:lang w:val="en-US"/>
        </w:rPr>
      </w:pPr>
      <w:r w:rsidRPr="00B94F30">
        <w:rPr>
          <w:rFonts w:asciiTheme="majorHAnsi" w:eastAsiaTheme="majorEastAsia" w:hAnsiTheme="majorHAnsi" w:cstheme="majorBidi"/>
          <w:color w:val="0F4761" w:themeColor="accent1" w:themeShade="BF"/>
          <w:sz w:val="32"/>
          <w:szCs w:val="32"/>
          <w:lang w:val="en-US"/>
        </w:rPr>
        <w:t>Appendix 1 – Glossary of terms</w:t>
      </w:r>
    </w:p>
    <w:p w14:paraId="48B781D9" w14:textId="36E9C3A9" w:rsidR="002F6EF3" w:rsidRPr="002F6EF3" w:rsidRDefault="002F6EF3" w:rsidP="002F6EF3">
      <w:r w:rsidRPr="002F6EF3">
        <w:t>This brief list includes key terms used in the report, defined in simple and plain language to clarify their intended meaning. More comprehensive definitions can be found in earlier reports. Additionally, some links are included for broader discussions of these terms.</w:t>
      </w:r>
      <w:r w:rsidR="0098795C">
        <w:t xml:space="preserve"> See, in particular, </w:t>
      </w:r>
      <w:r w:rsidR="008351D7">
        <w:rPr>
          <w:lang w:val="en-AU" w:bidi="th-TH"/>
        </w:rPr>
        <w:t xml:space="preserve">the Demand-side engagement </w:t>
      </w:r>
      <w:hyperlink r:id="rId14" w:tooltip="Research Users: Who are you passing the baton to?" w:history="1">
        <w:r w:rsidR="0098795C" w:rsidRPr="00C737C1">
          <w:rPr>
            <w:rStyle w:val="Hyperlink"/>
            <w:lang w:val="en-AU" w:bidi="th-TH"/>
          </w:rPr>
          <w:t>Stage</w:t>
        </w:r>
        <w:r w:rsidR="0098795C" w:rsidRPr="00C737C1">
          <w:rPr>
            <w:rStyle w:val="Hyperlink"/>
            <w:lang w:val="en-US" w:bidi="th-TH"/>
          </w:rPr>
          <w:t xml:space="preserve"> 2 Report</w:t>
        </w:r>
      </w:hyperlink>
      <w:r w:rsidR="008351D7">
        <w:rPr>
          <w:lang w:val="en-AU" w:bidi="th-TH"/>
        </w:rPr>
        <w:t xml:space="preserve">. </w:t>
      </w:r>
    </w:p>
    <w:p w14:paraId="7970D5F9" w14:textId="077D10E8" w:rsidR="003C3ED0" w:rsidRPr="00A177AE" w:rsidRDefault="003C3ED0" w:rsidP="003C3ED0">
      <w:pPr>
        <w:rPr>
          <w:lang w:val="en-AU" w:bidi="th-TH"/>
        </w:rPr>
      </w:pPr>
      <w:r w:rsidRPr="00A177AE">
        <w:rPr>
          <w:b/>
          <w:bCs/>
          <w:lang w:val="en-AU" w:bidi="th-TH"/>
        </w:rPr>
        <w:t>Evidence Intermediaries</w:t>
      </w:r>
      <w:r w:rsidRPr="00A177AE">
        <w:rPr>
          <w:lang w:val="en-AU" w:bidi="th-TH"/>
        </w:rPr>
        <w:br/>
        <w:t>Entities or individuals that operate between decision-makers and evidence producers, facilitating the use of evidence in decision-making processes. (</w:t>
      </w:r>
      <w:hyperlink r:id="rId15" w:tooltip="Global Commission on Evidence - McMaster Health Forum" w:history="1">
        <w:r w:rsidRPr="00A177AE">
          <w:rPr>
            <w:rStyle w:val="Hyperlink"/>
            <w:lang w:val="en-AU" w:bidi="th-TH"/>
          </w:rPr>
          <w:t>McMaster Health Forum</w:t>
        </w:r>
      </w:hyperlink>
      <w:r w:rsidRPr="00A177AE">
        <w:rPr>
          <w:lang w:val="en-AU" w:bidi="th-TH"/>
        </w:rPr>
        <w:t>)</w:t>
      </w:r>
    </w:p>
    <w:p w14:paraId="78CD9FC0" w14:textId="7A9BDAA2" w:rsidR="003C3ED0" w:rsidRPr="00A177AE" w:rsidRDefault="003C3ED0" w:rsidP="003C3ED0">
      <w:pPr>
        <w:rPr>
          <w:lang w:val="en-AU" w:bidi="th-TH"/>
        </w:rPr>
      </w:pPr>
      <w:r w:rsidRPr="00A177AE">
        <w:rPr>
          <w:b/>
          <w:bCs/>
          <w:lang w:val="en-AU" w:bidi="th-TH"/>
        </w:rPr>
        <w:t>End-Users</w:t>
      </w:r>
      <w:r w:rsidRPr="00A177AE">
        <w:rPr>
          <w:lang w:val="en-AU" w:bidi="th-TH"/>
        </w:rPr>
        <w:br/>
        <w:t xml:space="preserve">Individuals or groups who apply research findings in real-world contexts, such as policymakers, practitioners, </w:t>
      </w:r>
      <w:r w:rsidR="004E4C66">
        <w:rPr>
          <w:lang w:val="en-AU" w:bidi="th-TH"/>
        </w:rPr>
        <w:t xml:space="preserve">organisational leaders, </w:t>
      </w:r>
      <w:r w:rsidRPr="00A177AE">
        <w:rPr>
          <w:lang w:val="en-AU" w:bidi="th-TH"/>
        </w:rPr>
        <w:t xml:space="preserve">or the public. </w:t>
      </w:r>
    </w:p>
    <w:p w14:paraId="037670FB" w14:textId="66C40FA8" w:rsidR="003C3ED0" w:rsidRPr="00A177AE" w:rsidRDefault="003C3ED0" w:rsidP="003C3ED0">
      <w:pPr>
        <w:rPr>
          <w:lang w:val="en-AU" w:bidi="th-TH"/>
        </w:rPr>
      </w:pPr>
      <w:r w:rsidRPr="00A177AE">
        <w:rPr>
          <w:b/>
          <w:bCs/>
          <w:lang w:val="en-AU" w:bidi="th-TH"/>
        </w:rPr>
        <w:t>Evidence Synthesis</w:t>
      </w:r>
      <w:r w:rsidRPr="00A177AE">
        <w:rPr>
          <w:lang w:val="en-AU" w:bidi="th-TH"/>
        </w:rPr>
        <w:br/>
        <w:t>The process of systematically combining information from multiple studies to provide a comprehensive understanding of a particular topic. (</w:t>
      </w:r>
      <w:hyperlink r:id="rId16" w:tooltip="Evidence Synthesis - What is it and why do we need it?" w:history="1">
        <w:r w:rsidRPr="00A177AE">
          <w:rPr>
            <w:rStyle w:val="Hyperlink"/>
            <w:lang w:val="en-AU" w:bidi="th-TH"/>
          </w:rPr>
          <w:t>Cochrane</w:t>
        </w:r>
      </w:hyperlink>
      <w:r w:rsidRPr="00A177AE">
        <w:rPr>
          <w:lang w:val="en-AU" w:bidi="th-TH"/>
        </w:rPr>
        <w:t>)</w:t>
      </w:r>
    </w:p>
    <w:p w14:paraId="57F923C4" w14:textId="77777777" w:rsidR="003C3ED0" w:rsidRPr="00A177AE" w:rsidRDefault="003C3ED0" w:rsidP="003C3ED0">
      <w:pPr>
        <w:rPr>
          <w:lang w:val="en-AU" w:bidi="th-TH"/>
        </w:rPr>
      </w:pPr>
      <w:r w:rsidRPr="00A177AE">
        <w:rPr>
          <w:b/>
          <w:bCs/>
          <w:lang w:val="en-AU" w:bidi="th-TH"/>
        </w:rPr>
        <w:t>Co-Design Labs</w:t>
      </w:r>
      <w:r w:rsidRPr="00A177AE">
        <w:rPr>
          <w:lang w:val="en-AU" w:bidi="th-TH"/>
        </w:rPr>
        <w:br/>
        <w:t xml:space="preserve">Collaborative spaces where researchers, policymakers, and stakeholders jointly develop and apply evidence to address specific policy or practice challenges. </w:t>
      </w:r>
    </w:p>
    <w:p w14:paraId="0BDDF7FD" w14:textId="77777777" w:rsidR="003C3ED0" w:rsidRPr="00A177AE" w:rsidRDefault="003C3ED0" w:rsidP="003C3ED0">
      <w:pPr>
        <w:rPr>
          <w:lang w:val="en-AU" w:bidi="th-TH"/>
        </w:rPr>
      </w:pPr>
      <w:r w:rsidRPr="00A177AE">
        <w:rPr>
          <w:b/>
          <w:bCs/>
          <w:lang w:val="en-AU" w:bidi="th-TH"/>
        </w:rPr>
        <w:t>Question Repositories</w:t>
      </w:r>
      <w:r w:rsidRPr="00A177AE">
        <w:rPr>
          <w:lang w:val="en-AU" w:bidi="th-TH"/>
        </w:rPr>
        <w:br/>
        <w:t xml:space="preserve">Structured platforms that collect and organize policy-relevant questions to guide evidence synthesis efforts. </w:t>
      </w:r>
    </w:p>
    <w:p w14:paraId="5D7F59F5" w14:textId="2CE82972" w:rsidR="003C3ED0" w:rsidRPr="00A177AE" w:rsidRDefault="003C3ED0" w:rsidP="003C3ED0">
      <w:pPr>
        <w:rPr>
          <w:lang w:val="en-AU" w:bidi="th-TH"/>
        </w:rPr>
      </w:pPr>
      <w:r w:rsidRPr="00A177AE">
        <w:rPr>
          <w:b/>
          <w:bCs/>
          <w:lang w:val="en-AU" w:bidi="th-TH"/>
        </w:rPr>
        <w:t>Demand-Side Actors</w:t>
      </w:r>
      <w:r w:rsidRPr="00A177AE">
        <w:rPr>
          <w:lang w:val="en-AU" w:bidi="th-TH"/>
        </w:rPr>
        <w:br/>
      </w:r>
      <w:r w:rsidR="0043160D">
        <w:rPr>
          <w:lang w:val="en-AU" w:bidi="th-TH"/>
        </w:rPr>
        <w:t>Synonym to end-users</w:t>
      </w:r>
      <w:r w:rsidR="007F623E">
        <w:rPr>
          <w:lang w:val="en-AU" w:bidi="th-TH"/>
        </w:rPr>
        <w:t xml:space="preserve"> (above)</w:t>
      </w:r>
      <w:r w:rsidR="001A1F71">
        <w:rPr>
          <w:lang w:val="en-AU" w:bidi="th-TH"/>
        </w:rPr>
        <w:t xml:space="preserve"> often used to contrast with supply-side actors (below)</w:t>
      </w:r>
      <w:r w:rsidR="0043160D">
        <w:rPr>
          <w:lang w:val="en-AU" w:bidi="th-TH"/>
        </w:rPr>
        <w:t xml:space="preserve">: </w:t>
      </w:r>
      <w:r w:rsidR="00EA1859">
        <w:rPr>
          <w:lang w:val="en-AU" w:bidi="th-TH"/>
        </w:rPr>
        <w:t>Inter</w:t>
      </w:r>
      <w:r w:rsidR="0043160D">
        <w:rPr>
          <w:lang w:val="en-AU" w:bidi="th-TH"/>
        </w:rPr>
        <w:t>est</w:t>
      </w:r>
      <w:r w:rsidR="00EA1859">
        <w:rPr>
          <w:lang w:val="en-AU" w:bidi="th-TH"/>
        </w:rPr>
        <w:t xml:space="preserve"> holders </w:t>
      </w:r>
      <w:r w:rsidRPr="00A177AE">
        <w:rPr>
          <w:lang w:val="en-AU" w:bidi="th-TH"/>
        </w:rPr>
        <w:t xml:space="preserve">who seek and use evidence to inform their decisions, including policymakers, practitioners, and the public. </w:t>
      </w:r>
    </w:p>
    <w:p w14:paraId="79AAFCEB" w14:textId="49F5ED42" w:rsidR="003C3ED0" w:rsidRPr="00A177AE" w:rsidRDefault="003C3ED0" w:rsidP="003C3ED0">
      <w:pPr>
        <w:rPr>
          <w:lang w:val="en-AU" w:bidi="th-TH"/>
        </w:rPr>
      </w:pPr>
      <w:r w:rsidRPr="00A177AE">
        <w:rPr>
          <w:b/>
          <w:bCs/>
          <w:lang w:val="en-AU" w:bidi="th-TH"/>
        </w:rPr>
        <w:t>Supply-Side Actors</w:t>
      </w:r>
      <w:r w:rsidRPr="00A177AE">
        <w:rPr>
          <w:lang w:val="en-AU" w:bidi="th-TH"/>
        </w:rPr>
        <w:br/>
        <w:t>Researchers and institutions that produce evidence intended for use by decision-makers and practitioners</w:t>
      </w:r>
      <w:r w:rsidR="00B936D7">
        <w:rPr>
          <w:lang w:val="en-AU" w:bidi="th-TH"/>
        </w:rPr>
        <w:t xml:space="preserve"> including primary research</w:t>
      </w:r>
      <w:r w:rsidR="00625075">
        <w:rPr>
          <w:lang w:val="en-AU" w:bidi="th-TH"/>
        </w:rPr>
        <w:t>, systemic reviews</w:t>
      </w:r>
      <w:r w:rsidR="00B936D7">
        <w:rPr>
          <w:lang w:val="en-AU" w:bidi="th-TH"/>
        </w:rPr>
        <w:t xml:space="preserve"> and evidence synthesizers</w:t>
      </w:r>
      <w:r w:rsidRPr="00A177AE">
        <w:rPr>
          <w:lang w:val="en-AU" w:bidi="th-TH"/>
        </w:rPr>
        <w:t xml:space="preserve">. </w:t>
      </w:r>
    </w:p>
    <w:p w14:paraId="2FB5B94F" w14:textId="7890BE91" w:rsidR="003C3ED0" w:rsidRPr="00A177AE" w:rsidRDefault="003C3ED0" w:rsidP="003C3ED0">
      <w:pPr>
        <w:rPr>
          <w:lang w:val="en-AU" w:bidi="th-TH"/>
        </w:rPr>
      </w:pPr>
      <w:r w:rsidRPr="00A177AE">
        <w:rPr>
          <w:b/>
          <w:bCs/>
          <w:lang w:val="en-AU" w:bidi="th-TH"/>
        </w:rPr>
        <w:t>Evidence Ecosystem</w:t>
      </w:r>
      <w:r w:rsidRPr="00A177AE">
        <w:rPr>
          <w:lang w:val="en-AU" w:bidi="th-TH"/>
        </w:rPr>
        <w:br/>
        <w:t xml:space="preserve">The interconnected network of individuals, organizations, and processes involved in the production, translation, and use of evidence in decision-making. </w:t>
      </w:r>
    </w:p>
    <w:p w14:paraId="6992E1F1" w14:textId="77777777" w:rsidR="003C3ED0" w:rsidRPr="00A177AE" w:rsidRDefault="003C3ED0" w:rsidP="003C3ED0">
      <w:pPr>
        <w:rPr>
          <w:lang w:val="en-AU" w:bidi="th-TH"/>
        </w:rPr>
      </w:pPr>
      <w:r w:rsidRPr="00A177AE">
        <w:rPr>
          <w:b/>
          <w:bCs/>
          <w:lang w:val="en-AU" w:bidi="th-TH"/>
        </w:rPr>
        <w:t>Evidence Support Units</w:t>
      </w:r>
      <w:r w:rsidRPr="00A177AE">
        <w:rPr>
          <w:lang w:val="en-AU" w:bidi="th-TH"/>
        </w:rPr>
        <w:br/>
        <w:t xml:space="preserve">Organizations or teams that provide assistance in accessing, interpreting, and applying evidence to inform decisions. </w:t>
      </w:r>
    </w:p>
    <w:p w14:paraId="792B574B" w14:textId="77777777" w:rsidR="00B94F30" w:rsidRDefault="00B94F30" w:rsidP="00B94F30">
      <w:pPr>
        <w:rPr>
          <w:lang w:val="en-US"/>
        </w:rPr>
      </w:pPr>
    </w:p>
    <w:p w14:paraId="15BB56DB" w14:textId="77777777" w:rsidR="00B94F30" w:rsidRDefault="00B94F30" w:rsidP="00B94F30">
      <w:pPr>
        <w:rPr>
          <w:lang w:val="en-US"/>
        </w:rPr>
      </w:pPr>
    </w:p>
    <w:p w14:paraId="7D684896" w14:textId="0ACB3ACD" w:rsidR="00B94F30" w:rsidRPr="00896F60" w:rsidRDefault="00B94F30" w:rsidP="00B94F30">
      <w:pPr>
        <w:rPr>
          <w:lang w:val="en-US"/>
        </w:rPr>
        <w:sectPr w:rsidR="00B94F30" w:rsidRPr="00896F60" w:rsidSect="001A3413">
          <w:headerReference w:type="default" r:id="rId17"/>
          <w:footerReference w:type="even" r:id="rId18"/>
          <w:footerReference w:type="default" r:id="rId19"/>
          <w:footerReference w:type="first" r:id="rId20"/>
          <w:pgSz w:w="11906" w:h="16838" w:code="9"/>
          <w:pgMar w:top="284" w:right="1134" w:bottom="1134" w:left="1134" w:header="709" w:footer="653" w:gutter="0"/>
          <w:cols w:space="708"/>
          <w:titlePg/>
          <w:docGrid w:linePitch="360"/>
        </w:sectPr>
      </w:pPr>
    </w:p>
    <w:p w14:paraId="0892E2B9" w14:textId="20B948C4" w:rsidR="00791469" w:rsidRDefault="00791469" w:rsidP="00791469">
      <w:pPr>
        <w:pStyle w:val="Heading2"/>
        <w:rPr>
          <w:lang w:val="en-US"/>
        </w:rPr>
      </w:pPr>
      <w:r>
        <w:rPr>
          <w:lang w:val="en-US"/>
        </w:rPr>
        <w:t xml:space="preserve">Appendix </w:t>
      </w:r>
      <w:r w:rsidR="00B94F30">
        <w:rPr>
          <w:lang w:val="en-US"/>
        </w:rPr>
        <w:t>2</w:t>
      </w:r>
      <w:r>
        <w:rPr>
          <w:lang w:val="en-US"/>
        </w:rPr>
        <w:t xml:space="preserve"> – Roadmap Integration table: Comparative overview of options</w:t>
      </w:r>
    </w:p>
    <w:tbl>
      <w:tblPr>
        <w:tblStyle w:val="TableGrid"/>
        <w:tblpPr w:leftFromText="180" w:rightFromText="180" w:vertAnchor="text" w:tblpY="1"/>
        <w:tblOverlap w:val="never"/>
        <w:tblW w:w="0" w:type="auto"/>
        <w:tblLook w:val="04A0" w:firstRow="1" w:lastRow="0" w:firstColumn="1" w:lastColumn="0" w:noHBand="0" w:noVBand="1"/>
      </w:tblPr>
      <w:tblGrid>
        <w:gridCol w:w="2547"/>
        <w:gridCol w:w="1681"/>
        <w:gridCol w:w="1392"/>
        <w:gridCol w:w="2880"/>
        <w:gridCol w:w="3119"/>
        <w:gridCol w:w="3118"/>
        <w:gridCol w:w="3260"/>
      </w:tblGrid>
      <w:tr w:rsidR="00791469" w:rsidRPr="00302331" w14:paraId="026E6864" w14:textId="77777777" w:rsidTr="00910205">
        <w:trPr>
          <w:trHeight w:val="16"/>
        </w:trPr>
        <w:tc>
          <w:tcPr>
            <w:tcW w:w="2547" w:type="dxa"/>
            <w:shd w:val="clear" w:color="auto" w:fill="156082" w:themeFill="accent1"/>
            <w:hideMark/>
          </w:tcPr>
          <w:p w14:paraId="2D9D5EA9" w14:textId="77777777" w:rsidR="00791469" w:rsidRPr="00302331" w:rsidRDefault="00791469" w:rsidP="00910205">
            <w:pPr>
              <w:rPr>
                <w:b/>
                <w:bCs/>
                <w:color w:val="FFFFFF" w:themeColor="background1"/>
              </w:rPr>
            </w:pPr>
            <w:r w:rsidRPr="00302331">
              <w:rPr>
                <w:b/>
                <w:bCs/>
                <w:color w:val="FFFFFF" w:themeColor="background1"/>
              </w:rPr>
              <w:t>Problem</w:t>
            </w:r>
          </w:p>
        </w:tc>
        <w:tc>
          <w:tcPr>
            <w:tcW w:w="1681" w:type="dxa"/>
            <w:shd w:val="clear" w:color="auto" w:fill="156082" w:themeFill="accent1"/>
            <w:hideMark/>
          </w:tcPr>
          <w:p w14:paraId="094533D8" w14:textId="77777777" w:rsidR="00791469" w:rsidRPr="00302331" w:rsidRDefault="00791469" w:rsidP="00910205">
            <w:pPr>
              <w:rPr>
                <w:b/>
                <w:bCs/>
                <w:color w:val="FFFFFF" w:themeColor="background1"/>
              </w:rPr>
            </w:pPr>
            <w:r w:rsidRPr="00302331">
              <w:rPr>
                <w:b/>
                <w:bCs/>
                <w:color w:val="FFFFFF" w:themeColor="background1"/>
              </w:rPr>
              <w:t>Solution Name</w:t>
            </w:r>
          </w:p>
        </w:tc>
        <w:tc>
          <w:tcPr>
            <w:tcW w:w="1392" w:type="dxa"/>
            <w:shd w:val="clear" w:color="auto" w:fill="156082" w:themeFill="accent1"/>
            <w:hideMark/>
          </w:tcPr>
          <w:p w14:paraId="3EE28CA8" w14:textId="77777777" w:rsidR="00791469" w:rsidRPr="00302331" w:rsidRDefault="00791469" w:rsidP="00910205">
            <w:pPr>
              <w:rPr>
                <w:b/>
                <w:bCs/>
                <w:color w:val="FFFFFF" w:themeColor="background1"/>
              </w:rPr>
            </w:pPr>
            <w:r w:rsidRPr="00302331">
              <w:rPr>
                <w:b/>
                <w:bCs/>
                <w:color w:val="FFFFFF" w:themeColor="background1"/>
              </w:rPr>
              <w:t>Type of Solution</w:t>
            </w:r>
          </w:p>
        </w:tc>
        <w:tc>
          <w:tcPr>
            <w:tcW w:w="2880" w:type="dxa"/>
            <w:shd w:val="clear" w:color="auto" w:fill="156082" w:themeFill="accent1"/>
            <w:hideMark/>
          </w:tcPr>
          <w:p w14:paraId="143AE2CC" w14:textId="77777777" w:rsidR="00791469" w:rsidRPr="00302331" w:rsidRDefault="00791469" w:rsidP="00910205">
            <w:pPr>
              <w:rPr>
                <w:b/>
                <w:bCs/>
                <w:color w:val="FFFFFF" w:themeColor="background1"/>
              </w:rPr>
            </w:pPr>
            <w:r w:rsidRPr="00302331">
              <w:rPr>
                <w:b/>
                <w:bCs/>
                <w:color w:val="FFFFFF" w:themeColor="background1"/>
              </w:rPr>
              <w:t>Why Is It Innovative?</w:t>
            </w:r>
          </w:p>
        </w:tc>
        <w:tc>
          <w:tcPr>
            <w:tcW w:w="3119" w:type="dxa"/>
            <w:shd w:val="clear" w:color="auto" w:fill="156082" w:themeFill="accent1"/>
            <w:hideMark/>
          </w:tcPr>
          <w:p w14:paraId="321B76D0" w14:textId="77777777" w:rsidR="00791469" w:rsidRPr="00302331" w:rsidRDefault="00791469" w:rsidP="00910205">
            <w:pPr>
              <w:rPr>
                <w:b/>
                <w:bCs/>
                <w:color w:val="FFFFFF" w:themeColor="background1"/>
              </w:rPr>
            </w:pPr>
            <w:r w:rsidRPr="00302331">
              <w:rPr>
                <w:b/>
                <w:bCs/>
                <w:color w:val="FFFFFF" w:themeColor="background1"/>
              </w:rPr>
              <w:t>Expected Outcome</w:t>
            </w:r>
          </w:p>
        </w:tc>
        <w:tc>
          <w:tcPr>
            <w:tcW w:w="3118" w:type="dxa"/>
            <w:shd w:val="clear" w:color="auto" w:fill="156082" w:themeFill="accent1"/>
            <w:hideMark/>
          </w:tcPr>
          <w:p w14:paraId="62A9E712" w14:textId="77777777" w:rsidR="00791469" w:rsidRPr="00302331" w:rsidRDefault="00791469" w:rsidP="00910205">
            <w:pPr>
              <w:rPr>
                <w:b/>
                <w:bCs/>
                <w:color w:val="FFFFFF" w:themeColor="background1"/>
              </w:rPr>
            </w:pPr>
            <w:r w:rsidRPr="00302331">
              <w:rPr>
                <w:b/>
                <w:bCs/>
                <w:color w:val="FFFFFF" w:themeColor="background1"/>
              </w:rPr>
              <w:t>Success/Destination</w:t>
            </w:r>
          </w:p>
        </w:tc>
        <w:tc>
          <w:tcPr>
            <w:tcW w:w="3260" w:type="dxa"/>
            <w:shd w:val="clear" w:color="auto" w:fill="156082" w:themeFill="accent1"/>
            <w:hideMark/>
          </w:tcPr>
          <w:p w14:paraId="2B1291C1" w14:textId="77777777" w:rsidR="00791469" w:rsidRPr="00302331" w:rsidRDefault="00791469" w:rsidP="00910205">
            <w:pPr>
              <w:rPr>
                <w:b/>
                <w:bCs/>
                <w:color w:val="FFFFFF" w:themeColor="background1"/>
              </w:rPr>
            </w:pPr>
            <w:r w:rsidRPr="00302331">
              <w:rPr>
                <w:b/>
                <w:bCs/>
                <w:color w:val="FFFFFF" w:themeColor="background1"/>
              </w:rPr>
              <w:t>Synergies</w:t>
            </w:r>
          </w:p>
        </w:tc>
      </w:tr>
      <w:tr w:rsidR="00791469" w:rsidRPr="00B764FA" w14:paraId="47A1E5F1" w14:textId="77777777" w:rsidTr="00DC162C">
        <w:trPr>
          <w:trHeight w:val="98"/>
        </w:trPr>
        <w:tc>
          <w:tcPr>
            <w:tcW w:w="2547" w:type="dxa"/>
            <w:hideMark/>
          </w:tcPr>
          <w:p w14:paraId="60A77E8C" w14:textId="52337131" w:rsidR="00791469" w:rsidRPr="001A3413" w:rsidRDefault="00791469" w:rsidP="00910205">
            <w:pPr>
              <w:rPr>
                <w:color w:val="000000" w:themeColor="text1"/>
                <w:sz w:val="20"/>
                <w:szCs w:val="20"/>
              </w:rPr>
            </w:pPr>
            <w:r w:rsidRPr="001A3413">
              <w:rPr>
                <w:color w:val="000000" w:themeColor="text1"/>
                <w:sz w:val="20"/>
                <w:szCs w:val="20"/>
              </w:rPr>
              <w:t>Fragmented and inconsistent coordination of evidence use across geographies; lack of locali</w:t>
            </w:r>
            <w:r w:rsidR="007F1BD5">
              <w:rPr>
                <w:color w:val="000000" w:themeColor="text1"/>
                <w:sz w:val="20"/>
                <w:szCs w:val="20"/>
              </w:rPr>
              <w:t>s</w:t>
            </w:r>
            <w:r w:rsidRPr="001A3413">
              <w:rPr>
                <w:color w:val="000000" w:themeColor="text1"/>
                <w:sz w:val="20"/>
                <w:szCs w:val="20"/>
              </w:rPr>
              <w:t>ed governance for demand-side engagement.</w:t>
            </w:r>
          </w:p>
        </w:tc>
        <w:tc>
          <w:tcPr>
            <w:tcW w:w="1681" w:type="dxa"/>
            <w:shd w:val="clear" w:color="auto" w:fill="DAE9F7" w:themeFill="text2" w:themeFillTint="1A"/>
            <w:hideMark/>
          </w:tcPr>
          <w:p w14:paraId="14AE9FE0" w14:textId="77777777" w:rsidR="00791469" w:rsidRPr="001A3413" w:rsidRDefault="00791469" w:rsidP="00910205">
            <w:pPr>
              <w:rPr>
                <w:b/>
                <w:bCs/>
                <w:color w:val="000000" w:themeColor="text1"/>
                <w:sz w:val="20"/>
                <w:szCs w:val="20"/>
              </w:rPr>
            </w:pPr>
            <w:r w:rsidRPr="001A3413">
              <w:rPr>
                <w:b/>
                <w:bCs/>
                <w:color w:val="000000" w:themeColor="text1"/>
                <w:sz w:val="20"/>
                <w:szCs w:val="20"/>
              </w:rPr>
              <w:t>Regional Demand-Side Secretariats</w:t>
            </w:r>
          </w:p>
        </w:tc>
        <w:tc>
          <w:tcPr>
            <w:tcW w:w="1392" w:type="dxa"/>
            <w:hideMark/>
          </w:tcPr>
          <w:p w14:paraId="0A3804C8" w14:textId="77777777" w:rsidR="00791469" w:rsidRPr="001A3413" w:rsidRDefault="00791469" w:rsidP="00910205">
            <w:pPr>
              <w:rPr>
                <w:color w:val="000000" w:themeColor="text1"/>
                <w:sz w:val="20"/>
                <w:szCs w:val="20"/>
              </w:rPr>
            </w:pPr>
            <w:r w:rsidRPr="001A3413">
              <w:rPr>
                <w:color w:val="000000" w:themeColor="text1"/>
                <w:sz w:val="20"/>
                <w:szCs w:val="20"/>
              </w:rPr>
              <w:t>(a) Evidence synthesis infrastructure</w:t>
            </w:r>
          </w:p>
        </w:tc>
        <w:tc>
          <w:tcPr>
            <w:tcW w:w="2880" w:type="dxa"/>
            <w:hideMark/>
          </w:tcPr>
          <w:p w14:paraId="221C2D2C" w14:textId="0428628F" w:rsidR="00791469" w:rsidRPr="001A3413" w:rsidRDefault="00791469" w:rsidP="00910205">
            <w:pPr>
              <w:rPr>
                <w:color w:val="000000" w:themeColor="text1"/>
                <w:sz w:val="20"/>
                <w:szCs w:val="20"/>
              </w:rPr>
            </w:pPr>
            <w:r w:rsidRPr="001A3413">
              <w:rPr>
                <w:color w:val="000000" w:themeColor="text1"/>
                <w:sz w:val="20"/>
                <w:szCs w:val="20"/>
              </w:rPr>
              <w:t>Avoids overly centrali</w:t>
            </w:r>
            <w:r w:rsidR="007F1BD5">
              <w:rPr>
                <w:color w:val="000000" w:themeColor="text1"/>
                <w:sz w:val="20"/>
                <w:szCs w:val="20"/>
              </w:rPr>
              <w:t>s</w:t>
            </w:r>
            <w:r w:rsidRPr="001A3413">
              <w:rPr>
                <w:color w:val="000000" w:themeColor="text1"/>
                <w:sz w:val="20"/>
                <w:szCs w:val="20"/>
              </w:rPr>
              <w:t>ed and bureaucratic models in favour of a decentrali</w:t>
            </w:r>
            <w:r w:rsidR="007F1BD5">
              <w:rPr>
                <w:color w:val="000000" w:themeColor="text1"/>
                <w:sz w:val="20"/>
                <w:szCs w:val="20"/>
              </w:rPr>
              <w:t>s</w:t>
            </w:r>
            <w:r w:rsidRPr="001A3413">
              <w:rPr>
                <w:color w:val="000000" w:themeColor="text1"/>
                <w:sz w:val="20"/>
                <w:szCs w:val="20"/>
              </w:rPr>
              <w:t>ed, context-sensitive coordination structure; enables regional tailoring and cross-learning.</w:t>
            </w:r>
          </w:p>
        </w:tc>
        <w:tc>
          <w:tcPr>
            <w:tcW w:w="3119" w:type="dxa"/>
            <w:hideMark/>
          </w:tcPr>
          <w:p w14:paraId="2DFDB386" w14:textId="77777777" w:rsidR="00791469" w:rsidRPr="001A3413" w:rsidRDefault="00791469" w:rsidP="00910205">
            <w:pPr>
              <w:rPr>
                <w:color w:val="000000" w:themeColor="text1"/>
                <w:sz w:val="20"/>
                <w:szCs w:val="20"/>
              </w:rPr>
            </w:pPr>
            <w:r w:rsidRPr="001A3413">
              <w:rPr>
                <w:color w:val="000000" w:themeColor="text1"/>
                <w:sz w:val="20"/>
                <w:szCs w:val="20"/>
              </w:rPr>
              <w:t>Improved coordination, equity, and local responsiveness in how evidence is used for policy. Better alignment between global priorities and regional decision-making. Supports policy actors and intermediaries in underserved regions.</w:t>
            </w:r>
          </w:p>
        </w:tc>
        <w:tc>
          <w:tcPr>
            <w:tcW w:w="3118" w:type="dxa"/>
            <w:hideMark/>
          </w:tcPr>
          <w:p w14:paraId="78DCDA8B" w14:textId="7BEC3598" w:rsidR="00791469" w:rsidRPr="00FB0B53" w:rsidRDefault="00791469" w:rsidP="00910205">
            <w:pPr>
              <w:rPr>
                <w:i/>
                <w:iCs/>
                <w:color w:val="000000" w:themeColor="text1"/>
                <w:sz w:val="20"/>
                <w:szCs w:val="20"/>
              </w:rPr>
            </w:pPr>
            <w:r w:rsidRPr="00FB0B53">
              <w:rPr>
                <w:i/>
                <w:iCs/>
                <w:color w:val="000000" w:themeColor="text1"/>
                <w:sz w:val="20"/>
                <w:szCs w:val="20"/>
              </w:rPr>
              <w:t xml:space="preserve">By </w:t>
            </w:r>
            <w:r w:rsidR="00B62668">
              <w:rPr>
                <w:i/>
                <w:iCs/>
                <w:color w:val="000000" w:themeColor="text1"/>
                <w:sz w:val="20"/>
                <w:szCs w:val="20"/>
              </w:rPr>
              <w:t xml:space="preserve">end </w:t>
            </w:r>
            <w:r w:rsidRPr="00FB0B53">
              <w:rPr>
                <w:i/>
                <w:iCs/>
                <w:color w:val="000000" w:themeColor="text1"/>
                <w:sz w:val="20"/>
                <w:szCs w:val="20"/>
              </w:rPr>
              <w:t>2028, at least 4 regional secretariats operational, each with a multi-stakeholder board, shared learning platforms, and demonstrated uptake of synthesis in national policies.</w:t>
            </w:r>
          </w:p>
        </w:tc>
        <w:tc>
          <w:tcPr>
            <w:tcW w:w="3260" w:type="dxa"/>
          </w:tcPr>
          <w:p w14:paraId="10CA9AD0" w14:textId="01574BCE" w:rsidR="00791469" w:rsidRPr="001A3413" w:rsidRDefault="007C2150" w:rsidP="00910205">
            <w:pPr>
              <w:rPr>
                <w:color w:val="000000" w:themeColor="text1"/>
                <w:sz w:val="20"/>
                <w:szCs w:val="20"/>
              </w:rPr>
            </w:pPr>
            <w:r>
              <w:rPr>
                <w:color w:val="000000" w:themeColor="text1"/>
                <w:sz w:val="20"/>
                <w:szCs w:val="20"/>
              </w:rPr>
              <w:t xml:space="preserve">Potential alignment with governance models supportive of various functions proposed by other working groups. Demand-side work could exist within or alongside other secretariat </w:t>
            </w:r>
            <w:r w:rsidR="00FB0B53">
              <w:rPr>
                <w:color w:val="000000" w:themeColor="text1"/>
                <w:sz w:val="20"/>
                <w:szCs w:val="20"/>
              </w:rPr>
              <w:t>functions</w:t>
            </w:r>
          </w:p>
        </w:tc>
      </w:tr>
      <w:tr w:rsidR="00791469" w:rsidRPr="00B764FA" w14:paraId="71D42F67" w14:textId="77777777" w:rsidTr="00DC162C">
        <w:trPr>
          <w:trHeight w:val="82"/>
        </w:trPr>
        <w:tc>
          <w:tcPr>
            <w:tcW w:w="2547" w:type="dxa"/>
            <w:hideMark/>
          </w:tcPr>
          <w:p w14:paraId="28FF3A39" w14:textId="38DCDD41" w:rsidR="00791469" w:rsidRPr="001A3413" w:rsidRDefault="00791469" w:rsidP="00910205">
            <w:pPr>
              <w:rPr>
                <w:color w:val="000000" w:themeColor="text1"/>
                <w:sz w:val="20"/>
                <w:szCs w:val="20"/>
              </w:rPr>
            </w:pPr>
            <w:r w:rsidRPr="001A3413">
              <w:rPr>
                <w:color w:val="000000" w:themeColor="text1"/>
                <w:sz w:val="20"/>
                <w:szCs w:val="20"/>
              </w:rPr>
              <w:t>Weak capacity of intermediaries to translate, contextuali</w:t>
            </w:r>
            <w:r w:rsidR="007F1BD5">
              <w:rPr>
                <w:color w:val="000000" w:themeColor="text1"/>
                <w:sz w:val="20"/>
                <w:szCs w:val="20"/>
              </w:rPr>
              <w:t>s</w:t>
            </w:r>
            <w:r w:rsidRPr="001A3413">
              <w:rPr>
                <w:color w:val="000000" w:themeColor="text1"/>
                <w:sz w:val="20"/>
                <w:szCs w:val="20"/>
              </w:rPr>
              <w:t>e, and communicate synthesis to end-users. Inconsistent quality and access across regions/sectors.</w:t>
            </w:r>
          </w:p>
        </w:tc>
        <w:tc>
          <w:tcPr>
            <w:tcW w:w="1681" w:type="dxa"/>
            <w:shd w:val="clear" w:color="auto" w:fill="DAE9F7" w:themeFill="text2" w:themeFillTint="1A"/>
            <w:hideMark/>
          </w:tcPr>
          <w:p w14:paraId="62697738" w14:textId="77777777" w:rsidR="00791469" w:rsidRPr="001A3413" w:rsidRDefault="00791469" w:rsidP="00910205">
            <w:pPr>
              <w:rPr>
                <w:b/>
                <w:bCs/>
                <w:color w:val="000000" w:themeColor="text1"/>
                <w:sz w:val="20"/>
                <w:szCs w:val="20"/>
              </w:rPr>
            </w:pPr>
            <w:r w:rsidRPr="001A3413">
              <w:rPr>
                <w:b/>
                <w:bCs/>
                <w:color w:val="000000" w:themeColor="text1"/>
                <w:sz w:val="20"/>
                <w:szCs w:val="20"/>
              </w:rPr>
              <w:t>Provide Implementation Support to Intermediaries</w:t>
            </w:r>
          </w:p>
        </w:tc>
        <w:tc>
          <w:tcPr>
            <w:tcW w:w="1392" w:type="dxa"/>
            <w:hideMark/>
          </w:tcPr>
          <w:p w14:paraId="030F895F" w14:textId="77777777" w:rsidR="00791469" w:rsidRPr="001A3413" w:rsidRDefault="00791469" w:rsidP="00910205">
            <w:pPr>
              <w:rPr>
                <w:color w:val="000000" w:themeColor="text1"/>
                <w:sz w:val="20"/>
                <w:szCs w:val="20"/>
              </w:rPr>
            </w:pPr>
            <w:r w:rsidRPr="001A3413">
              <w:rPr>
                <w:color w:val="000000" w:themeColor="text1"/>
                <w:sz w:val="20"/>
                <w:szCs w:val="20"/>
              </w:rPr>
              <w:t>(b) Evidence synthesis process</w:t>
            </w:r>
          </w:p>
        </w:tc>
        <w:tc>
          <w:tcPr>
            <w:tcW w:w="2880" w:type="dxa"/>
            <w:hideMark/>
          </w:tcPr>
          <w:p w14:paraId="0615B5D1" w14:textId="631921C7" w:rsidR="00791469" w:rsidRPr="001A3413" w:rsidRDefault="00791469" w:rsidP="00910205">
            <w:pPr>
              <w:rPr>
                <w:color w:val="000000" w:themeColor="text1"/>
                <w:sz w:val="20"/>
                <w:szCs w:val="20"/>
              </w:rPr>
            </w:pPr>
            <w:r w:rsidRPr="001A3413">
              <w:rPr>
                <w:color w:val="000000" w:themeColor="text1"/>
                <w:sz w:val="20"/>
                <w:szCs w:val="20"/>
              </w:rPr>
              <w:t xml:space="preserve">Shifts focus from producers or end-users to "in-between" actors, offering structured support and </w:t>
            </w:r>
            <w:r w:rsidR="00981568" w:rsidRPr="001A3413">
              <w:rPr>
                <w:color w:val="000000" w:themeColor="text1"/>
                <w:sz w:val="20"/>
                <w:szCs w:val="20"/>
              </w:rPr>
              <w:t>professionali</w:t>
            </w:r>
            <w:r w:rsidR="007F1BD5">
              <w:rPr>
                <w:color w:val="000000" w:themeColor="text1"/>
                <w:sz w:val="20"/>
                <w:szCs w:val="20"/>
              </w:rPr>
              <w:t>s</w:t>
            </w:r>
            <w:r w:rsidR="00981568" w:rsidRPr="001A3413">
              <w:rPr>
                <w:color w:val="000000" w:themeColor="text1"/>
                <w:sz w:val="20"/>
                <w:szCs w:val="20"/>
              </w:rPr>
              <w:t>ation</w:t>
            </w:r>
            <w:r w:rsidRPr="001A3413">
              <w:rPr>
                <w:color w:val="000000" w:themeColor="text1"/>
                <w:sz w:val="20"/>
                <w:szCs w:val="20"/>
              </w:rPr>
              <w:t>. Highly scalable and cost-effective.</w:t>
            </w:r>
          </w:p>
        </w:tc>
        <w:tc>
          <w:tcPr>
            <w:tcW w:w="3119" w:type="dxa"/>
            <w:hideMark/>
          </w:tcPr>
          <w:p w14:paraId="09ECBE2A" w14:textId="77777777" w:rsidR="00791469" w:rsidRPr="001A3413" w:rsidRDefault="00791469" w:rsidP="00910205">
            <w:pPr>
              <w:rPr>
                <w:color w:val="000000" w:themeColor="text1"/>
                <w:sz w:val="20"/>
                <w:szCs w:val="20"/>
              </w:rPr>
            </w:pPr>
            <w:r w:rsidRPr="001A3413">
              <w:rPr>
                <w:color w:val="000000" w:themeColor="text1"/>
                <w:sz w:val="20"/>
                <w:szCs w:val="20"/>
              </w:rPr>
              <w:t>Stronger intermediary ecosystem across sectors, improved translation of synthesis into actionable insights, faster uptake by decision-makers. Benefits policymakers, civil servants, NGOs, and researchers.</w:t>
            </w:r>
          </w:p>
        </w:tc>
        <w:tc>
          <w:tcPr>
            <w:tcW w:w="3118" w:type="dxa"/>
            <w:hideMark/>
          </w:tcPr>
          <w:p w14:paraId="5A48144F" w14:textId="7025EF20" w:rsidR="00791469" w:rsidRPr="00FB0B53" w:rsidRDefault="00791469" w:rsidP="00910205">
            <w:pPr>
              <w:rPr>
                <w:i/>
                <w:iCs/>
                <w:color w:val="000000" w:themeColor="text1"/>
                <w:sz w:val="20"/>
                <w:szCs w:val="20"/>
              </w:rPr>
            </w:pPr>
            <w:r w:rsidRPr="00FB0B53">
              <w:rPr>
                <w:i/>
                <w:iCs/>
                <w:color w:val="000000" w:themeColor="text1"/>
                <w:sz w:val="20"/>
                <w:szCs w:val="20"/>
              </w:rPr>
              <w:t xml:space="preserve">By </w:t>
            </w:r>
            <w:r w:rsidR="00761730">
              <w:rPr>
                <w:i/>
                <w:iCs/>
                <w:color w:val="000000" w:themeColor="text1"/>
                <w:sz w:val="20"/>
                <w:szCs w:val="20"/>
              </w:rPr>
              <w:t xml:space="preserve">end </w:t>
            </w:r>
            <w:r w:rsidRPr="00FB0B53">
              <w:rPr>
                <w:i/>
                <w:iCs/>
                <w:color w:val="000000" w:themeColor="text1"/>
                <w:sz w:val="20"/>
                <w:szCs w:val="20"/>
              </w:rPr>
              <w:t>202</w:t>
            </w:r>
            <w:r w:rsidR="00543409">
              <w:rPr>
                <w:i/>
                <w:iCs/>
                <w:color w:val="000000" w:themeColor="text1"/>
                <w:sz w:val="20"/>
                <w:szCs w:val="20"/>
              </w:rPr>
              <w:t>6</w:t>
            </w:r>
            <w:r w:rsidRPr="00FB0B53">
              <w:rPr>
                <w:i/>
                <w:iCs/>
                <w:color w:val="000000" w:themeColor="text1"/>
                <w:sz w:val="20"/>
                <w:szCs w:val="20"/>
              </w:rPr>
              <w:t>, 30+ intermediaries trained or supported; quality standards adopted across 3 major sectors; increased demand-side engagement metrics reported in funded regions.</w:t>
            </w:r>
          </w:p>
        </w:tc>
        <w:tc>
          <w:tcPr>
            <w:tcW w:w="3260" w:type="dxa"/>
          </w:tcPr>
          <w:p w14:paraId="23904C84" w14:textId="044FCDCA" w:rsidR="00791469" w:rsidRPr="001A3413" w:rsidRDefault="00441445" w:rsidP="00910205">
            <w:pPr>
              <w:rPr>
                <w:color w:val="000000" w:themeColor="text1"/>
                <w:sz w:val="20"/>
                <w:szCs w:val="20"/>
              </w:rPr>
            </w:pPr>
            <w:r>
              <w:rPr>
                <w:color w:val="000000" w:themeColor="text1"/>
                <w:sz w:val="20"/>
                <w:szCs w:val="20"/>
              </w:rPr>
              <w:t xml:space="preserve">WG2 </w:t>
            </w:r>
            <w:r w:rsidR="00802D61">
              <w:rPr>
                <w:color w:val="000000" w:themeColor="text1"/>
                <w:sz w:val="20"/>
                <w:szCs w:val="20"/>
              </w:rPr>
              <w:t>Regional training modules and networks – some complementary functions</w:t>
            </w:r>
            <w:r w:rsidR="00CD091E">
              <w:rPr>
                <w:color w:val="000000" w:themeColor="text1"/>
                <w:sz w:val="20"/>
                <w:szCs w:val="20"/>
              </w:rPr>
              <w:t xml:space="preserve">; </w:t>
            </w:r>
            <w:r w:rsidR="00957FCA">
              <w:rPr>
                <w:color w:val="000000" w:themeColor="text1"/>
                <w:sz w:val="20"/>
                <w:szCs w:val="20"/>
              </w:rPr>
              <w:t xml:space="preserve">WG2 Sout-South mentorship – could exist as tool for support; </w:t>
            </w:r>
            <w:r w:rsidR="00CD091E">
              <w:rPr>
                <w:color w:val="000000" w:themeColor="text1"/>
                <w:sz w:val="20"/>
                <w:szCs w:val="20"/>
              </w:rPr>
              <w:t xml:space="preserve">WG4 tools </w:t>
            </w:r>
            <w:r w:rsidR="009758AB">
              <w:rPr>
                <w:color w:val="000000" w:themeColor="text1"/>
                <w:sz w:val="20"/>
                <w:szCs w:val="20"/>
              </w:rPr>
              <w:t>for translating to local context</w:t>
            </w:r>
            <w:r w:rsidR="00264A08">
              <w:rPr>
                <w:color w:val="000000" w:themeColor="text1"/>
                <w:sz w:val="20"/>
                <w:szCs w:val="20"/>
              </w:rPr>
              <w:t xml:space="preserve">; </w:t>
            </w:r>
          </w:p>
        </w:tc>
      </w:tr>
      <w:tr w:rsidR="00791469" w:rsidRPr="00B764FA" w14:paraId="2A1117B9" w14:textId="77777777" w:rsidTr="00DC162C">
        <w:trPr>
          <w:trHeight w:val="83"/>
        </w:trPr>
        <w:tc>
          <w:tcPr>
            <w:tcW w:w="2547" w:type="dxa"/>
            <w:hideMark/>
          </w:tcPr>
          <w:p w14:paraId="742B7F3F" w14:textId="77777777" w:rsidR="00791469" w:rsidRPr="001A3413" w:rsidRDefault="00791469" w:rsidP="00910205">
            <w:pPr>
              <w:rPr>
                <w:color w:val="000000" w:themeColor="text1"/>
                <w:sz w:val="20"/>
                <w:szCs w:val="20"/>
              </w:rPr>
            </w:pPr>
            <w:r w:rsidRPr="001A3413">
              <w:rPr>
                <w:color w:val="000000" w:themeColor="text1"/>
                <w:sz w:val="20"/>
                <w:szCs w:val="20"/>
              </w:rPr>
              <w:t>End-users often excluded from question-framing and evidence development; outputs not tailored to policy realities or public needs.</w:t>
            </w:r>
          </w:p>
        </w:tc>
        <w:tc>
          <w:tcPr>
            <w:tcW w:w="1681" w:type="dxa"/>
            <w:shd w:val="clear" w:color="auto" w:fill="DAE9F7" w:themeFill="text2" w:themeFillTint="1A"/>
            <w:hideMark/>
          </w:tcPr>
          <w:p w14:paraId="43BD8567" w14:textId="77777777" w:rsidR="00791469" w:rsidRPr="001A3413" w:rsidRDefault="00791469" w:rsidP="00910205">
            <w:pPr>
              <w:rPr>
                <w:b/>
                <w:bCs/>
                <w:color w:val="000000" w:themeColor="text1"/>
                <w:sz w:val="20"/>
                <w:szCs w:val="20"/>
              </w:rPr>
            </w:pPr>
            <w:r w:rsidRPr="001A3413">
              <w:rPr>
                <w:b/>
                <w:bCs/>
                <w:color w:val="000000" w:themeColor="text1"/>
                <w:sz w:val="20"/>
                <w:szCs w:val="20"/>
              </w:rPr>
              <w:t>Create Co-Design Labs</w:t>
            </w:r>
          </w:p>
        </w:tc>
        <w:tc>
          <w:tcPr>
            <w:tcW w:w="1392" w:type="dxa"/>
            <w:hideMark/>
          </w:tcPr>
          <w:p w14:paraId="58B3A173" w14:textId="77777777" w:rsidR="00791469" w:rsidRPr="001A3413" w:rsidRDefault="00791469" w:rsidP="00910205">
            <w:pPr>
              <w:rPr>
                <w:color w:val="000000" w:themeColor="text1"/>
                <w:sz w:val="20"/>
                <w:szCs w:val="20"/>
              </w:rPr>
            </w:pPr>
            <w:r w:rsidRPr="001A3413">
              <w:rPr>
                <w:color w:val="000000" w:themeColor="text1"/>
                <w:sz w:val="20"/>
                <w:szCs w:val="20"/>
              </w:rPr>
              <w:t>(b) Evidence synthesis process / (c) Projects</w:t>
            </w:r>
          </w:p>
        </w:tc>
        <w:tc>
          <w:tcPr>
            <w:tcW w:w="2880" w:type="dxa"/>
            <w:hideMark/>
          </w:tcPr>
          <w:p w14:paraId="7E459B3B" w14:textId="1248525E" w:rsidR="00791469" w:rsidRPr="001A3413" w:rsidRDefault="00791469" w:rsidP="00910205">
            <w:pPr>
              <w:rPr>
                <w:color w:val="000000" w:themeColor="text1"/>
                <w:sz w:val="20"/>
                <w:szCs w:val="20"/>
              </w:rPr>
            </w:pPr>
            <w:r w:rsidRPr="001A3413">
              <w:rPr>
                <w:color w:val="000000" w:themeColor="text1"/>
                <w:sz w:val="20"/>
                <w:szCs w:val="20"/>
              </w:rPr>
              <w:t>Embeds co-production at the centre of synthesis. Cross-sectoral collaboration tool</w:t>
            </w:r>
            <w:r w:rsidR="00E8726A">
              <w:rPr>
                <w:color w:val="000000" w:themeColor="text1"/>
                <w:sz w:val="20"/>
                <w:szCs w:val="20"/>
              </w:rPr>
              <w:t>s</w:t>
            </w:r>
            <w:r w:rsidRPr="001A3413">
              <w:rPr>
                <w:color w:val="000000" w:themeColor="text1"/>
                <w:sz w:val="20"/>
                <w:szCs w:val="20"/>
              </w:rPr>
              <w:t xml:space="preserve"> that enhances relevance and legitimacy. Can be adapted across issues and geographies.</w:t>
            </w:r>
          </w:p>
        </w:tc>
        <w:tc>
          <w:tcPr>
            <w:tcW w:w="3119" w:type="dxa"/>
            <w:hideMark/>
          </w:tcPr>
          <w:p w14:paraId="4F611A32" w14:textId="77777777" w:rsidR="00791469" w:rsidRPr="001A3413" w:rsidRDefault="00791469" w:rsidP="00910205">
            <w:pPr>
              <w:rPr>
                <w:color w:val="000000" w:themeColor="text1"/>
                <w:sz w:val="20"/>
                <w:szCs w:val="20"/>
              </w:rPr>
            </w:pPr>
            <w:r w:rsidRPr="001A3413">
              <w:rPr>
                <w:color w:val="000000" w:themeColor="text1"/>
                <w:sz w:val="20"/>
                <w:szCs w:val="20"/>
              </w:rPr>
              <w:t>Increased ownership and uptake of synthesis outputs, especially in complex or emergent policy areas. Benefits researchers, policymakers, and community stakeholders.</w:t>
            </w:r>
          </w:p>
        </w:tc>
        <w:tc>
          <w:tcPr>
            <w:tcW w:w="3118" w:type="dxa"/>
            <w:hideMark/>
          </w:tcPr>
          <w:p w14:paraId="5B36E26E" w14:textId="6086B2ED" w:rsidR="00791469" w:rsidRPr="00FB0B53" w:rsidRDefault="00791469" w:rsidP="00910205">
            <w:pPr>
              <w:rPr>
                <w:i/>
                <w:iCs/>
                <w:color w:val="000000" w:themeColor="text1"/>
                <w:sz w:val="20"/>
                <w:szCs w:val="20"/>
              </w:rPr>
            </w:pPr>
            <w:r w:rsidRPr="00FB0B53">
              <w:rPr>
                <w:i/>
                <w:iCs/>
                <w:color w:val="000000" w:themeColor="text1"/>
                <w:sz w:val="20"/>
                <w:szCs w:val="20"/>
              </w:rPr>
              <w:t xml:space="preserve">By </w:t>
            </w:r>
            <w:r w:rsidR="00B62668">
              <w:rPr>
                <w:i/>
                <w:iCs/>
                <w:color w:val="000000" w:themeColor="text1"/>
                <w:sz w:val="20"/>
                <w:szCs w:val="20"/>
              </w:rPr>
              <w:t xml:space="preserve">end </w:t>
            </w:r>
            <w:r w:rsidRPr="00FB0B53">
              <w:rPr>
                <w:i/>
                <w:iCs/>
                <w:color w:val="000000" w:themeColor="text1"/>
                <w:sz w:val="20"/>
                <w:szCs w:val="20"/>
              </w:rPr>
              <w:t>202</w:t>
            </w:r>
            <w:r w:rsidR="00A00354">
              <w:rPr>
                <w:i/>
                <w:iCs/>
                <w:color w:val="000000" w:themeColor="text1"/>
                <w:sz w:val="20"/>
                <w:szCs w:val="20"/>
              </w:rPr>
              <w:t>6</w:t>
            </w:r>
            <w:r w:rsidRPr="00FB0B53">
              <w:rPr>
                <w:i/>
                <w:iCs/>
                <w:color w:val="000000" w:themeColor="text1"/>
                <w:sz w:val="20"/>
                <w:szCs w:val="20"/>
              </w:rPr>
              <w:t>, 1</w:t>
            </w:r>
            <w:r w:rsidR="00FD497C">
              <w:rPr>
                <w:i/>
                <w:iCs/>
                <w:color w:val="000000" w:themeColor="text1"/>
                <w:sz w:val="20"/>
                <w:szCs w:val="20"/>
              </w:rPr>
              <w:t>5</w:t>
            </w:r>
            <w:r w:rsidRPr="00FB0B53">
              <w:rPr>
                <w:i/>
                <w:iCs/>
                <w:color w:val="000000" w:themeColor="text1"/>
                <w:sz w:val="20"/>
                <w:szCs w:val="20"/>
              </w:rPr>
              <w:t xml:space="preserve"> active labs </w:t>
            </w:r>
            <w:r w:rsidR="00CC7D7F">
              <w:rPr>
                <w:i/>
                <w:iCs/>
                <w:color w:val="000000" w:themeColor="text1"/>
                <w:sz w:val="20"/>
                <w:szCs w:val="20"/>
              </w:rPr>
              <w:t>events</w:t>
            </w:r>
            <w:r w:rsidR="00035232">
              <w:rPr>
                <w:i/>
                <w:iCs/>
                <w:color w:val="000000" w:themeColor="text1"/>
                <w:sz w:val="20"/>
                <w:szCs w:val="20"/>
              </w:rPr>
              <w:t xml:space="preserve"> </w:t>
            </w:r>
            <w:r w:rsidRPr="00FB0B53">
              <w:rPr>
                <w:i/>
                <w:iCs/>
                <w:color w:val="000000" w:themeColor="text1"/>
                <w:sz w:val="20"/>
                <w:szCs w:val="20"/>
              </w:rPr>
              <w:t>with measurable outputs (e.g., syntheses commissioned, policy tools developed); 80% of participants report improved relevance and collaboration.</w:t>
            </w:r>
          </w:p>
        </w:tc>
        <w:tc>
          <w:tcPr>
            <w:tcW w:w="3260" w:type="dxa"/>
          </w:tcPr>
          <w:p w14:paraId="1065BD05" w14:textId="677B10E6" w:rsidR="00791469" w:rsidRPr="001A3413" w:rsidRDefault="0058637F" w:rsidP="00910205">
            <w:pPr>
              <w:rPr>
                <w:color w:val="000000" w:themeColor="text1"/>
                <w:sz w:val="20"/>
                <w:szCs w:val="20"/>
              </w:rPr>
            </w:pPr>
            <w:r w:rsidRPr="0058637F">
              <w:rPr>
                <w:color w:val="000000" w:themeColor="text1"/>
                <w:sz w:val="20"/>
                <w:szCs w:val="20"/>
              </w:rPr>
              <w:t>WG3 grants to ensure tools are shared</w:t>
            </w:r>
            <w:r>
              <w:rPr>
                <w:color w:val="000000" w:themeColor="text1"/>
                <w:sz w:val="20"/>
                <w:szCs w:val="20"/>
              </w:rPr>
              <w:t xml:space="preserve"> also </w:t>
            </w:r>
            <w:r w:rsidRPr="0058637F">
              <w:rPr>
                <w:color w:val="000000" w:themeColor="text1"/>
                <w:sz w:val="20"/>
                <w:szCs w:val="20"/>
              </w:rPr>
              <w:t>focus</w:t>
            </w:r>
            <w:r>
              <w:rPr>
                <w:color w:val="000000" w:themeColor="text1"/>
                <w:sz w:val="20"/>
                <w:szCs w:val="20"/>
              </w:rPr>
              <w:t>es</w:t>
            </w:r>
            <w:r w:rsidRPr="0058637F">
              <w:rPr>
                <w:color w:val="000000" w:themeColor="text1"/>
                <w:sz w:val="20"/>
                <w:szCs w:val="20"/>
              </w:rPr>
              <w:t xml:space="preserve"> on user-centred, and equitable implementation.</w:t>
            </w:r>
          </w:p>
        </w:tc>
      </w:tr>
      <w:tr w:rsidR="00791469" w:rsidRPr="00B764FA" w14:paraId="7BAB447F" w14:textId="77777777" w:rsidTr="00DC162C">
        <w:trPr>
          <w:trHeight w:val="83"/>
        </w:trPr>
        <w:tc>
          <w:tcPr>
            <w:tcW w:w="2547" w:type="dxa"/>
            <w:hideMark/>
          </w:tcPr>
          <w:p w14:paraId="6CC7E2CE" w14:textId="77777777" w:rsidR="00791469" w:rsidRPr="001A3413" w:rsidRDefault="00791469" w:rsidP="00910205">
            <w:pPr>
              <w:rPr>
                <w:color w:val="000000" w:themeColor="text1"/>
                <w:sz w:val="20"/>
                <w:szCs w:val="20"/>
              </w:rPr>
            </w:pPr>
            <w:r w:rsidRPr="001A3413">
              <w:rPr>
                <w:color w:val="000000" w:themeColor="text1"/>
                <w:sz w:val="20"/>
                <w:szCs w:val="20"/>
              </w:rPr>
              <w:t>Disconnect between policy questions and synthesis outputs; duplication of efforts; lack of visibility on shared priorities across systems.</w:t>
            </w:r>
          </w:p>
        </w:tc>
        <w:tc>
          <w:tcPr>
            <w:tcW w:w="1681" w:type="dxa"/>
            <w:shd w:val="clear" w:color="auto" w:fill="DAE9F7" w:themeFill="text2" w:themeFillTint="1A"/>
            <w:hideMark/>
          </w:tcPr>
          <w:p w14:paraId="4B54E76E" w14:textId="0800513C" w:rsidR="00791469" w:rsidRPr="001A3413" w:rsidRDefault="00791469" w:rsidP="00910205">
            <w:pPr>
              <w:rPr>
                <w:b/>
                <w:bCs/>
                <w:color w:val="000000" w:themeColor="text1"/>
                <w:sz w:val="20"/>
                <w:szCs w:val="20"/>
              </w:rPr>
            </w:pPr>
            <w:r w:rsidRPr="001A3413">
              <w:rPr>
                <w:b/>
                <w:bCs/>
                <w:color w:val="000000" w:themeColor="text1"/>
                <w:sz w:val="20"/>
                <w:szCs w:val="20"/>
              </w:rPr>
              <w:t xml:space="preserve">Develop </w:t>
            </w:r>
            <w:r w:rsidR="00036070">
              <w:rPr>
                <w:b/>
                <w:bCs/>
                <w:color w:val="000000" w:themeColor="text1"/>
                <w:sz w:val="20"/>
                <w:szCs w:val="20"/>
              </w:rPr>
              <w:t xml:space="preserve">Thematic </w:t>
            </w:r>
            <w:r w:rsidRPr="001A3413">
              <w:rPr>
                <w:b/>
                <w:bCs/>
                <w:color w:val="000000" w:themeColor="text1"/>
                <w:sz w:val="20"/>
                <w:szCs w:val="20"/>
              </w:rPr>
              <w:t xml:space="preserve">Repositories </w:t>
            </w:r>
            <w:r w:rsidR="00036070">
              <w:rPr>
                <w:b/>
                <w:bCs/>
                <w:color w:val="000000" w:themeColor="text1"/>
                <w:sz w:val="20"/>
                <w:szCs w:val="20"/>
              </w:rPr>
              <w:t xml:space="preserve">(incl. </w:t>
            </w:r>
            <w:r w:rsidR="00910205">
              <w:rPr>
                <w:b/>
                <w:bCs/>
                <w:color w:val="000000" w:themeColor="text1"/>
                <w:sz w:val="20"/>
                <w:szCs w:val="20"/>
              </w:rPr>
              <w:t xml:space="preserve">question </w:t>
            </w:r>
            <w:r w:rsidR="00910205" w:rsidRPr="001A3413">
              <w:rPr>
                <w:b/>
                <w:bCs/>
                <w:color w:val="000000" w:themeColor="text1"/>
                <w:sz w:val="20"/>
                <w:szCs w:val="20"/>
              </w:rPr>
              <w:t>banks</w:t>
            </w:r>
            <w:r w:rsidR="00036070">
              <w:rPr>
                <w:b/>
                <w:bCs/>
                <w:color w:val="000000" w:themeColor="text1"/>
                <w:sz w:val="20"/>
                <w:szCs w:val="20"/>
              </w:rPr>
              <w:t>)</w:t>
            </w:r>
          </w:p>
        </w:tc>
        <w:tc>
          <w:tcPr>
            <w:tcW w:w="1392" w:type="dxa"/>
            <w:hideMark/>
          </w:tcPr>
          <w:p w14:paraId="133F44B3" w14:textId="77777777" w:rsidR="00791469" w:rsidRPr="001A3413" w:rsidRDefault="00791469" w:rsidP="00910205">
            <w:pPr>
              <w:rPr>
                <w:color w:val="000000" w:themeColor="text1"/>
                <w:sz w:val="20"/>
                <w:szCs w:val="20"/>
              </w:rPr>
            </w:pPr>
            <w:r w:rsidRPr="001A3413">
              <w:rPr>
                <w:color w:val="000000" w:themeColor="text1"/>
                <w:sz w:val="20"/>
                <w:szCs w:val="20"/>
              </w:rPr>
              <w:t>(a) Evidence synthesis infrastructure</w:t>
            </w:r>
          </w:p>
        </w:tc>
        <w:tc>
          <w:tcPr>
            <w:tcW w:w="2880" w:type="dxa"/>
            <w:hideMark/>
          </w:tcPr>
          <w:p w14:paraId="7D3B436B" w14:textId="77777777" w:rsidR="00791469" w:rsidRPr="001A3413" w:rsidRDefault="00791469" w:rsidP="00910205">
            <w:pPr>
              <w:rPr>
                <w:color w:val="000000" w:themeColor="text1"/>
                <w:sz w:val="20"/>
                <w:szCs w:val="20"/>
              </w:rPr>
            </w:pPr>
            <w:r w:rsidRPr="001A3413">
              <w:rPr>
                <w:color w:val="000000" w:themeColor="text1"/>
                <w:sz w:val="20"/>
                <w:szCs w:val="20"/>
              </w:rPr>
              <w:t>Provides a transparent, shared interface between demand and supply sides. Could be linked with AI and real-time evidence platforms. Enhances coordination and reuse of synthesis.</w:t>
            </w:r>
          </w:p>
        </w:tc>
        <w:tc>
          <w:tcPr>
            <w:tcW w:w="3119" w:type="dxa"/>
            <w:hideMark/>
          </w:tcPr>
          <w:p w14:paraId="65964925" w14:textId="77777777" w:rsidR="00791469" w:rsidRPr="001A3413" w:rsidRDefault="00791469" w:rsidP="00910205">
            <w:pPr>
              <w:rPr>
                <w:color w:val="000000" w:themeColor="text1"/>
                <w:sz w:val="20"/>
                <w:szCs w:val="20"/>
              </w:rPr>
            </w:pPr>
            <w:r w:rsidRPr="001A3413">
              <w:rPr>
                <w:color w:val="000000" w:themeColor="text1"/>
                <w:sz w:val="20"/>
                <w:szCs w:val="20"/>
              </w:rPr>
              <w:t>More timely and targeted synthesis outputs; decreased duplication; increased engagement in priority-setting by policymakers and communities.</w:t>
            </w:r>
          </w:p>
        </w:tc>
        <w:tc>
          <w:tcPr>
            <w:tcW w:w="3118" w:type="dxa"/>
            <w:hideMark/>
          </w:tcPr>
          <w:p w14:paraId="5180F239" w14:textId="57FE3A64" w:rsidR="00791469" w:rsidRPr="00FB0B53" w:rsidRDefault="00791469" w:rsidP="00910205">
            <w:pPr>
              <w:rPr>
                <w:i/>
                <w:iCs/>
                <w:color w:val="000000" w:themeColor="text1"/>
                <w:sz w:val="20"/>
                <w:szCs w:val="20"/>
              </w:rPr>
            </w:pPr>
            <w:r w:rsidRPr="00FB0B53">
              <w:rPr>
                <w:i/>
                <w:iCs/>
                <w:color w:val="000000" w:themeColor="text1"/>
                <w:sz w:val="20"/>
                <w:szCs w:val="20"/>
              </w:rPr>
              <w:t xml:space="preserve">By </w:t>
            </w:r>
            <w:r w:rsidR="00BF7A45">
              <w:rPr>
                <w:i/>
                <w:iCs/>
                <w:color w:val="000000" w:themeColor="text1"/>
                <w:sz w:val="20"/>
                <w:szCs w:val="20"/>
              </w:rPr>
              <w:t xml:space="preserve">end </w:t>
            </w:r>
            <w:r w:rsidRPr="00FB0B53">
              <w:rPr>
                <w:i/>
                <w:iCs/>
                <w:color w:val="000000" w:themeColor="text1"/>
                <w:sz w:val="20"/>
                <w:szCs w:val="20"/>
              </w:rPr>
              <w:t xml:space="preserve">2026, </w:t>
            </w:r>
            <w:r w:rsidR="009E4CE6">
              <w:rPr>
                <w:i/>
                <w:iCs/>
                <w:color w:val="000000" w:themeColor="text1"/>
                <w:sz w:val="20"/>
                <w:szCs w:val="20"/>
              </w:rPr>
              <w:t xml:space="preserve">1 </w:t>
            </w:r>
            <w:r w:rsidRPr="00FB0B53">
              <w:rPr>
                <w:i/>
                <w:iCs/>
                <w:color w:val="000000" w:themeColor="text1"/>
                <w:sz w:val="20"/>
                <w:szCs w:val="20"/>
              </w:rPr>
              <w:t>operational repositor</w:t>
            </w:r>
            <w:r w:rsidR="009E4CE6">
              <w:rPr>
                <w:i/>
                <w:iCs/>
                <w:color w:val="000000" w:themeColor="text1"/>
                <w:sz w:val="20"/>
                <w:szCs w:val="20"/>
              </w:rPr>
              <w:t>y globally with</w:t>
            </w:r>
            <w:r w:rsidRPr="00FB0B53">
              <w:rPr>
                <w:i/>
                <w:iCs/>
                <w:color w:val="000000" w:themeColor="text1"/>
                <w:sz w:val="20"/>
                <w:szCs w:val="20"/>
              </w:rPr>
              <w:t xml:space="preserve"> in </w:t>
            </w:r>
            <w:r w:rsidR="009724C3">
              <w:rPr>
                <w:i/>
                <w:iCs/>
                <w:color w:val="000000" w:themeColor="text1"/>
                <w:sz w:val="20"/>
                <w:szCs w:val="20"/>
              </w:rPr>
              <w:t>1-</w:t>
            </w:r>
            <w:r w:rsidR="00BF7A45">
              <w:rPr>
                <w:i/>
                <w:iCs/>
                <w:color w:val="000000" w:themeColor="text1"/>
                <w:sz w:val="20"/>
                <w:szCs w:val="20"/>
              </w:rPr>
              <w:t>2</w:t>
            </w:r>
            <w:r w:rsidRPr="00FB0B53">
              <w:rPr>
                <w:i/>
                <w:iCs/>
                <w:color w:val="000000" w:themeColor="text1"/>
                <w:sz w:val="20"/>
                <w:szCs w:val="20"/>
              </w:rPr>
              <w:t xml:space="preserve"> region</w:t>
            </w:r>
            <w:r w:rsidR="009724C3">
              <w:rPr>
                <w:i/>
                <w:iCs/>
                <w:color w:val="000000" w:themeColor="text1"/>
                <w:sz w:val="20"/>
                <w:szCs w:val="20"/>
              </w:rPr>
              <w:t>al</w:t>
            </w:r>
            <w:r w:rsidRPr="00FB0B53">
              <w:rPr>
                <w:i/>
                <w:iCs/>
                <w:color w:val="000000" w:themeColor="text1"/>
                <w:sz w:val="20"/>
                <w:szCs w:val="20"/>
              </w:rPr>
              <w:t xml:space="preserve"> or sectors</w:t>
            </w:r>
            <w:r w:rsidR="009724C3">
              <w:rPr>
                <w:i/>
                <w:iCs/>
                <w:color w:val="000000" w:themeColor="text1"/>
                <w:sz w:val="20"/>
                <w:szCs w:val="20"/>
              </w:rPr>
              <w:t xml:space="preserve"> being established</w:t>
            </w:r>
            <w:r w:rsidRPr="00FB0B53">
              <w:rPr>
                <w:i/>
                <w:iCs/>
                <w:color w:val="000000" w:themeColor="text1"/>
                <w:sz w:val="20"/>
                <w:szCs w:val="20"/>
              </w:rPr>
              <w:t xml:space="preserve">; minimum 100 curated questions, </w:t>
            </w:r>
            <w:r w:rsidR="00CC23C8">
              <w:rPr>
                <w:i/>
                <w:iCs/>
                <w:color w:val="000000" w:themeColor="text1"/>
                <w:sz w:val="20"/>
                <w:szCs w:val="20"/>
              </w:rPr>
              <w:t>1</w:t>
            </w:r>
            <w:r w:rsidRPr="00FB0B53">
              <w:rPr>
                <w:i/>
                <w:iCs/>
                <w:color w:val="000000" w:themeColor="text1"/>
                <w:sz w:val="20"/>
                <w:szCs w:val="20"/>
              </w:rPr>
              <w:t>5 co-produced syntheses launched; regular user feedback integrated.</w:t>
            </w:r>
          </w:p>
        </w:tc>
        <w:tc>
          <w:tcPr>
            <w:tcW w:w="3260" w:type="dxa"/>
          </w:tcPr>
          <w:p w14:paraId="5DE37FD0" w14:textId="67050679" w:rsidR="00791469" w:rsidRPr="001A3413" w:rsidRDefault="00BC6F8C" w:rsidP="00910205">
            <w:pPr>
              <w:rPr>
                <w:color w:val="000000" w:themeColor="text1"/>
                <w:sz w:val="20"/>
                <w:szCs w:val="20"/>
              </w:rPr>
            </w:pPr>
            <w:r w:rsidRPr="00BC6F8C">
              <w:rPr>
                <w:color w:val="000000" w:themeColor="text1"/>
                <w:sz w:val="20"/>
                <w:szCs w:val="20"/>
              </w:rPr>
              <w:t>WG5 Living Horizon and Environmental Scanning may overlap</w:t>
            </w:r>
            <w:r w:rsidR="00A53B84">
              <w:rPr>
                <w:color w:val="000000" w:themeColor="text1"/>
                <w:sz w:val="20"/>
                <w:szCs w:val="20"/>
              </w:rPr>
              <w:t xml:space="preserve"> with some operational aspects of the repositories;</w:t>
            </w:r>
            <w:r w:rsidR="00874401">
              <w:rPr>
                <w:color w:val="000000" w:themeColor="text1"/>
                <w:sz w:val="20"/>
                <w:szCs w:val="20"/>
              </w:rPr>
              <w:t xml:space="preserve"> </w:t>
            </w:r>
            <w:r w:rsidR="00960812">
              <w:rPr>
                <w:color w:val="000000" w:themeColor="text1"/>
                <w:sz w:val="20"/>
                <w:szCs w:val="20"/>
              </w:rPr>
              <w:t>Other repositories</w:t>
            </w:r>
            <w:r w:rsidR="004C5EE2">
              <w:rPr>
                <w:color w:val="000000" w:themeColor="text1"/>
                <w:sz w:val="20"/>
                <w:szCs w:val="20"/>
              </w:rPr>
              <w:t xml:space="preserve"> different purpose</w:t>
            </w:r>
            <w:r w:rsidR="00960812">
              <w:rPr>
                <w:color w:val="000000" w:themeColor="text1"/>
                <w:sz w:val="20"/>
                <w:szCs w:val="20"/>
              </w:rPr>
              <w:t xml:space="preserve"> (</w:t>
            </w:r>
            <w:r w:rsidR="00874401">
              <w:rPr>
                <w:color w:val="000000" w:themeColor="text1"/>
                <w:sz w:val="20"/>
                <w:szCs w:val="20"/>
              </w:rPr>
              <w:t xml:space="preserve">WG2 living evidence </w:t>
            </w:r>
            <w:r w:rsidR="00D6586D">
              <w:rPr>
                <w:color w:val="000000" w:themeColor="text1"/>
                <w:sz w:val="20"/>
                <w:szCs w:val="20"/>
              </w:rPr>
              <w:t>repository; WG</w:t>
            </w:r>
            <w:r w:rsidR="00960812">
              <w:rPr>
                <w:color w:val="000000" w:themeColor="text1"/>
                <w:sz w:val="20"/>
                <w:szCs w:val="20"/>
              </w:rPr>
              <w:t>4 evidence repository</w:t>
            </w:r>
            <w:r w:rsidR="004C5EE2">
              <w:rPr>
                <w:color w:val="000000" w:themeColor="text1"/>
                <w:sz w:val="20"/>
                <w:szCs w:val="20"/>
              </w:rPr>
              <w:t>)</w:t>
            </w:r>
          </w:p>
        </w:tc>
      </w:tr>
      <w:tr w:rsidR="00791469" w:rsidRPr="00B764FA" w14:paraId="64B7C2C7" w14:textId="77777777" w:rsidTr="00DC162C">
        <w:trPr>
          <w:trHeight w:val="98"/>
        </w:trPr>
        <w:tc>
          <w:tcPr>
            <w:tcW w:w="2547" w:type="dxa"/>
            <w:hideMark/>
          </w:tcPr>
          <w:p w14:paraId="746FB897" w14:textId="77777777" w:rsidR="00791469" w:rsidRPr="001A3413" w:rsidRDefault="00791469" w:rsidP="00910205">
            <w:pPr>
              <w:rPr>
                <w:color w:val="000000" w:themeColor="text1"/>
                <w:sz w:val="20"/>
                <w:szCs w:val="20"/>
              </w:rPr>
            </w:pPr>
            <w:r w:rsidRPr="001A3413">
              <w:rPr>
                <w:color w:val="000000" w:themeColor="text1"/>
                <w:sz w:val="20"/>
                <w:szCs w:val="20"/>
              </w:rPr>
              <w:t>Limited resources for end-users to apply evidence synthesis in real-time decision-making; lack of experimentation or innovation at point of use.</w:t>
            </w:r>
          </w:p>
        </w:tc>
        <w:tc>
          <w:tcPr>
            <w:tcW w:w="1681" w:type="dxa"/>
            <w:shd w:val="clear" w:color="auto" w:fill="DAE9F7" w:themeFill="text2" w:themeFillTint="1A"/>
            <w:hideMark/>
          </w:tcPr>
          <w:p w14:paraId="7D096DD1" w14:textId="77777777" w:rsidR="00791469" w:rsidRPr="001A3413" w:rsidRDefault="00791469" w:rsidP="00910205">
            <w:pPr>
              <w:rPr>
                <w:b/>
                <w:bCs/>
                <w:color w:val="000000" w:themeColor="text1"/>
                <w:sz w:val="20"/>
                <w:szCs w:val="20"/>
              </w:rPr>
            </w:pPr>
            <w:r w:rsidRPr="001A3413">
              <w:rPr>
                <w:b/>
                <w:bCs/>
                <w:color w:val="000000" w:themeColor="text1"/>
                <w:sz w:val="20"/>
                <w:szCs w:val="20"/>
              </w:rPr>
              <w:t>Provide Grants to End-Users</w:t>
            </w:r>
          </w:p>
        </w:tc>
        <w:tc>
          <w:tcPr>
            <w:tcW w:w="1392" w:type="dxa"/>
            <w:hideMark/>
          </w:tcPr>
          <w:p w14:paraId="6DC6D998" w14:textId="77777777" w:rsidR="00791469" w:rsidRPr="001A3413" w:rsidRDefault="00791469" w:rsidP="00910205">
            <w:pPr>
              <w:rPr>
                <w:color w:val="000000" w:themeColor="text1"/>
                <w:sz w:val="20"/>
                <w:szCs w:val="20"/>
              </w:rPr>
            </w:pPr>
            <w:r w:rsidRPr="001A3413">
              <w:rPr>
                <w:color w:val="000000" w:themeColor="text1"/>
                <w:sz w:val="20"/>
                <w:szCs w:val="20"/>
              </w:rPr>
              <w:t>(c) Projects</w:t>
            </w:r>
          </w:p>
        </w:tc>
        <w:tc>
          <w:tcPr>
            <w:tcW w:w="2880" w:type="dxa"/>
            <w:hideMark/>
          </w:tcPr>
          <w:p w14:paraId="00968100" w14:textId="77777777" w:rsidR="00791469" w:rsidRPr="001A3413" w:rsidRDefault="00791469" w:rsidP="00910205">
            <w:pPr>
              <w:rPr>
                <w:color w:val="000000" w:themeColor="text1"/>
                <w:sz w:val="20"/>
                <w:szCs w:val="20"/>
              </w:rPr>
            </w:pPr>
            <w:r w:rsidRPr="001A3413">
              <w:rPr>
                <w:color w:val="000000" w:themeColor="text1"/>
                <w:sz w:val="20"/>
                <w:szCs w:val="20"/>
              </w:rPr>
              <w:t>Shifts control and experimentation to demand-side actors. Allows bottom-up innovation and embedded practice of synthesis use.</w:t>
            </w:r>
          </w:p>
        </w:tc>
        <w:tc>
          <w:tcPr>
            <w:tcW w:w="3119" w:type="dxa"/>
            <w:hideMark/>
          </w:tcPr>
          <w:p w14:paraId="28DF9C51" w14:textId="77777777" w:rsidR="00791469" w:rsidRPr="001A3413" w:rsidRDefault="00791469" w:rsidP="00910205">
            <w:pPr>
              <w:rPr>
                <w:color w:val="000000" w:themeColor="text1"/>
                <w:sz w:val="20"/>
                <w:szCs w:val="20"/>
              </w:rPr>
            </w:pPr>
            <w:r w:rsidRPr="001A3413">
              <w:rPr>
                <w:color w:val="000000" w:themeColor="text1"/>
                <w:sz w:val="20"/>
                <w:szCs w:val="20"/>
              </w:rPr>
              <w:t>Greater evidence use in real-world contexts. Encourages diversity of approaches and empowers actors in low-capacity or underserved areas. Especially useful for local governments, CSOs, or front-line implementers.</w:t>
            </w:r>
          </w:p>
        </w:tc>
        <w:tc>
          <w:tcPr>
            <w:tcW w:w="3118" w:type="dxa"/>
            <w:hideMark/>
          </w:tcPr>
          <w:p w14:paraId="257C9590" w14:textId="68C06044" w:rsidR="00791469" w:rsidRPr="00FB0B53" w:rsidRDefault="00791469" w:rsidP="00910205">
            <w:pPr>
              <w:rPr>
                <w:i/>
                <w:iCs/>
                <w:color w:val="000000" w:themeColor="text1"/>
                <w:sz w:val="20"/>
                <w:szCs w:val="20"/>
              </w:rPr>
            </w:pPr>
            <w:r w:rsidRPr="00FB0B53">
              <w:rPr>
                <w:i/>
                <w:iCs/>
                <w:color w:val="000000" w:themeColor="text1"/>
                <w:sz w:val="20"/>
                <w:szCs w:val="20"/>
              </w:rPr>
              <w:t xml:space="preserve">By </w:t>
            </w:r>
            <w:r w:rsidR="00B62668">
              <w:rPr>
                <w:i/>
                <w:iCs/>
                <w:color w:val="000000" w:themeColor="text1"/>
                <w:sz w:val="20"/>
                <w:szCs w:val="20"/>
              </w:rPr>
              <w:t xml:space="preserve">end </w:t>
            </w:r>
            <w:r w:rsidRPr="00FB0B53">
              <w:rPr>
                <w:i/>
                <w:iCs/>
                <w:color w:val="000000" w:themeColor="text1"/>
                <w:sz w:val="20"/>
                <w:szCs w:val="20"/>
              </w:rPr>
              <w:t>202</w:t>
            </w:r>
            <w:r w:rsidR="00C674B7">
              <w:rPr>
                <w:i/>
                <w:iCs/>
                <w:color w:val="000000" w:themeColor="text1"/>
                <w:sz w:val="20"/>
                <w:szCs w:val="20"/>
              </w:rPr>
              <w:t>7</w:t>
            </w:r>
            <w:r w:rsidRPr="00FB0B53">
              <w:rPr>
                <w:i/>
                <w:iCs/>
                <w:color w:val="000000" w:themeColor="text1"/>
                <w:sz w:val="20"/>
                <w:szCs w:val="20"/>
              </w:rPr>
              <w:t>, 50+ micro-grants awarded; evidence-informed policies adopted in 15+ institutions; learning from grant-funded pilots synthesi</w:t>
            </w:r>
            <w:r w:rsidR="007F1BD5">
              <w:rPr>
                <w:i/>
                <w:iCs/>
                <w:color w:val="000000" w:themeColor="text1"/>
                <w:sz w:val="20"/>
                <w:szCs w:val="20"/>
              </w:rPr>
              <w:t>s</w:t>
            </w:r>
            <w:r w:rsidRPr="00FB0B53">
              <w:rPr>
                <w:i/>
                <w:iCs/>
                <w:color w:val="000000" w:themeColor="text1"/>
                <w:sz w:val="20"/>
                <w:szCs w:val="20"/>
              </w:rPr>
              <w:t>ed and shared.</w:t>
            </w:r>
          </w:p>
        </w:tc>
        <w:tc>
          <w:tcPr>
            <w:tcW w:w="3260" w:type="dxa"/>
          </w:tcPr>
          <w:p w14:paraId="22CB1A2C" w14:textId="79D8FC70" w:rsidR="00791469" w:rsidRPr="001A3413" w:rsidRDefault="00986B17" w:rsidP="00910205">
            <w:pPr>
              <w:rPr>
                <w:color w:val="000000" w:themeColor="text1"/>
                <w:sz w:val="20"/>
                <w:szCs w:val="20"/>
              </w:rPr>
            </w:pPr>
            <w:r w:rsidRPr="00986B17">
              <w:rPr>
                <w:color w:val="000000" w:themeColor="text1"/>
                <w:sz w:val="20"/>
                <w:szCs w:val="20"/>
              </w:rPr>
              <w:t xml:space="preserve">WG5 Global Synthesis Innovation Fund – may </w:t>
            </w:r>
            <w:r>
              <w:rPr>
                <w:color w:val="000000" w:themeColor="text1"/>
                <w:sz w:val="20"/>
                <w:szCs w:val="20"/>
              </w:rPr>
              <w:t>link</w:t>
            </w:r>
            <w:r w:rsidRPr="00986B17">
              <w:rPr>
                <w:color w:val="000000" w:themeColor="text1"/>
                <w:sz w:val="20"/>
                <w:szCs w:val="20"/>
              </w:rPr>
              <w:t xml:space="preserve"> with WG1 activity grants to end users</w:t>
            </w:r>
          </w:p>
        </w:tc>
      </w:tr>
    </w:tbl>
    <w:p w14:paraId="44C0A597" w14:textId="77777777" w:rsidR="00791469" w:rsidRDefault="00791469" w:rsidP="000164E4">
      <w:pPr>
        <w:jc w:val="both"/>
        <w:rPr>
          <w:color w:val="0B769F" w:themeColor="accent4" w:themeShade="BF"/>
          <w:lang w:val="en-US"/>
        </w:rPr>
      </w:pPr>
    </w:p>
    <w:sectPr w:rsidR="00791469" w:rsidSect="00791469">
      <w:pgSz w:w="20160" w:h="12240" w:orient="landscape" w:code="5"/>
      <w:pgMar w:top="851" w:right="284" w:bottom="1134" w:left="1134" w:header="709" w:footer="6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890DD" w14:textId="77777777" w:rsidR="00FC73E1" w:rsidRDefault="00FC73E1" w:rsidP="00676559">
      <w:pPr>
        <w:spacing w:after="0" w:line="240" w:lineRule="auto"/>
      </w:pPr>
      <w:r>
        <w:separator/>
      </w:r>
    </w:p>
  </w:endnote>
  <w:endnote w:type="continuationSeparator" w:id="0">
    <w:p w14:paraId="1D512373" w14:textId="77777777" w:rsidR="00FC73E1" w:rsidRDefault="00FC73E1" w:rsidP="00676559">
      <w:pPr>
        <w:spacing w:after="0" w:line="240" w:lineRule="auto"/>
      </w:pPr>
      <w:r>
        <w:continuationSeparator/>
      </w:r>
    </w:p>
  </w:endnote>
  <w:endnote w:type="continuationNotice" w:id="1">
    <w:p w14:paraId="70159E3F" w14:textId="77777777" w:rsidR="00FC73E1" w:rsidRDefault="00FC73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roman"/>
    <w:pitch w:val="default"/>
    <w:embedRegular r:id="rId1" w:fontKey="{E73E4653-AC44-490D-83BE-4D3D63BF11AB}"/>
    <w:embedBold r:id="rId2" w:fontKey="{264FB031-38EA-4E9B-9611-DABC662EE775}"/>
    <w:embedItalic r:id="rId3" w:fontKey="{FDBC7288-D7CD-4271-81A1-C120D419598E}"/>
  </w:font>
  <w:font w:name="Arial">
    <w:panose1 w:val="020B0604020202020204"/>
    <w:charset w:val="00"/>
    <w:family w:val="swiss"/>
    <w:pitch w:val="variable"/>
    <w:sig w:usb0="E0002EFF" w:usb1="C000785B" w:usb2="00000009" w:usb3="00000000" w:csb0="000001FF" w:csb1="00000000"/>
  </w:font>
  <w:font w:name="Aptos Display">
    <w:charset w:val="00"/>
    <w:family w:val="roman"/>
    <w:pitch w:val="default"/>
    <w:embedRegular r:id="rId4" w:subsetted="1" w:fontKey="{9E47B933-FBD9-466B-B0DA-08E980DA052C}"/>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embedRegular r:id="rId5" w:subsetted="1" w:fontKey="{C96FE8E2-13B3-4CC4-9320-A3DF62D292FB}"/>
  </w:font>
  <w:font w:name="Arial Narrow">
    <w:charset w:val="00"/>
    <w:family w:val="swiss"/>
    <w:pitch w:val="variable"/>
    <w:sig w:usb0="00000287" w:usb1="000008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362399"/>
      <w:docPartObj>
        <w:docPartGallery w:val="Page Numbers (Bottom of Page)"/>
        <w:docPartUnique/>
      </w:docPartObj>
    </w:sdtPr>
    <w:sdtEndPr>
      <w:rPr>
        <w:rStyle w:val="PageNumber"/>
      </w:rPr>
    </w:sdtEndPr>
    <w:sdtContent>
      <w:p w14:paraId="0C278892" w14:textId="3CF5F77B" w:rsidR="00B31BC8" w:rsidRDefault="00B31BC8" w:rsidP="00AD0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F429B">
          <w:rPr>
            <w:rStyle w:val="PageNumber"/>
            <w:noProof/>
          </w:rPr>
          <w:t>1</w:t>
        </w:r>
        <w:r>
          <w:rPr>
            <w:rStyle w:val="PageNumber"/>
          </w:rPr>
          <w:fldChar w:fldCharType="end"/>
        </w:r>
      </w:p>
    </w:sdtContent>
  </w:sdt>
  <w:p w14:paraId="3CEE0AAB" w14:textId="77777777" w:rsidR="00B31BC8" w:rsidRDefault="00B31BC8" w:rsidP="00B31B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4400639"/>
      <w:docPartObj>
        <w:docPartGallery w:val="Page Numbers (Bottom of Page)"/>
        <w:docPartUnique/>
      </w:docPartObj>
    </w:sdtPr>
    <w:sdtEndPr>
      <w:rPr>
        <w:rStyle w:val="PageNumber"/>
        <w:b/>
        <w:bCs/>
        <w:color w:val="0B769F" w:themeColor="accent4" w:themeShade="BF"/>
        <w:sz w:val="20"/>
        <w:szCs w:val="20"/>
      </w:rPr>
    </w:sdtEndPr>
    <w:sdtContent>
      <w:p w14:paraId="40D94417" w14:textId="14C744A1" w:rsidR="00AD08CA" w:rsidRDefault="00AD08CA" w:rsidP="007F32E1">
        <w:pPr>
          <w:pStyle w:val="Footer"/>
          <w:framePr w:wrap="none" w:vAnchor="text" w:hAnchor="margin" w:xAlign="right" w:y="162"/>
          <w:rPr>
            <w:rStyle w:val="PageNumber"/>
          </w:rPr>
        </w:pPr>
        <w:r w:rsidRPr="007F32E1">
          <w:rPr>
            <w:rStyle w:val="PageNumber"/>
            <w:b/>
            <w:bCs/>
            <w:sz w:val="20"/>
            <w:szCs w:val="20"/>
          </w:rPr>
          <w:fldChar w:fldCharType="begin"/>
        </w:r>
        <w:r w:rsidRPr="007F32E1">
          <w:rPr>
            <w:rStyle w:val="PageNumber"/>
            <w:b/>
            <w:bCs/>
            <w:sz w:val="20"/>
            <w:szCs w:val="20"/>
          </w:rPr>
          <w:instrText xml:space="preserve"> PAGE </w:instrText>
        </w:r>
        <w:r w:rsidRPr="007F32E1">
          <w:rPr>
            <w:rStyle w:val="PageNumber"/>
            <w:b/>
            <w:bCs/>
            <w:sz w:val="20"/>
            <w:szCs w:val="20"/>
          </w:rPr>
          <w:fldChar w:fldCharType="separate"/>
        </w:r>
        <w:r w:rsidRPr="007F32E1">
          <w:rPr>
            <w:rStyle w:val="PageNumber"/>
            <w:b/>
            <w:bCs/>
            <w:noProof/>
            <w:sz w:val="20"/>
            <w:szCs w:val="20"/>
          </w:rPr>
          <w:t>1</w:t>
        </w:r>
        <w:r w:rsidRPr="007F32E1">
          <w:rPr>
            <w:rStyle w:val="PageNumber"/>
            <w:b/>
            <w:bCs/>
            <w:sz w:val="20"/>
            <w:szCs w:val="20"/>
          </w:rPr>
          <w:fldChar w:fldCharType="end"/>
        </w:r>
      </w:p>
    </w:sdtContent>
  </w:sdt>
  <w:p w14:paraId="0FFFEB82" w14:textId="1C38ADA1" w:rsidR="00DB3FAD" w:rsidRPr="00B31BC8" w:rsidRDefault="00DB3FAD" w:rsidP="00B31BC8">
    <w:pPr>
      <w:pStyle w:val="Footer"/>
      <w:ind w:right="360"/>
      <w:jc w:val="right"/>
      <w:rPr>
        <w:rFonts w:ascii="Arial Narrow" w:hAnsi="Arial Narrow"/>
        <w:color w:val="000000" w:themeColor="text1"/>
        <w:sz w:val="22"/>
        <w:szCs w:val="22"/>
      </w:rPr>
    </w:pPr>
  </w:p>
  <w:p w14:paraId="79C1A483" w14:textId="105D3AAB" w:rsidR="00586698" w:rsidRPr="003F5579" w:rsidRDefault="007A62B5" w:rsidP="007A62B5">
    <w:pPr>
      <w:pStyle w:val="Footer"/>
      <w:jc w:val="center"/>
      <w:rPr>
        <w:rFonts w:ascii="Arial" w:hAnsi="Arial" w:cs="Arial"/>
        <w:color w:val="156082" w:themeColor="accent1"/>
        <w:sz w:val="18"/>
        <w:szCs w:val="18"/>
      </w:rPr>
    </w:pPr>
    <w:r w:rsidRPr="003F5579">
      <w:rPr>
        <w:rFonts w:ascii="Arial" w:hAnsi="Arial" w:cs="Arial"/>
        <w:color w:val="156082" w:themeColor="accent1"/>
        <w:sz w:val="18"/>
        <w:szCs w:val="18"/>
      </w:rPr>
      <w:t>The</w:t>
    </w:r>
    <w:r w:rsidR="007B3035" w:rsidRPr="003F5579">
      <w:rPr>
        <w:rFonts w:ascii="Arial" w:hAnsi="Arial" w:cs="Arial"/>
        <w:color w:val="156082" w:themeColor="accent1"/>
        <w:sz w:val="18"/>
        <w:szCs w:val="18"/>
      </w:rPr>
      <w:t xml:space="preserve"> ESIC </w:t>
    </w:r>
    <w:r w:rsidRPr="003F5579">
      <w:rPr>
        <w:rFonts w:ascii="Arial" w:hAnsi="Arial" w:cs="Arial"/>
        <w:color w:val="156082" w:themeColor="accent1"/>
        <w:sz w:val="18"/>
        <w:szCs w:val="18"/>
      </w:rPr>
      <w:t>planning process is</w:t>
    </w:r>
    <w:r w:rsidR="00516FCA" w:rsidRPr="003F5579">
      <w:rPr>
        <w:rFonts w:ascii="Arial" w:hAnsi="Arial" w:cs="Arial"/>
        <w:color w:val="156082" w:themeColor="accent1"/>
        <w:sz w:val="18"/>
        <w:szCs w:val="18"/>
      </w:rPr>
      <w:t xml:space="preserve"> funded by the Wellcome Trust</w:t>
    </w:r>
    <w:r w:rsidR="00C8169B" w:rsidRPr="003F5579">
      <w:rPr>
        <w:rFonts w:ascii="Arial" w:hAnsi="Arial" w:cs="Arial"/>
        <w:color w:val="156082" w:themeColor="accent1"/>
        <w:sz w:val="18"/>
        <w:szCs w:val="18"/>
      </w:rPr>
      <w:t>.</w:t>
    </w:r>
    <w:r w:rsidR="004B5BF9" w:rsidRPr="003F5579">
      <w:rPr>
        <w:rFonts w:ascii="Arial" w:hAnsi="Arial" w:cs="Arial"/>
        <w:color w:val="156082" w:themeColor="accent1"/>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38FB" w14:textId="142B83B1" w:rsidR="00DA18B8" w:rsidRPr="003F5579" w:rsidRDefault="006B231D" w:rsidP="00DA18B8">
    <w:pPr>
      <w:pStyle w:val="Footer"/>
      <w:jc w:val="center"/>
      <w:rPr>
        <w:rFonts w:ascii="Arial" w:hAnsi="Arial" w:cs="Arial"/>
        <w:color w:val="156082" w:themeColor="accent1"/>
        <w:sz w:val="18"/>
        <w:szCs w:val="18"/>
      </w:rPr>
    </w:pPr>
    <w:r w:rsidRPr="00E562E1">
      <w:rPr>
        <w:rFonts w:asciiTheme="minorBidi" w:hAnsiTheme="minorBidi"/>
        <w:b/>
        <w:bCs/>
        <w:noProof/>
        <w:color w:val="156082" w:themeColor="accent1"/>
        <w:sz w:val="22"/>
        <w:szCs w:val="22"/>
      </w:rPr>
      <w:drawing>
        <wp:anchor distT="0" distB="0" distL="114300" distR="114300" simplePos="0" relativeHeight="251658240" behindDoc="0" locked="0" layoutInCell="1" allowOverlap="1" wp14:anchorId="189FCF0D" wp14:editId="3B2DADAA">
          <wp:simplePos x="0" y="0"/>
          <wp:positionH relativeFrom="margin">
            <wp:posOffset>820420</wp:posOffset>
          </wp:positionH>
          <wp:positionV relativeFrom="page">
            <wp:posOffset>10065385</wp:posOffset>
          </wp:positionV>
          <wp:extent cx="360000" cy="360000"/>
          <wp:effectExtent l="0" t="0" r="0" b="0"/>
          <wp:wrapNone/>
          <wp:docPr id="1662712343" name="Picture 2" descr="A blue sign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453" name="Picture 2" descr="A blue sign with black letters&#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A18B8" w:rsidRPr="003F5579">
      <w:rPr>
        <w:rFonts w:ascii="Arial" w:hAnsi="Arial" w:cs="Arial"/>
        <w:color w:val="156082" w:themeColor="accent1"/>
        <w:sz w:val="18"/>
        <w:szCs w:val="18"/>
      </w:rPr>
      <w:t xml:space="preserve">The ESIC planning process is funded by the Wellcome Trust.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1A887" w14:textId="77777777" w:rsidR="00FC73E1" w:rsidRDefault="00FC73E1" w:rsidP="00676559">
      <w:pPr>
        <w:spacing w:after="0" w:line="240" w:lineRule="auto"/>
      </w:pPr>
      <w:r>
        <w:separator/>
      </w:r>
    </w:p>
  </w:footnote>
  <w:footnote w:type="continuationSeparator" w:id="0">
    <w:p w14:paraId="083AEF6F" w14:textId="77777777" w:rsidR="00FC73E1" w:rsidRDefault="00FC73E1" w:rsidP="00676559">
      <w:pPr>
        <w:spacing w:after="0" w:line="240" w:lineRule="auto"/>
      </w:pPr>
      <w:r>
        <w:continuationSeparator/>
      </w:r>
    </w:p>
  </w:footnote>
  <w:footnote w:type="continuationNotice" w:id="1">
    <w:p w14:paraId="1B017CF0" w14:textId="77777777" w:rsidR="00FC73E1" w:rsidRDefault="00FC73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487B8" w14:textId="77777777" w:rsidR="006A5F63" w:rsidRDefault="006A5F63">
    <w:pPr>
      <w:pStyle w:val="Header"/>
    </w:pPr>
  </w:p>
  <w:p w14:paraId="4E8B202D" w14:textId="77777777" w:rsidR="006A5F63" w:rsidRDefault="006A5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F61"/>
    <w:multiLevelType w:val="hybridMultilevel"/>
    <w:tmpl w:val="BC0C9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44266D"/>
    <w:multiLevelType w:val="hybridMultilevel"/>
    <w:tmpl w:val="1D524786"/>
    <w:lvl w:ilvl="0" w:tplc="0C09000F">
      <w:start w:val="1"/>
      <w:numFmt w:val="decimal"/>
      <w:lvlText w:val="%1."/>
      <w:lvlJc w:val="left"/>
      <w:pPr>
        <w:ind w:left="720" w:hanging="360"/>
      </w:pPr>
    </w:lvl>
    <w:lvl w:ilvl="1" w:tplc="39F271BE">
      <w:numFmt w:val="bullet"/>
      <w:lvlText w:val="•"/>
      <w:lvlJc w:val="left"/>
      <w:pPr>
        <w:ind w:left="1800" w:hanging="720"/>
      </w:pPr>
      <w:rPr>
        <w:rFonts w:ascii="Aptos" w:eastAsiaTheme="minorHAnsi" w:hAnsi="Aptos"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C15C0B"/>
    <w:multiLevelType w:val="hybridMultilevel"/>
    <w:tmpl w:val="DD72F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270787"/>
    <w:multiLevelType w:val="hybridMultilevel"/>
    <w:tmpl w:val="7EB46734"/>
    <w:lvl w:ilvl="0" w:tplc="DC60EE46">
      <w:numFmt w:val="bullet"/>
      <w:lvlText w:val="-"/>
      <w:lvlJc w:val="left"/>
      <w:pPr>
        <w:ind w:left="400" w:hanging="360"/>
      </w:pPr>
      <w:rPr>
        <w:rFonts w:ascii="Aptos" w:eastAsiaTheme="minorHAnsi" w:hAnsi="Aptos" w:cstheme="minorBidi" w:hint="default"/>
      </w:rPr>
    </w:lvl>
    <w:lvl w:ilvl="1" w:tplc="0C090003" w:tentative="1">
      <w:start w:val="1"/>
      <w:numFmt w:val="bullet"/>
      <w:lvlText w:val="o"/>
      <w:lvlJc w:val="left"/>
      <w:pPr>
        <w:ind w:left="1120" w:hanging="360"/>
      </w:pPr>
      <w:rPr>
        <w:rFonts w:ascii="Courier New" w:hAnsi="Courier New" w:cs="Courier New" w:hint="default"/>
      </w:rPr>
    </w:lvl>
    <w:lvl w:ilvl="2" w:tplc="0C090005" w:tentative="1">
      <w:start w:val="1"/>
      <w:numFmt w:val="bullet"/>
      <w:lvlText w:val=""/>
      <w:lvlJc w:val="left"/>
      <w:pPr>
        <w:ind w:left="1840" w:hanging="360"/>
      </w:pPr>
      <w:rPr>
        <w:rFonts w:ascii="Wingdings" w:hAnsi="Wingdings" w:hint="default"/>
      </w:rPr>
    </w:lvl>
    <w:lvl w:ilvl="3" w:tplc="0C090001" w:tentative="1">
      <w:start w:val="1"/>
      <w:numFmt w:val="bullet"/>
      <w:lvlText w:val=""/>
      <w:lvlJc w:val="left"/>
      <w:pPr>
        <w:ind w:left="2560" w:hanging="360"/>
      </w:pPr>
      <w:rPr>
        <w:rFonts w:ascii="Symbol" w:hAnsi="Symbol" w:hint="default"/>
      </w:rPr>
    </w:lvl>
    <w:lvl w:ilvl="4" w:tplc="0C090003" w:tentative="1">
      <w:start w:val="1"/>
      <w:numFmt w:val="bullet"/>
      <w:lvlText w:val="o"/>
      <w:lvlJc w:val="left"/>
      <w:pPr>
        <w:ind w:left="3280" w:hanging="360"/>
      </w:pPr>
      <w:rPr>
        <w:rFonts w:ascii="Courier New" w:hAnsi="Courier New" w:cs="Courier New" w:hint="default"/>
      </w:rPr>
    </w:lvl>
    <w:lvl w:ilvl="5" w:tplc="0C090005" w:tentative="1">
      <w:start w:val="1"/>
      <w:numFmt w:val="bullet"/>
      <w:lvlText w:val=""/>
      <w:lvlJc w:val="left"/>
      <w:pPr>
        <w:ind w:left="4000" w:hanging="360"/>
      </w:pPr>
      <w:rPr>
        <w:rFonts w:ascii="Wingdings" w:hAnsi="Wingdings" w:hint="default"/>
      </w:rPr>
    </w:lvl>
    <w:lvl w:ilvl="6" w:tplc="0C090001" w:tentative="1">
      <w:start w:val="1"/>
      <w:numFmt w:val="bullet"/>
      <w:lvlText w:val=""/>
      <w:lvlJc w:val="left"/>
      <w:pPr>
        <w:ind w:left="4720" w:hanging="360"/>
      </w:pPr>
      <w:rPr>
        <w:rFonts w:ascii="Symbol" w:hAnsi="Symbol" w:hint="default"/>
      </w:rPr>
    </w:lvl>
    <w:lvl w:ilvl="7" w:tplc="0C090003" w:tentative="1">
      <w:start w:val="1"/>
      <w:numFmt w:val="bullet"/>
      <w:lvlText w:val="o"/>
      <w:lvlJc w:val="left"/>
      <w:pPr>
        <w:ind w:left="5440" w:hanging="360"/>
      </w:pPr>
      <w:rPr>
        <w:rFonts w:ascii="Courier New" w:hAnsi="Courier New" w:cs="Courier New" w:hint="default"/>
      </w:rPr>
    </w:lvl>
    <w:lvl w:ilvl="8" w:tplc="0C090005" w:tentative="1">
      <w:start w:val="1"/>
      <w:numFmt w:val="bullet"/>
      <w:lvlText w:val=""/>
      <w:lvlJc w:val="left"/>
      <w:pPr>
        <w:ind w:left="6160" w:hanging="360"/>
      </w:pPr>
      <w:rPr>
        <w:rFonts w:ascii="Wingdings" w:hAnsi="Wingdings" w:hint="default"/>
      </w:rPr>
    </w:lvl>
  </w:abstractNum>
  <w:abstractNum w:abstractNumId="4" w15:restartNumberingAfterBreak="0">
    <w:nsid w:val="07AB4F83"/>
    <w:multiLevelType w:val="multilevel"/>
    <w:tmpl w:val="35960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7E04853"/>
    <w:multiLevelType w:val="multilevel"/>
    <w:tmpl w:val="96C8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3579C"/>
    <w:multiLevelType w:val="multilevel"/>
    <w:tmpl w:val="A66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C51F0"/>
    <w:multiLevelType w:val="multilevel"/>
    <w:tmpl w:val="5F2209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1BF7F01"/>
    <w:multiLevelType w:val="hybridMultilevel"/>
    <w:tmpl w:val="BC5A449A"/>
    <w:lvl w:ilvl="0" w:tplc="11CC1C52">
      <w:start w:val="1"/>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9" w15:restartNumberingAfterBreak="0">
    <w:nsid w:val="147741E8"/>
    <w:multiLevelType w:val="hybridMultilevel"/>
    <w:tmpl w:val="59823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B546A2"/>
    <w:multiLevelType w:val="hybridMultilevel"/>
    <w:tmpl w:val="F6FCA49C"/>
    <w:lvl w:ilvl="0" w:tplc="7778CB4C">
      <w:start w:val="1"/>
      <w:numFmt w:val="decimal"/>
      <w:lvlText w:val="%1."/>
      <w:lvlJc w:val="left"/>
      <w:pPr>
        <w:ind w:left="720" w:hanging="360"/>
      </w:pPr>
    </w:lvl>
    <w:lvl w:ilvl="1" w:tplc="C33E923C">
      <w:start w:val="1"/>
      <w:numFmt w:val="decimal"/>
      <w:lvlText w:val="%2."/>
      <w:lvlJc w:val="left"/>
      <w:pPr>
        <w:ind w:left="720" w:hanging="360"/>
      </w:pPr>
    </w:lvl>
    <w:lvl w:ilvl="2" w:tplc="A72A88A4">
      <w:start w:val="1"/>
      <w:numFmt w:val="decimal"/>
      <w:lvlText w:val="%3."/>
      <w:lvlJc w:val="left"/>
      <w:pPr>
        <w:ind w:left="720" w:hanging="360"/>
      </w:pPr>
    </w:lvl>
    <w:lvl w:ilvl="3" w:tplc="7C8EB778">
      <w:start w:val="1"/>
      <w:numFmt w:val="decimal"/>
      <w:lvlText w:val="%4."/>
      <w:lvlJc w:val="left"/>
      <w:pPr>
        <w:ind w:left="720" w:hanging="360"/>
      </w:pPr>
    </w:lvl>
    <w:lvl w:ilvl="4" w:tplc="F14222D0">
      <w:start w:val="1"/>
      <w:numFmt w:val="decimal"/>
      <w:lvlText w:val="%5."/>
      <w:lvlJc w:val="left"/>
      <w:pPr>
        <w:ind w:left="720" w:hanging="360"/>
      </w:pPr>
    </w:lvl>
    <w:lvl w:ilvl="5" w:tplc="E1980C82">
      <w:start w:val="1"/>
      <w:numFmt w:val="decimal"/>
      <w:lvlText w:val="%6."/>
      <w:lvlJc w:val="left"/>
      <w:pPr>
        <w:ind w:left="720" w:hanging="360"/>
      </w:pPr>
    </w:lvl>
    <w:lvl w:ilvl="6" w:tplc="380A2546">
      <w:start w:val="1"/>
      <w:numFmt w:val="decimal"/>
      <w:lvlText w:val="%7."/>
      <w:lvlJc w:val="left"/>
      <w:pPr>
        <w:ind w:left="720" w:hanging="360"/>
      </w:pPr>
    </w:lvl>
    <w:lvl w:ilvl="7" w:tplc="7660C19A">
      <w:start w:val="1"/>
      <w:numFmt w:val="decimal"/>
      <w:lvlText w:val="%8."/>
      <w:lvlJc w:val="left"/>
      <w:pPr>
        <w:ind w:left="720" w:hanging="360"/>
      </w:pPr>
    </w:lvl>
    <w:lvl w:ilvl="8" w:tplc="BFD02724">
      <w:start w:val="1"/>
      <w:numFmt w:val="decimal"/>
      <w:lvlText w:val="%9."/>
      <w:lvlJc w:val="left"/>
      <w:pPr>
        <w:ind w:left="720" w:hanging="360"/>
      </w:pPr>
    </w:lvl>
  </w:abstractNum>
  <w:abstractNum w:abstractNumId="11" w15:restartNumberingAfterBreak="0">
    <w:nsid w:val="16E87317"/>
    <w:multiLevelType w:val="hybridMultilevel"/>
    <w:tmpl w:val="FC502D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4A2A33"/>
    <w:multiLevelType w:val="hybridMultilevel"/>
    <w:tmpl w:val="6520FF98"/>
    <w:lvl w:ilvl="0" w:tplc="10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BA40ED7"/>
    <w:multiLevelType w:val="hybridMultilevel"/>
    <w:tmpl w:val="E0604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CA93D25"/>
    <w:multiLevelType w:val="hybridMultilevel"/>
    <w:tmpl w:val="656C4EAC"/>
    <w:lvl w:ilvl="0" w:tplc="785E0982">
      <w:start w:val="1"/>
      <w:numFmt w:val="decimal"/>
      <w:lvlText w:val="%1."/>
      <w:lvlJc w:val="left"/>
      <w:pPr>
        <w:ind w:left="720" w:hanging="360"/>
      </w:pPr>
      <w:rPr>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E6426E"/>
    <w:multiLevelType w:val="multilevel"/>
    <w:tmpl w:val="BA4EB0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13295C"/>
    <w:multiLevelType w:val="multilevel"/>
    <w:tmpl w:val="E9B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46A18"/>
    <w:multiLevelType w:val="hybridMultilevel"/>
    <w:tmpl w:val="ED2C606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2F3A116A"/>
    <w:multiLevelType w:val="hybridMultilevel"/>
    <w:tmpl w:val="7E588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3E250D"/>
    <w:multiLevelType w:val="hybridMultilevel"/>
    <w:tmpl w:val="CBE2225A"/>
    <w:lvl w:ilvl="0" w:tplc="10090011">
      <w:start w:val="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59B3931"/>
    <w:multiLevelType w:val="hybridMultilevel"/>
    <w:tmpl w:val="AC744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1E74D4"/>
    <w:multiLevelType w:val="hybridMultilevel"/>
    <w:tmpl w:val="89EA6486"/>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2" w15:restartNumberingAfterBreak="0">
    <w:nsid w:val="4B007F13"/>
    <w:multiLevelType w:val="hybridMultilevel"/>
    <w:tmpl w:val="11C8AA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41B55F3"/>
    <w:multiLevelType w:val="multilevel"/>
    <w:tmpl w:val="C6A680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8C3B33"/>
    <w:multiLevelType w:val="hybridMultilevel"/>
    <w:tmpl w:val="C8CA79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9973318"/>
    <w:multiLevelType w:val="hybridMultilevel"/>
    <w:tmpl w:val="A3101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BDE0DDD"/>
    <w:multiLevelType w:val="hybridMultilevel"/>
    <w:tmpl w:val="F8F68350"/>
    <w:lvl w:ilvl="0" w:tplc="0C090001">
      <w:start w:val="1"/>
      <w:numFmt w:val="bullet"/>
      <w:lvlText w:val=""/>
      <w:lvlJc w:val="left"/>
      <w:pPr>
        <w:ind w:left="360" w:hanging="360"/>
      </w:pPr>
      <w:rPr>
        <w:rFonts w:ascii="Symbol" w:hAnsi="Symbol" w:hint="default"/>
      </w:rPr>
    </w:lvl>
    <w:lvl w:ilvl="1" w:tplc="3A38FBA2">
      <w:start w:val="1"/>
      <w:numFmt w:val="lowerRoman"/>
      <w:lvlText w:val="%2."/>
      <w:lvlJc w:val="left"/>
      <w:pPr>
        <w:ind w:left="1080" w:hanging="360"/>
      </w:pPr>
      <w:rPr>
        <w:rFont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C7C4B29"/>
    <w:multiLevelType w:val="hybridMultilevel"/>
    <w:tmpl w:val="713456B2"/>
    <w:lvl w:ilvl="0" w:tplc="1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E3B39FF"/>
    <w:multiLevelType w:val="multilevel"/>
    <w:tmpl w:val="3A3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07C1F"/>
    <w:multiLevelType w:val="hybridMultilevel"/>
    <w:tmpl w:val="0DACB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4C15A0"/>
    <w:multiLevelType w:val="hybridMultilevel"/>
    <w:tmpl w:val="26A290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31" w15:restartNumberingAfterBreak="0">
    <w:nsid w:val="64875818"/>
    <w:multiLevelType w:val="multilevel"/>
    <w:tmpl w:val="8F3A0D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4CC2676"/>
    <w:multiLevelType w:val="multilevel"/>
    <w:tmpl w:val="79B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3315E"/>
    <w:multiLevelType w:val="hybridMultilevel"/>
    <w:tmpl w:val="60E005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7F613B2"/>
    <w:multiLevelType w:val="hybridMultilevel"/>
    <w:tmpl w:val="BB6A855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BC1CA1"/>
    <w:multiLevelType w:val="hybridMultilevel"/>
    <w:tmpl w:val="21C85A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202E5F"/>
    <w:multiLevelType w:val="multilevel"/>
    <w:tmpl w:val="5F9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76191"/>
    <w:multiLevelType w:val="hybridMultilevel"/>
    <w:tmpl w:val="6CF0D0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A0C01DF"/>
    <w:multiLevelType w:val="multilevel"/>
    <w:tmpl w:val="E39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6664EB"/>
    <w:multiLevelType w:val="hybridMultilevel"/>
    <w:tmpl w:val="98F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580933">
    <w:abstractNumId w:val="22"/>
  </w:num>
  <w:num w:numId="2" w16cid:durableId="18962372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7491813">
    <w:abstractNumId w:val="8"/>
  </w:num>
  <w:num w:numId="4" w16cid:durableId="247811506">
    <w:abstractNumId w:val="10"/>
  </w:num>
  <w:num w:numId="5" w16cid:durableId="742723996">
    <w:abstractNumId w:val="17"/>
  </w:num>
  <w:num w:numId="6" w16cid:durableId="58215618">
    <w:abstractNumId w:val="19"/>
  </w:num>
  <w:num w:numId="7" w16cid:durableId="400908101">
    <w:abstractNumId w:val="9"/>
  </w:num>
  <w:num w:numId="8" w16cid:durableId="1621493867">
    <w:abstractNumId w:val="13"/>
  </w:num>
  <w:num w:numId="9" w16cid:durableId="982272487">
    <w:abstractNumId w:val="24"/>
  </w:num>
  <w:num w:numId="10" w16cid:durableId="1843274830">
    <w:abstractNumId w:val="2"/>
  </w:num>
  <w:num w:numId="11" w16cid:durableId="2069062756">
    <w:abstractNumId w:val="18"/>
  </w:num>
  <w:num w:numId="12" w16cid:durableId="1157769818">
    <w:abstractNumId w:val="35"/>
  </w:num>
  <w:num w:numId="13" w16cid:durableId="262224018">
    <w:abstractNumId w:val="37"/>
  </w:num>
  <w:num w:numId="14" w16cid:durableId="1653564027">
    <w:abstractNumId w:val="26"/>
  </w:num>
  <w:num w:numId="15" w16cid:durableId="1043333930">
    <w:abstractNumId w:val="1"/>
  </w:num>
  <w:num w:numId="16" w16cid:durableId="418061696">
    <w:abstractNumId w:val="0"/>
  </w:num>
  <w:num w:numId="17" w16cid:durableId="1546914173">
    <w:abstractNumId w:val="20"/>
  </w:num>
  <w:num w:numId="18" w16cid:durableId="356153782">
    <w:abstractNumId w:val="11"/>
  </w:num>
  <w:num w:numId="19" w16cid:durableId="1932931147">
    <w:abstractNumId w:val="25"/>
  </w:num>
  <w:num w:numId="20" w16cid:durableId="1061904889">
    <w:abstractNumId w:val="15"/>
  </w:num>
  <w:num w:numId="21" w16cid:durableId="1222792523">
    <w:abstractNumId w:val="34"/>
  </w:num>
  <w:num w:numId="22" w16cid:durableId="1618684638">
    <w:abstractNumId w:val="23"/>
  </w:num>
  <w:num w:numId="23" w16cid:durableId="1994597911">
    <w:abstractNumId w:val="33"/>
  </w:num>
  <w:num w:numId="24" w16cid:durableId="708917895">
    <w:abstractNumId w:val="39"/>
  </w:num>
  <w:num w:numId="25" w16cid:durableId="15352413">
    <w:abstractNumId w:val="36"/>
  </w:num>
  <w:num w:numId="26" w16cid:durableId="942297123">
    <w:abstractNumId w:val="16"/>
  </w:num>
  <w:num w:numId="27" w16cid:durableId="1384869597">
    <w:abstractNumId w:val="5"/>
  </w:num>
  <w:num w:numId="28" w16cid:durableId="855266465">
    <w:abstractNumId w:val="32"/>
  </w:num>
  <w:num w:numId="29" w16cid:durableId="513961948">
    <w:abstractNumId w:val="28"/>
  </w:num>
  <w:num w:numId="30" w16cid:durableId="2070421492">
    <w:abstractNumId w:val="6"/>
  </w:num>
  <w:num w:numId="31" w16cid:durableId="1595242850">
    <w:abstractNumId w:val="38"/>
  </w:num>
  <w:num w:numId="32" w16cid:durableId="1929804530">
    <w:abstractNumId w:val="29"/>
  </w:num>
  <w:num w:numId="33" w16cid:durableId="714081261">
    <w:abstractNumId w:val="27"/>
  </w:num>
  <w:num w:numId="34" w16cid:durableId="1355496845">
    <w:abstractNumId w:val="12"/>
  </w:num>
  <w:num w:numId="35" w16cid:durableId="1112047577">
    <w:abstractNumId w:val="3"/>
  </w:num>
  <w:num w:numId="36" w16cid:durableId="1917130463">
    <w:abstractNumId w:val="14"/>
  </w:num>
  <w:num w:numId="37" w16cid:durableId="1315446377">
    <w:abstractNumId w:val="30"/>
  </w:num>
  <w:num w:numId="38" w16cid:durableId="269630191">
    <w:abstractNumId w:val="31"/>
  </w:num>
  <w:num w:numId="39" w16cid:durableId="1079670178">
    <w:abstractNumId w:val="7"/>
  </w:num>
  <w:num w:numId="40" w16cid:durableId="826282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49"/>
    <w:rsid w:val="00004974"/>
    <w:rsid w:val="000052C5"/>
    <w:rsid w:val="0000564B"/>
    <w:rsid w:val="00006515"/>
    <w:rsid w:val="00010DBC"/>
    <w:rsid w:val="00012B37"/>
    <w:rsid w:val="00015CFC"/>
    <w:rsid w:val="000164E4"/>
    <w:rsid w:val="00016951"/>
    <w:rsid w:val="00020053"/>
    <w:rsid w:val="00020F58"/>
    <w:rsid w:val="00021970"/>
    <w:rsid w:val="00021CD1"/>
    <w:rsid w:val="0002235B"/>
    <w:rsid w:val="00026208"/>
    <w:rsid w:val="00026A36"/>
    <w:rsid w:val="00032C46"/>
    <w:rsid w:val="00032D6F"/>
    <w:rsid w:val="000346C8"/>
    <w:rsid w:val="000349B8"/>
    <w:rsid w:val="00035232"/>
    <w:rsid w:val="000353EA"/>
    <w:rsid w:val="000358E8"/>
    <w:rsid w:val="00036070"/>
    <w:rsid w:val="00037C60"/>
    <w:rsid w:val="00040231"/>
    <w:rsid w:val="000404EF"/>
    <w:rsid w:val="000405CC"/>
    <w:rsid w:val="000421F8"/>
    <w:rsid w:val="00043882"/>
    <w:rsid w:val="000445A1"/>
    <w:rsid w:val="00046CAA"/>
    <w:rsid w:val="00047106"/>
    <w:rsid w:val="00052D6E"/>
    <w:rsid w:val="00053456"/>
    <w:rsid w:val="00053529"/>
    <w:rsid w:val="00053D93"/>
    <w:rsid w:val="00054167"/>
    <w:rsid w:val="000559BD"/>
    <w:rsid w:val="00057C1D"/>
    <w:rsid w:val="000603EA"/>
    <w:rsid w:val="00061126"/>
    <w:rsid w:val="000615F3"/>
    <w:rsid w:val="00061D20"/>
    <w:rsid w:val="00065F39"/>
    <w:rsid w:val="000668CD"/>
    <w:rsid w:val="000701E3"/>
    <w:rsid w:val="000714D7"/>
    <w:rsid w:val="0007258B"/>
    <w:rsid w:val="00073B7F"/>
    <w:rsid w:val="00074035"/>
    <w:rsid w:val="00074B2B"/>
    <w:rsid w:val="00075D9F"/>
    <w:rsid w:val="00076037"/>
    <w:rsid w:val="000760F2"/>
    <w:rsid w:val="000776D1"/>
    <w:rsid w:val="00080D1F"/>
    <w:rsid w:val="0008115F"/>
    <w:rsid w:val="00082E0A"/>
    <w:rsid w:val="00082F16"/>
    <w:rsid w:val="00082F91"/>
    <w:rsid w:val="000830BA"/>
    <w:rsid w:val="000832D4"/>
    <w:rsid w:val="00085857"/>
    <w:rsid w:val="00087FA9"/>
    <w:rsid w:val="00092A7C"/>
    <w:rsid w:val="00093570"/>
    <w:rsid w:val="00093696"/>
    <w:rsid w:val="00094014"/>
    <w:rsid w:val="00094ECF"/>
    <w:rsid w:val="000960BB"/>
    <w:rsid w:val="000972B1"/>
    <w:rsid w:val="00097DD6"/>
    <w:rsid w:val="00097FBB"/>
    <w:rsid w:val="000A14E4"/>
    <w:rsid w:val="000A3192"/>
    <w:rsid w:val="000A4546"/>
    <w:rsid w:val="000A49D3"/>
    <w:rsid w:val="000A4E36"/>
    <w:rsid w:val="000A775B"/>
    <w:rsid w:val="000A79AF"/>
    <w:rsid w:val="000B044B"/>
    <w:rsid w:val="000B1505"/>
    <w:rsid w:val="000B1F9F"/>
    <w:rsid w:val="000B2C96"/>
    <w:rsid w:val="000B738A"/>
    <w:rsid w:val="000B7615"/>
    <w:rsid w:val="000C0419"/>
    <w:rsid w:val="000C22CC"/>
    <w:rsid w:val="000C3670"/>
    <w:rsid w:val="000C4B9C"/>
    <w:rsid w:val="000C7534"/>
    <w:rsid w:val="000D4029"/>
    <w:rsid w:val="000D6577"/>
    <w:rsid w:val="000D689D"/>
    <w:rsid w:val="000D6EC5"/>
    <w:rsid w:val="000D6F79"/>
    <w:rsid w:val="000D79E4"/>
    <w:rsid w:val="000E0FCF"/>
    <w:rsid w:val="000E1389"/>
    <w:rsid w:val="000E31AC"/>
    <w:rsid w:val="000E3FF9"/>
    <w:rsid w:val="000E452F"/>
    <w:rsid w:val="000E6B6C"/>
    <w:rsid w:val="000E7571"/>
    <w:rsid w:val="000F1594"/>
    <w:rsid w:val="000F15DD"/>
    <w:rsid w:val="000F1855"/>
    <w:rsid w:val="000F34B8"/>
    <w:rsid w:val="000F45F0"/>
    <w:rsid w:val="000F4DC9"/>
    <w:rsid w:val="000F4EBB"/>
    <w:rsid w:val="000F4F10"/>
    <w:rsid w:val="000F5C1C"/>
    <w:rsid w:val="0010069B"/>
    <w:rsid w:val="00102C16"/>
    <w:rsid w:val="00104283"/>
    <w:rsid w:val="001042C9"/>
    <w:rsid w:val="00105A82"/>
    <w:rsid w:val="00110284"/>
    <w:rsid w:val="001111C5"/>
    <w:rsid w:val="001120D2"/>
    <w:rsid w:val="0011219F"/>
    <w:rsid w:val="00112D49"/>
    <w:rsid w:val="00113101"/>
    <w:rsid w:val="00113178"/>
    <w:rsid w:val="001154C9"/>
    <w:rsid w:val="00120FFC"/>
    <w:rsid w:val="00121C5B"/>
    <w:rsid w:val="001223C8"/>
    <w:rsid w:val="001223CA"/>
    <w:rsid w:val="00122CBD"/>
    <w:rsid w:val="00123DD4"/>
    <w:rsid w:val="00124121"/>
    <w:rsid w:val="001247D9"/>
    <w:rsid w:val="00124E03"/>
    <w:rsid w:val="00133529"/>
    <w:rsid w:val="00133BE2"/>
    <w:rsid w:val="00133F11"/>
    <w:rsid w:val="0013586A"/>
    <w:rsid w:val="00135EE0"/>
    <w:rsid w:val="00137DD6"/>
    <w:rsid w:val="00142708"/>
    <w:rsid w:val="0014414B"/>
    <w:rsid w:val="0014499A"/>
    <w:rsid w:val="00147943"/>
    <w:rsid w:val="00152534"/>
    <w:rsid w:val="00156349"/>
    <w:rsid w:val="00156D05"/>
    <w:rsid w:val="00160878"/>
    <w:rsid w:val="0016119F"/>
    <w:rsid w:val="00162ADD"/>
    <w:rsid w:val="00167825"/>
    <w:rsid w:val="00170ADE"/>
    <w:rsid w:val="00170EF5"/>
    <w:rsid w:val="0017159D"/>
    <w:rsid w:val="00172962"/>
    <w:rsid w:val="00173BD7"/>
    <w:rsid w:val="00175056"/>
    <w:rsid w:val="0017659A"/>
    <w:rsid w:val="001767A2"/>
    <w:rsid w:val="00181E83"/>
    <w:rsid w:val="00182472"/>
    <w:rsid w:val="001846B8"/>
    <w:rsid w:val="00184C0E"/>
    <w:rsid w:val="00185813"/>
    <w:rsid w:val="001858CE"/>
    <w:rsid w:val="001872A2"/>
    <w:rsid w:val="0019163F"/>
    <w:rsid w:val="00192343"/>
    <w:rsid w:val="001940B6"/>
    <w:rsid w:val="001943FB"/>
    <w:rsid w:val="00195E3D"/>
    <w:rsid w:val="001961F5"/>
    <w:rsid w:val="00196F97"/>
    <w:rsid w:val="001A0C5E"/>
    <w:rsid w:val="001A130F"/>
    <w:rsid w:val="001A1F71"/>
    <w:rsid w:val="001A26C0"/>
    <w:rsid w:val="001A27B7"/>
    <w:rsid w:val="001A3413"/>
    <w:rsid w:val="001A510D"/>
    <w:rsid w:val="001A5375"/>
    <w:rsid w:val="001A60D1"/>
    <w:rsid w:val="001A6DF2"/>
    <w:rsid w:val="001A75F6"/>
    <w:rsid w:val="001A7A4F"/>
    <w:rsid w:val="001A7B84"/>
    <w:rsid w:val="001B170E"/>
    <w:rsid w:val="001B2C69"/>
    <w:rsid w:val="001B3476"/>
    <w:rsid w:val="001B37BC"/>
    <w:rsid w:val="001B38B6"/>
    <w:rsid w:val="001B4881"/>
    <w:rsid w:val="001B5A4A"/>
    <w:rsid w:val="001B6325"/>
    <w:rsid w:val="001B6B3C"/>
    <w:rsid w:val="001B7405"/>
    <w:rsid w:val="001B7EC0"/>
    <w:rsid w:val="001B7F36"/>
    <w:rsid w:val="001C1308"/>
    <w:rsid w:val="001C1EB3"/>
    <w:rsid w:val="001C2131"/>
    <w:rsid w:val="001C329B"/>
    <w:rsid w:val="001C410D"/>
    <w:rsid w:val="001C4800"/>
    <w:rsid w:val="001C5315"/>
    <w:rsid w:val="001D1CC0"/>
    <w:rsid w:val="001D3388"/>
    <w:rsid w:val="001D3C09"/>
    <w:rsid w:val="001D7682"/>
    <w:rsid w:val="001D7755"/>
    <w:rsid w:val="001E1FA3"/>
    <w:rsid w:val="001E7308"/>
    <w:rsid w:val="001F0E09"/>
    <w:rsid w:val="001F0EED"/>
    <w:rsid w:val="001F1691"/>
    <w:rsid w:val="001F5282"/>
    <w:rsid w:val="001F7BFD"/>
    <w:rsid w:val="00203648"/>
    <w:rsid w:val="002036AC"/>
    <w:rsid w:val="0020518C"/>
    <w:rsid w:val="002074D5"/>
    <w:rsid w:val="0021155F"/>
    <w:rsid w:val="0021199D"/>
    <w:rsid w:val="00211B7E"/>
    <w:rsid w:val="0021256A"/>
    <w:rsid w:val="00213842"/>
    <w:rsid w:val="002157D4"/>
    <w:rsid w:val="00216561"/>
    <w:rsid w:val="00217CC1"/>
    <w:rsid w:val="00220EE5"/>
    <w:rsid w:val="00222516"/>
    <w:rsid w:val="0022283F"/>
    <w:rsid w:val="00222CB2"/>
    <w:rsid w:val="00223FB1"/>
    <w:rsid w:val="002276F9"/>
    <w:rsid w:val="00230D50"/>
    <w:rsid w:val="0023131F"/>
    <w:rsid w:val="0023224F"/>
    <w:rsid w:val="00232623"/>
    <w:rsid w:val="00234E37"/>
    <w:rsid w:val="002359A2"/>
    <w:rsid w:val="0024003C"/>
    <w:rsid w:val="00240B73"/>
    <w:rsid w:val="00241808"/>
    <w:rsid w:val="00242AB1"/>
    <w:rsid w:val="00242F2E"/>
    <w:rsid w:val="00245FF2"/>
    <w:rsid w:val="00246454"/>
    <w:rsid w:val="00246CCB"/>
    <w:rsid w:val="002510F5"/>
    <w:rsid w:val="00251600"/>
    <w:rsid w:val="00254A68"/>
    <w:rsid w:val="00256A38"/>
    <w:rsid w:val="0025747B"/>
    <w:rsid w:val="0026121F"/>
    <w:rsid w:val="002617A7"/>
    <w:rsid w:val="00262C97"/>
    <w:rsid w:val="002630B0"/>
    <w:rsid w:val="00264A08"/>
    <w:rsid w:val="00266076"/>
    <w:rsid w:val="0026649A"/>
    <w:rsid w:val="00270224"/>
    <w:rsid w:val="00272001"/>
    <w:rsid w:val="0027365E"/>
    <w:rsid w:val="00273959"/>
    <w:rsid w:val="002754B6"/>
    <w:rsid w:val="00275563"/>
    <w:rsid w:val="00275BE8"/>
    <w:rsid w:val="00276279"/>
    <w:rsid w:val="0028247A"/>
    <w:rsid w:val="00282D1F"/>
    <w:rsid w:val="00283974"/>
    <w:rsid w:val="00284AB2"/>
    <w:rsid w:val="00291BD3"/>
    <w:rsid w:val="00291DAA"/>
    <w:rsid w:val="00292387"/>
    <w:rsid w:val="00292800"/>
    <w:rsid w:val="00293AA7"/>
    <w:rsid w:val="00295B89"/>
    <w:rsid w:val="00297414"/>
    <w:rsid w:val="002A1FCD"/>
    <w:rsid w:val="002A5E75"/>
    <w:rsid w:val="002A6FAE"/>
    <w:rsid w:val="002B165C"/>
    <w:rsid w:val="002B1A8A"/>
    <w:rsid w:val="002B39AC"/>
    <w:rsid w:val="002B450A"/>
    <w:rsid w:val="002B4FC8"/>
    <w:rsid w:val="002C1135"/>
    <w:rsid w:val="002C16A0"/>
    <w:rsid w:val="002C6F2F"/>
    <w:rsid w:val="002D2149"/>
    <w:rsid w:val="002D318C"/>
    <w:rsid w:val="002D3734"/>
    <w:rsid w:val="002D40B4"/>
    <w:rsid w:val="002D4857"/>
    <w:rsid w:val="002D4B6B"/>
    <w:rsid w:val="002D4E48"/>
    <w:rsid w:val="002D5A12"/>
    <w:rsid w:val="002D6D70"/>
    <w:rsid w:val="002D6F8B"/>
    <w:rsid w:val="002E1627"/>
    <w:rsid w:val="002E21CD"/>
    <w:rsid w:val="002E391C"/>
    <w:rsid w:val="002E3F30"/>
    <w:rsid w:val="002E4F4B"/>
    <w:rsid w:val="002E5D34"/>
    <w:rsid w:val="002E6318"/>
    <w:rsid w:val="002E6DA2"/>
    <w:rsid w:val="002E6DEE"/>
    <w:rsid w:val="002E7C63"/>
    <w:rsid w:val="002E7E9E"/>
    <w:rsid w:val="002F201E"/>
    <w:rsid w:val="002F3165"/>
    <w:rsid w:val="002F5A65"/>
    <w:rsid w:val="002F6B64"/>
    <w:rsid w:val="002F6EF3"/>
    <w:rsid w:val="002F6FEF"/>
    <w:rsid w:val="00300436"/>
    <w:rsid w:val="00300717"/>
    <w:rsid w:val="00300770"/>
    <w:rsid w:val="00302331"/>
    <w:rsid w:val="0030355C"/>
    <w:rsid w:val="003042E0"/>
    <w:rsid w:val="00304BC8"/>
    <w:rsid w:val="00304BD8"/>
    <w:rsid w:val="00304E17"/>
    <w:rsid w:val="0030628B"/>
    <w:rsid w:val="003103B2"/>
    <w:rsid w:val="00310F50"/>
    <w:rsid w:val="003131FB"/>
    <w:rsid w:val="00313651"/>
    <w:rsid w:val="00314386"/>
    <w:rsid w:val="00315916"/>
    <w:rsid w:val="00315E82"/>
    <w:rsid w:val="00317A8C"/>
    <w:rsid w:val="00323136"/>
    <w:rsid w:val="003231D9"/>
    <w:rsid w:val="00323FCD"/>
    <w:rsid w:val="00324A83"/>
    <w:rsid w:val="00324C5E"/>
    <w:rsid w:val="0032572D"/>
    <w:rsid w:val="0033056A"/>
    <w:rsid w:val="00331269"/>
    <w:rsid w:val="00331F21"/>
    <w:rsid w:val="0033271C"/>
    <w:rsid w:val="003333BF"/>
    <w:rsid w:val="00333A52"/>
    <w:rsid w:val="003355BC"/>
    <w:rsid w:val="00335757"/>
    <w:rsid w:val="00337F34"/>
    <w:rsid w:val="0034103B"/>
    <w:rsid w:val="00341041"/>
    <w:rsid w:val="00341209"/>
    <w:rsid w:val="00345E70"/>
    <w:rsid w:val="00346329"/>
    <w:rsid w:val="003464E2"/>
    <w:rsid w:val="00346E4E"/>
    <w:rsid w:val="003530CB"/>
    <w:rsid w:val="00355840"/>
    <w:rsid w:val="003575CC"/>
    <w:rsid w:val="00361A97"/>
    <w:rsid w:val="0036235E"/>
    <w:rsid w:val="00362612"/>
    <w:rsid w:val="00363ED2"/>
    <w:rsid w:val="00364035"/>
    <w:rsid w:val="00364C44"/>
    <w:rsid w:val="00365CD0"/>
    <w:rsid w:val="00366395"/>
    <w:rsid w:val="003671C0"/>
    <w:rsid w:val="00367564"/>
    <w:rsid w:val="00370BF4"/>
    <w:rsid w:val="00371E96"/>
    <w:rsid w:val="0037208E"/>
    <w:rsid w:val="0037391C"/>
    <w:rsid w:val="00377746"/>
    <w:rsid w:val="00380653"/>
    <w:rsid w:val="00383BA4"/>
    <w:rsid w:val="00383D08"/>
    <w:rsid w:val="0038428B"/>
    <w:rsid w:val="00384AD9"/>
    <w:rsid w:val="00386996"/>
    <w:rsid w:val="00386AB5"/>
    <w:rsid w:val="00390D5C"/>
    <w:rsid w:val="00393E42"/>
    <w:rsid w:val="00394F04"/>
    <w:rsid w:val="00395C73"/>
    <w:rsid w:val="00397A0D"/>
    <w:rsid w:val="003A12C1"/>
    <w:rsid w:val="003A5AC6"/>
    <w:rsid w:val="003A5C45"/>
    <w:rsid w:val="003A7183"/>
    <w:rsid w:val="003B1825"/>
    <w:rsid w:val="003B2EDD"/>
    <w:rsid w:val="003B7448"/>
    <w:rsid w:val="003C03B2"/>
    <w:rsid w:val="003C171E"/>
    <w:rsid w:val="003C29B0"/>
    <w:rsid w:val="003C2EAB"/>
    <w:rsid w:val="003C3ED0"/>
    <w:rsid w:val="003D0313"/>
    <w:rsid w:val="003D1EC9"/>
    <w:rsid w:val="003D2275"/>
    <w:rsid w:val="003D2F1B"/>
    <w:rsid w:val="003D3111"/>
    <w:rsid w:val="003D424E"/>
    <w:rsid w:val="003D483F"/>
    <w:rsid w:val="003D4D9F"/>
    <w:rsid w:val="003D51A5"/>
    <w:rsid w:val="003D5AC2"/>
    <w:rsid w:val="003D60D2"/>
    <w:rsid w:val="003D763C"/>
    <w:rsid w:val="003D7954"/>
    <w:rsid w:val="003E0B82"/>
    <w:rsid w:val="003E1088"/>
    <w:rsid w:val="003E2D5F"/>
    <w:rsid w:val="003E4346"/>
    <w:rsid w:val="003E4835"/>
    <w:rsid w:val="003E525A"/>
    <w:rsid w:val="003E52B6"/>
    <w:rsid w:val="003E668C"/>
    <w:rsid w:val="003F014E"/>
    <w:rsid w:val="003F0898"/>
    <w:rsid w:val="003F2313"/>
    <w:rsid w:val="003F2958"/>
    <w:rsid w:val="003F2AA1"/>
    <w:rsid w:val="003F3352"/>
    <w:rsid w:val="003F3759"/>
    <w:rsid w:val="003F4115"/>
    <w:rsid w:val="003F4668"/>
    <w:rsid w:val="003F5579"/>
    <w:rsid w:val="003F5F86"/>
    <w:rsid w:val="00400769"/>
    <w:rsid w:val="00403E80"/>
    <w:rsid w:val="00403F1C"/>
    <w:rsid w:val="004055D6"/>
    <w:rsid w:val="004100B4"/>
    <w:rsid w:val="004104FA"/>
    <w:rsid w:val="00410DC5"/>
    <w:rsid w:val="0041149E"/>
    <w:rsid w:val="00411715"/>
    <w:rsid w:val="004119B6"/>
    <w:rsid w:val="00411E51"/>
    <w:rsid w:val="0041469D"/>
    <w:rsid w:val="004205C9"/>
    <w:rsid w:val="00420673"/>
    <w:rsid w:val="00427D2F"/>
    <w:rsid w:val="00427F7C"/>
    <w:rsid w:val="0043160D"/>
    <w:rsid w:val="004354AB"/>
    <w:rsid w:val="00436294"/>
    <w:rsid w:val="00436814"/>
    <w:rsid w:val="00436D12"/>
    <w:rsid w:val="00436E49"/>
    <w:rsid w:val="004404D7"/>
    <w:rsid w:val="00441114"/>
    <w:rsid w:val="00441445"/>
    <w:rsid w:val="0044159D"/>
    <w:rsid w:val="00442CB8"/>
    <w:rsid w:val="004434B7"/>
    <w:rsid w:val="0044385E"/>
    <w:rsid w:val="00443B70"/>
    <w:rsid w:val="0044659B"/>
    <w:rsid w:val="00451AFF"/>
    <w:rsid w:val="00453414"/>
    <w:rsid w:val="004541AA"/>
    <w:rsid w:val="00454B28"/>
    <w:rsid w:val="00454F17"/>
    <w:rsid w:val="00455322"/>
    <w:rsid w:val="004561EE"/>
    <w:rsid w:val="0045761A"/>
    <w:rsid w:val="004604FE"/>
    <w:rsid w:val="004617C4"/>
    <w:rsid w:val="004632EE"/>
    <w:rsid w:val="00463322"/>
    <w:rsid w:val="00466630"/>
    <w:rsid w:val="004708F6"/>
    <w:rsid w:val="00470DB2"/>
    <w:rsid w:val="00471731"/>
    <w:rsid w:val="00474945"/>
    <w:rsid w:val="00475187"/>
    <w:rsid w:val="004779A2"/>
    <w:rsid w:val="00480956"/>
    <w:rsid w:val="00480EE1"/>
    <w:rsid w:val="00481747"/>
    <w:rsid w:val="0048191C"/>
    <w:rsid w:val="00482E49"/>
    <w:rsid w:val="004837FD"/>
    <w:rsid w:val="004838B0"/>
    <w:rsid w:val="004838C3"/>
    <w:rsid w:val="00486384"/>
    <w:rsid w:val="00494860"/>
    <w:rsid w:val="00494AAF"/>
    <w:rsid w:val="00495360"/>
    <w:rsid w:val="00497618"/>
    <w:rsid w:val="004A1209"/>
    <w:rsid w:val="004A4535"/>
    <w:rsid w:val="004A48EA"/>
    <w:rsid w:val="004A4F97"/>
    <w:rsid w:val="004A517E"/>
    <w:rsid w:val="004A5665"/>
    <w:rsid w:val="004A58EB"/>
    <w:rsid w:val="004A5CDA"/>
    <w:rsid w:val="004A619C"/>
    <w:rsid w:val="004A6698"/>
    <w:rsid w:val="004A680D"/>
    <w:rsid w:val="004B0FA4"/>
    <w:rsid w:val="004B23D1"/>
    <w:rsid w:val="004B324F"/>
    <w:rsid w:val="004B4620"/>
    <w:rsid w:val="004B5BF9"/>
    <w:rsid w:val="004B6D0D"/>
    <w:rsid w:val="004C0066"/>
    <w:rsid w:val="004C31BA"/>
    <w:rsid w:val="004C3CA8"/>
    <w:rsid w:val="004C3FF6"/>
    <w:rsid w:val="004C5024"/>
    <w:rsid w:val="004C5211"/>
    <w:rsid w:val="004C5EE2"/>
    <w:rsid w:val="004D1D06"/>
    <w:rsid w:val="004D6CC1"/>
    <w:rsid w:val="004D70C8"/>
    <w:rsid w:val="004E3B29"/>
    <w:rsid w:val="004E4C66"/>
    <w:rsid w:val="004E4F68"/>
    <w:rsid w:val="004E5309"/>
    <w:rsid w:val="004E55DA"/>
    <w:rsid w:val="004E6022"/>
    <w:rsid w:val="004E64FB"/>
    <w:rsid w:val="004E75A6"/>
    <w:rsid w:val="004F17C9"/>
    <w:rsid w:val="004F2C9E"/>
    <w:rsid w:val="004F2F58"/>
    <w:rsid w:val="004F37DD"/>
    <w:rsid w:val="004F4779"/>
    <w:rsid w:val="004F5D7D"/>
    <w:rsid w:val="004F695D"/>
    <w:rsid w:val="00501232"/>
    <w:rsid w:val="00501812"/>
    <w:rsid w:val="00501DE8"/>
    <w:rsid w:val="00502990"/>
    <w:rsid w:val="005034DF"/>
    <w:rsid w:val="005036D1"/>
    <w:rsid w:val="005037A0"/>
    <w:rsid w:val="005055E9"/>
    <w:rsid w:val="00506356"/>
    <w:rsid w:val="00507D89"/>
    <w:rsid w:val="0051036D"/>
    <w:rsid w:val="005116B0"/>
    <w:rsid w:val="0051232C"/>
    <w:rsid w:val="0051513B"/>
    <w:rsid w:val="00516FCA"/>
    <w:rsid w:val="00520ADB"/>
    <w:rsid w:val="00523212"/>
    <w:rsid w:val="005237BA"/>
    <w:rsid w:val="005265B7"/>
    <w:rsid w:val="00526D93"/>
    <w:rsid w:val="00532C56"/>
    <w:rsid w:val="00532E0B"/>
    <w:rsid w:val="00535BFF"/>
    <w:rsid w:val="00536CBC"/>
    <w:rsid w:val="00536CCD"/>
    <w:rsid w:val="00537876"/>
    <w:rsid w:val="00537CF3"/>
    <w:rsid w:val="00542880"/>
    <w:rsid w:val="005433C0"/>
    <w:rsid w:val="00543409"/>
    <w:rsid w:val="005442DF"/>
    <w:rsid w:val="005468D2"/>
    <w:rsid w:val="00550DB9"/>
    <w:rsid w:val="00551E3E"/>
    <w:rsid w:val="005526B2"/>
    <w:rsid w:val="00552A7D"/>
    <w:rsid w:val="00553668"/>
    <w:rsid w:val="005541A6"/>
    <w:rsid w:val="0055431C"/>
    <w:rsid w:val="0055467C"/>
    <w:rsid w:val="00554CC1"/>
    <w:rsid w:val="005566AA"/>
    <w:rsid w:val="00561665"/>
    <w:rsid w:val="005617FF"/>
    <w:rsid w:val="00564166"/>
    <w:rsid w:val="00566AC7"/>
    <w:rsid w:val="00567523"/>
    <w:rsid w:val="00570582"/>
    <w:rsid w:val="00570909"/>
    <w:rsid w:val="00570C61"/>
    <w:rsid w:val="00572620"/>
    <w:rsid w:val="00572DC7"/>
    <w:rsid w:val="00575E19"/>
    <w:rsid w:val="00582BB7"/>
    <w:rsid w:val="005847A4"/>
    <w:rsid w:val="005858C1"/>
    <w:rsid w:val="0058637F"/>
    <w:rsid w:val="00586698"/>
    <w:rsid w:val="0059066C"/>
    <w:rsid w:val="00592440"/>
    <w:rsid w:val="00592860"/>
    <w:rsid w:val="005928D1"/>
    <w:rsid w:val="0059312C"/>
    <w:rsid w:val="00593887"/>
    <w:rsid w:val="00593FCA"/>
    <w:rsid w:val="00595D75"/>
    <w:rsid w:val="005A0473"/>
    <w:rsid w:val="005A18E1"/>
    <w:rsid w:val="005A1941"/>
    <w:rsid w:val="005A2B63"/>
    <w:rsid w:val="005A2BDF"/>
    <w:rsid w:val="005A30B2"/>
    <w:rsid w:val="005A4A12"/>
    <w:rsid w:val="005A5778"/>
    <w:rsid w:val="005A75C2"/>
    <w:rsid w:val="005A7DE0"/>
    <w:rsid w:val="005A7FE5"/>
    <w:rsid w:val="005B1703"/>
    <w:rsid w:val="005B23F1"/>
    <w:rsid w:val="005B2FD9"/>
    <w:rsid w:val="005B3540"/>
    <w:rsid w:val="005B3541"/>
    <w:rsid w:val="005B366F"/>
    <w:rsid w:val="005B3B03"/>
    <w:rsid w:val="005B5E51"/>
    <w:rsid w:val="005B6181"/>
    <w:rsid w:val="005B7257"/>
    <w:rsid w:val="005C0382"/>
    <w:rsid w:val="005C302C"/>
    <w:rsid w:val="005C4895"/>
    <w:rsid w:val="005C5137"/>
    <w:rsid w:val="005C51FD"/>
    <w:rsid w:val="005C5DBA"/>
    <w:rsid w:val="005C5F7E"/>
    <w:rsid w:val="005C60A1"/>
    <w:rsid w:val="005C6355"/>
    <w:rsid w:val="005C6487"/>
    <w:rsid w:val="005C6676"/>
    <w:rsid w:val="005D18C0"/>
    <w:rsid w:val="005D353C"/>
    <w:rsid w:val="005D3DBA"/>
    <w:rsid w:val="005D4E77"/>
    <w:rsid w:val="005D5CF5"/>
    <w:rsid w:val="005D5FA3"/>
    <w:rsid w:val="005D63FE"/>
    <w:rsid w:val="005E3B40"/>
    <w:rsid w:val="005E5934"/>
    <w:rsid w:val="005E6B21"/>
    <w:rsid w:val="005E6EA6"/>
    <w:rsid w:val="005E70E8"/>
    <w:rsid w:val="005F0D3B"/>
    <w:rsid w:val="005F0FD9"/>
    <w:rsid w:val="005F25BD"/>
    <w:rsid w:val="005F3476"/>
    <w:rsid w:val="0060090F"/>
    <w:rsid w:val="00600A1D"/>
    <w:rsid w:val="00600A5F"/>
    <w:rsid w:val="00600AA4"/>
    <w:rsid w:val="00600E37"/>
    <w:rsid w:val="006016D8"/>
    <w:rsid w:val="006020E8"/>
    <w:rsid w:val="00603A60"/>
    <w:rsid w:val="00605499"/>
    <w:rsid w:val="00605BD8"/>
    <w:rsid w:val="00606269"/>
    <w:rsid w:val="00606B8F"/>
    <w:rsid w:val="00607A6C"/>
    <w:rsid w:val="0061179B"/>
    <w:rsid w:val="00611AFF"/>
    <w:rsid w:val="00612774"/>
    <w:rsid w:val="006133AB"/>
    <w:rsid w:val="0061348C"/>
    <w:rsid w:val="006139C4"/>
    <w:rsid w:val="00613A9B"/>
    <w:rsid w:val="00614E89"/>
    <w:rsid w:val="00614EE3"/>
    <w:rsid w:val="00615288"/>
    <w:rsid w:val="00620C05"/>
    <w:rsid w:val="0062157C"/>
    <w:rsid w:val="0062201B"/>
    <w:rsid w:val="00622F22"/>
    <w:rsid w:val="00624DB2"/>
    <w:rsid w:val="00625075"/>
    <w:rsid w:val="006258DE"/>
    <w:rsid w:val="00630420"/>
    <w:rsid w:val="00632B74"/>
    <w:rsid w:val="00632E08"/>
    <w:rsid w:val="0063430D"/>
    <w:rsid w:val="0063633C"/>
    <w:rsid w:val="006368C3"/>
    <w:rsid w:val="00636F46"/>
    <w:rsid w:val="006372BF"/>
    <w:rsid w:val="006413E3"/>
    <w:rsid w:val="006426EF"/>
    <w:rsid w:val="00642830"/>
    <w:rsid w:val="00645C56"/>
    <w:rsid w:val="00646E38"/>
    <w:rsid w:val="0064718A"/>
    <w:rsid w:val="00650DF5"/>
    <w:rsid w:val="00651558"/>
    <w:rsid w:val="00652DC3"/>
    <w:rsid w:val="00655F63"/>
    <w:rsid w:val="0065674B"/>
    <w:rsid w:val="00657361"/>
    <w:rsid w:val="00657534"/>
    <w:rsid w:val="0065777D"/>
    <w:rsid w:val="00660212"/>
    <w:rsid w:val="00660557"/>
    <w:rsid w:val="00660E8F"/>
    <w:rsid w:val="0066530A"/>
    <w:rsid w:val="006672BE"/>
    <w:rsid w:val="00667701"/>
    <w:rsid w:val="00670542"/>
    <w:rsid w:val="00674B06"/>
    <w:rsid w:val="00675ECC"/>
    <w:rsid w:val="0067645C"/>
    <w:rsid w:val="00676559"/>
    <w:rsid w:val="00676B3A"/>
    <w:rsid w:val="006776A7"/>
    <w:rsid w:val="0068661E"/>
    <w:rsid w:val="0069102B"/>
    <w:rsid w:val="00692401"/>
    <w:rsid w:val="006925B5"/>
    <w:rsid w:val="00692F69"/>
    <w:rsid w:val="00695DA2"/>
    <w:rsid w:val="00696006"/>
    <w:rsid w:val="00696F9D"/>
    <w:rsid w:val="006A08BF"/>
    <w:rsid w:val="006A0B6D"/>
    <w:rsid w:val="006A14DD"/>
    <w:rsid w:val="006A4470"/>
    <w:rsid w:val="006A4593"/>
    <w:rsid w:val="006A535D"/>
    <w:rsid w:val="006A553E"/>
    <w:rsid w:val="006A5EC4"/>
    <w:rsid w:val="006A5F63"/>
    <w:rsid w:val="006A7BDB"/>
    <w:rsid w:val="006B16EF"/>
    <w:rsid w:val="006B20A8"/>
    <w:rsid w:val="006B231D"/>
    <w:rsid w:val="006B3DC0"/>
    <w:rsid w:val="006B3E64"/>
    <w:rsid w:val="006B5748"/>
    <w:rsid w:val="006B5FAB"/>
    <w:rsid w:val="006C2916"/>
    <w:rsid w:val="006C3D02"/>
    <w:rsid w:val="006C5BAB"/>
    <w:rsid w:val="006C65E9"/>
    <w:rsid w:val="006C68A9"/>
    <w:rsid w:val="006C7274"/>
    <w:rsid w:val="006C7352"/>
    <w:rsid w:val="006D0070"/>
    <w:rsid w:val="006D0474"/>
    <w:rsid w:val="006D1970"/>
    <w:rsid w:val="006D2921"/>
    <w:rsid w:val="006D6579"/>
    <w:rsid w:val="006D6C47"/>
    <w:rsid w:val="006D7AEF"/>
    <w:rsid w:val="006E1704"/>
    <w:rsid w:val="006E1904"/>
    <w:rsid w:val="006E1F5F"/>
    <w:rsid w:val="006E22E2"/>
    <w:rsid w:val="006E2408"/>
    <w:rsid w:val="006E25EA"/>
    <w:rsid w:val="006E2FB0"/>
    <w:rsid w:val="006E5560"/>
    <w:rsid w:val="006E5D11"/>
    <w:rsid w:val="006E6002"/>
    <w:rsid w:val="006E7167"/>
    <w:rsid w:val="006E7888"/>
    <w:rsid w:val="006F005F"/>
    <w:rsid w:val="006F0E33"/>
    <w:rsid w:val="006F2D4D"/>
    <w:rsid w:val="006F380E"/>
    <w:rsid w:val="006F4CF2"/>
    <w:rsid w:val="006F694C"/>
    <w:rsid w:val="006F6F15"/>
    <w:rsid w:val="00700871"/>
    <w:rsid w:val="007074CB"/>
    <w:rsid w:val="007076CD"/>
    <w:rsid w:val="00710382"/>
    <w:rsid w:val="00711021"/>
    <w:rsid w:val="0071119A"/>
    <w:rsid w:val="007123C1"/>
    <w:rsid w:val="00713477"/>
    <w:rsid w:val="00715730"/>
    <w:rsid w:val="0071622F"/>
    <w:rsid w:val="0071751A"/>
    <w:rsid w:val="00720CAF"/>
    <w:rsid w:val="007238A1"/>
    <w:rsid w:val="007245B9"/>
    <w:rsid w:val="00725066"/>
    <w:rsid w:val="00726319"/>
    <w:rsid w:val="00726CC8"/>
    <w:rsid w:val="007307AB"/>
    <w:rsid w:val="0073167C"/>
    <w:rsid w:val="00734B32"/>
    <w:rsid w:val="0073565E"/>
    <w:rsid w:val="0074010C"/>
    <w:rsid w:val="00741589"/>
    <w:rsid w:val="0074494F"/>
    <w:rsid w:val="00750D43"/>
    <w:rsid w:val="007518BE"/>
    <w:rsid w:val="00751EC0"/>
    <w:rsid w:val="00752C7A"/>
    <w:rsid w:val="00756C5D"/>
    <w:rsid w:val="00756E8D"/>
    <w:rsid w:val="007604E4"/>
    <w:rsid w:val="00761730"/>
    <w:rsid w:val="0076296C"/>
    <w:rsid w:val="00763000"/>
    <w:rsid w:val="007644B6"/>
    <w:rsid w:val="007704FC"/>
    <w:rsid w:val="00770899"/>
    <w:rsid w:val="00772472"/>
    <w:rsid w:val="00772D51"/>
    <w:rsid w:val="00772FD8"/>
    <w:rsid w:val="0077379D"/>
    <w:rsid w:val="00780876"/>
    <w:rsid w:val="00781498"/>
    <w:rsid w:val="007817DC"/>
    <w:rsid w:val="00781D41"/>
    <w:rsid w:val="007868C1"/>
    <w:rsid w:val="00787D07"/>
    <w:rsid w:val="00790B81"/>
    <w:rsid w:val="00791469"/>
    <w:rsid w:val="007947B6"/>
    <w:rsid w:val="00794CFF"/>
    <w:rsid w:val="0079534A"/>
    <w:rsid w:val="007954D6"/>
    <w:rsid w:val="0079611D"/>
    <w:rsid w:val="007A0523"/>
    <w:rsid w:val="007A074B"/>
    <w:rsid w:val="007A0D0C"/>
    <w:rsid w:val="007A1EDD"/>
    <w:rsid w:val="007A2C20"/>
    <w:rsid w:val="007A2E74"/>
    <w:rsid w:val="007A3557"/>
    <w:rsid w:val="007A3EE6"/>
    <w:rsid w:val="007A444D"/>
    <w:rsid w:val="007A4BF1"/>
    <w:rsid w:val="007A52FC"/>
    <w:rsid w:val="007A5A99"/>
    <w:rsid w:val="007A6132"/>
    <w:rsid w:val="007A62B5"/>
    <w:rsid w:val="007A67E2"/>
    <w:rsid w:val="007A7ACA"/>
    <w:rsid w:val="007B01C4"/>
    <w:rsid w:val="007B3035"/>
    <w:rsid w:val="007B3DAA"/>
    <w:rsid w:val="007B4630"/>
    <w:rsid w:val="007B53C3"/>
    <w:rsid w:val="007B574C"/>
    <w:rsid w:val="007B6033"/>
    <w:rsid w:val="007B684B"/>
    <w:rsid w:val="007B748C"/>
    <w:rsid w:val="007C1BA8"/>
    <w:rsid w:val="007C2108"/>
    <w:rsid w:val="007C2150"/>
    <w:rsid w:val="007C36FA"/>
    <w:rsid w:val="007C44D1"/>
    <w:rsid w:val="007C5B18"/>
    <w:rsid w:val="007D0470"/>
    <w:rsid w:val="007D3750"/>
    <w:rsid w:val="007D4700"/>
    <w:rsid w:val="007D5718"/>
    <w:rsid w:val="007D6243"/>
    <w:rsid w:val="007D772A"/>
    <w:rsid w:val="007E0260"/>
    <w:rsid w:val="007E071A"/>
    <w:rsid w:val="007E19E8"/>
    <w:rsid w:val="007E2292"/>
    <w:rsid w:val="007E316D"/>
    <w:rsid w:val="007E3E7E"/>
    <w:rsid w:val="007F134F"/>
    <w:rsid w:val="007F1BD5"/>
    <w:rsid w:val="007F32E1"/>
    <w:rsid w:val="007F623E"/>
    <w:rsid w:val="007F6267"/>
    <w:rsid w:val="007F7811"/>
    <w:rsid w:val="008029C3"/>
    <w:rsid w:val="00802D61"/>
    <w:rsid w:val="00802DB6"/>
    <w:rsid w:val="00805403"/>
    <w:rsid w:val="00806A09"/>
    <w:rsid w:val="00806B71"/>
    <w:rsid w:val="00806CC8"/>
    <w:rsid w:val="00807FA6"/>
    <w:rsid w:val="00810299"/>
    <w:rsid w:val="008110EB"/>
    <w:rsid w:val="008118C8"/>
    <w:rsid w:val="00811EAF"/>
    <w:rsid w:val="008128BA"/>
    <w:rsid w:val="00813E74"/>
    <w:rsid w:val="00813EA7"/>
    <w:rsid w:val="00815B26"/>
    <w:rsid w:val="00815B61"/>
    <w:rsid w:val="00815B85"/>
    <w:rsid w:val="008165AA"/>
    <w:rsid w:val="008201AB"/>
    <w:rsid w:val="00822282"/>
    <w:rsid w:val="00822383"/>
    <w:rsid w:val="008231F7"/>
    <w:rsid w:val="0082364D"/>
    <w:rsid w:val="00823CCD"/>
    <w:rsid w:val="008267ED"/>
    <w:rsid w:val="00830601"/>
    <w:rsid w:val="00830B8F"/>
    <w:rsid w:val="00831769"/>
    <w:rsid w:val="00831ED0"/>
    <w:rsid w:val="0083214F"/>
    <w:rsid w:val="008327C6"/>
    <w:rsid w:val="008333F6"/>
    <w:rsid w:val="008351D7"/>
    <w:rsid w:val="00835243"/>
    <w:rsid w:val="008358B4"/>
    <w:rsid w:val="00835CF0"/>
    <w:rsid w:val="008366FB"/>
    <w:rsid w:val="00837882"/>
    <w:rsid w:val="00837E72"/>
    <w:rsid w:val="008408DF"/>
    <w:rsid w:val="008431E3"/>
    <w:rsid w:val="00843987"/>
    <w:rsid w:val="00843A08"/>
    <w:rsid w:val="0084454F"/>
    <w:rsid w:val="00844FE3"/>
    <w:rsid w:val="0084542B"/>
    <w:rsid w:val="00847D42"/>
    <w:rsid w:val="0085066D"/>
    <w:rsid w:val="00850C43"/>
    <w:rsid w:val="00851986"/>
    <w:rsid w:val="00851EEA"/>
    <w:rsid w:val="008551E9"/>
    <w:rsid w:val="00857090"/>
    <w:rsid w:val="008650BB"/>
    <w:rsid w:val="00871AFC"/>
    <w:rsid w:val="00874401"/>
    <w:rsid w:val="008754B4"/>
    <w:rsid w:val="00876114"/>
    <w:rsid w:val="00877C46"/>
    <w:rsid w:val="00877F99"/>
    <w:rsid w:val="00880B2D"/>
    <w:rsid w:val="00881C05"/>
    <w:rsid w:val="00881EB3"/>
    <w:rsid w:val="00882429"/>
    <w:rsid w:val="008834FF"/>
    <w:rsid w:val="0088369B"/>
    <w:rsid w:val="00883867"/>
    <w:rsid w:val="0088457B"/>
    <w:rsid w:val="008858C7"/>
    <w:rsid w:val="00885DDA"/>
    <w:rsid w:val="00890A83"/>
    <w:rsid w:val="00891750"/>
    <w:rsid w:val="008933F1"/>
    <w:rsid w:val="0089382C"/>
    <w:rsid w:val="008959EB"/>
    <w:rsid w:val="00895C60"/>
    <w:rsid w:val="00896A4E"/>
    <w:rsid w:val="00896C04"/>
    <w:rsid w:val="00896F60"/>
    <w:rsid w:val="00897744"/>
    <w:rsid w:val="008A09ED"/>
    <w:rsid w:val="008A1814"/>
    <w:rsid w:val="008A1CF6"/>
    <w:rsid w:val="008A202F"/>
    <w:rsid w:val="008A37DF"/>
    <w:rsid w:val="008A4268"/>
    <w:rsid w:val="008A5F45"/>
    <w:rsid w:val="008A630C"/>
    <w:rsid w:val="008A7715"/>
    <w:rsid w:val="008B03B4"/>
    <w:rsid w:val="008B1640"/>
    <w:rsid w:val="008B25C4"/>
    <w:rsid w:val="008B2811"/>
    <w:rsid w:val="008B3F20"/>
    <w:rsid w:val="008B5D61"/>
    <w:rsid w:val="008B617D"/>
    <w:rsid w:val="008B6661"/>
    <w:rsid w:val="008C29EF"/>
    <w:rsid w:val="008C32D7"/>
    <w:rsid w:val="008C4FC7"/>
    <w:rsid w:val="008C5FD1"/>
    <w:rsid w:val="008C6574"/>
    <w:rsid w:val="008C6A0C"/>
    <w:rsid w:val="008C7119"/>
    <w:rsid w:val="008C730D"/>
    <w:rsid w:val="008C773F"/>
    <w:rsid w:val="008D1FAA"/>
    <w:rsid w:val="008D2C63"/>
    <w:rsid w:val="008D4934"/>
    <w:rsid w:val="008D4948"/>
    <w:rsid w:val="008D5E68"/>
    <w:rsid w:val="008D6400"/>
    <w:rsid w:val="008E05AC"/>
    <w:rsid w:val="008E1077"/>
    <w:rsid w:val="008E23E6"/>
    <w:rsid w:val="008E6A10"/>
    <w:rsid w:val="008F2179"/>
    <w:rsid w:val="008F2210"/>
    <w:rsid w:val="008F52F4"/>
    <w:rsid w:val="0090017C"/>
    <w:rsid w:val="0090101E"/>
    <w:rsid w:val="00902768"/>
    <w:rsid w:val="00907638"/>
    <w:rsid w:val="0091004D"/>
    <w:rsid w:val="00910205"/>
    <w:rsid w:val="009107B7"/>
    <w:rsid w:val="009124A8"/>
    <w:rsid w:val="00917871"/>
    <w:rsid w:val="00920C1F"/>
    <w:rsid w:val="00921241"/>
    <w:rsid w:val="009227ED"/>
    <w:rsid w:val="009235C3"/>
    <w:rsid w:val="00923BAE"/>
    <w:rsid w:val="009249F4"/>
    <w:rsid w:val="009257D2"/>
    <w:rsid w:val="00925F98"/>
    <w:rsid w:val="00927FCB"/>
    <w:rsid w:val="00930097"/>
    <w:rsid w:val="00930CDE"/>
    <w:rsid w:val="00931415"/>
    <w:rsid w:val="00932438"/>
    <w:rsid w:val="0093299A"/>
    <w:rsid w:val="009332EC"/>
    <w:rsid w:val="00934456"/>
    <w:rsid w:val="00934997"/>
    <w:rsid w:val="00935CED"/>
    <w:rsid w:val="00936567"/>
    <w:rsid w:val="00937929"/>
    <w:rsid w:val="0094221F"/>
    <w:rsid w:val="009434A6"/>
    <w:rsid w:val="00943935"/>
    <w:rsid w:val="009443E8"/>
    <w:rsid w:val="00944AF7"/>
    <w:rsid w:val="00944BC1"/>
    <w:rsid w:val="00944EAA"/>
    <w:rsid w:val="009474D6"/>
    <w:rsid w:val="00951654"/>
    <w:rsid w:val="00951A1A"/>
    <w:rsid w:val="00953489"/>
    <w:rsid w:val="00953BA9"/>
    <w:rsid w:val="0095727E"/>
    <w:rsid w:val="00957FCA"/>
    <w:rsid w:val="00960457"/>
    <w:rsid w:val="0096053E"/>
    <w:rsid w:val="00960812"/>
    <w:rsid w:val="00961106"/>
    <w:rsid w:val="00961DC7"/>
    <w:rsid w:val="00962753"/>
    <w:rsid w:val="0096446E"/>
    <w:rsid w:val="00964497"/>
    <w:rsid w:val="00964CEA"/>
    <w:rsid w:val="009665EA"/>
    <w:rsid w:val="00967BA0"/>
    <w:rsid w:val="00970518"/>
    <w:rsid w:val="009709C7"/>
    <w:rsid w:val="009715D0"/>
    <w:rsid w:val="00971A51"/>
    <w:rsid w:val="0097224F"/>
    <w:rsid w:val="009724C3"/>
    <w:rsid w:val="00973059"/>
    <w:rsid w:val="009758AB"/>
    <w:rsid w:val="00975C52"/>
    <w:rsid w:val="00977B7B"/>
    <w:rsid w:val="00981568"/>
    <w:rsid w:val="00981A55"/>
    <w:rsid w:val="00981B51"/>
    <w:rsid w:val="00981D53"/>
    <w:rsid w:val="00984415"/>
    <w:rsid w:val="00984917"/>
    <w:rsid w:val="00986B17"/>
    <w:rsid w:val="0098795C"/>
    <w:rsid w:val="0098796A"/>
    <w:rsid w:val="00991C01"/>
    <w:rsid w:val="009931A2"/>
    <w:rsid w:val="00994516"/>
    <w:rsid w:val="009951E5"/>
    <w:rsid w:val="00995BC4"/>
    <w:rsid w:val="009970EE"/>
    <w:rsid w:val="00997AC8"/>
    <w:rsid w:val="009A0196"/>
    <w:rsid w:val="009A3A66"/>
    <w:rsid w:val="009A3F8C"/>
    <w:rsid w:val="009A5111"/>
    <w:rsid w:val="009A6C7A"/>
    <w:rsid w:val="009A7AB0"/>
    <w:rsid w:val="009B05CC"/>
    <w:rsid w:val="009B092E"/>
    <w:rsid w:val="009B1A65"/>
    <w:rsid w:val="009B3F48"/>
    <w:rsid w:val="009B6C09"/>
    <w:rsid w:val="009B7BF5"/>
    <w:rsid w:val="009C0237"/>
    <w:rsid w:val="009C06C6"/>
    <w:rsid w:val="009C3042"/>
    <w:rsid w:val="009C3492"/>
    <w:rsid w:val="009C3703"/>
    <w:rsid w:val="009C42B1"/>
    <w:rsid w:val="009C459F"/>
    <w:rsid w:val="009C5E44"/>
    <w:rsid w:val="009C6480"/>
    <w:rsid w:val="009D146E"/>
    <w:rsid w:val="009D2013"/>
    <w:rsid w:val="009E06B3"/>
    <w:rsid w:val="009E0BD4"/>
    <w:rsid w:val="009E26E0"/>
    <w:rsid w:val="009E2AC3"/>
    <w:rsid w:val="009E2E5D"/>
    <w:rsid w:val="009E49FC"/>
    <w:rsid w:val="009E4CE6"/>
    <w:rsid w:val="009E4D8E"/>
    <w:rsid w:val="009E6541"/>
    <w:rsid w:val="009E7A88"/>
    <w:rsid w:val="009F00B2"/>
    <w:rsid w:val="009F1C93"/>
    <w:rsid w:val="009F4371"/>
    <w:rsid w:val="009F6147"/>
    <w:rsid w:val="009F6597"/>
    <w:rsid w:val="009F7D57"/>
    <w:rsid w:val="00A00354"/>
    <w:rsid w:val="00A02091"/>
    <w:rsid w:val="00A03B2B"/>
    <w:rsid w:val="00A03BD9"/>
    <w:rsid w:val="00A067E7"/>
    <w:rsid w:val="00A0793E"/>
    <w:rsid w:val="00A079EB"/>
    <w:rsid w:val="00A103B6"/>
    <w:rsid w:val="00A1055D"/>
    <w:rsid w:val="00A10938"/>
    <w:rsid w:val="00A133A9"/>
    <w:rsid w:val="00A139DF"/>
    <w:rsid w:val="00A14C19"/>
    <w:rsid w:val="00A15C17"/>
    <w:rsid w:val="00A22AB5"/>
    <w:rsid w:val="00A23297"/>
    <w:rsid w:val="00A26E55"/>
    <w:rsid w:val="00A305D7"/>
    <w:rsid w:val="00A32C0B"/>
    <w:rsid w:val="00A335D8"/>
    <w:rsid w:val="00A3560B"/>
    <w:rsid w:val="00A35674"/>
    <w:rsid w:val="00A358C5"/>
    <w:rsid w:val="00A36F7C"/>
    <w:rsid w:val="00A370E6"/>
    <w:rsid w:val="00A372F5"/>
    <w:rsid w:val="00A37525"/>
    <w:rsid w:val="00A375E9"/>
    <w:rsid w:val="00A401A9"/>
    <w:rsid w:val="00A4073A"/>
    <w:rsid w:val="00A41069"/>
    <w:rsid w:val="00A423E7"/>
    <w:rsid w:val="00A43D57"/>
    <w:rsid w:val="00A44986"/>
    <w:rsid w:val="00A44AE3"/>
    <w:rsid w:val="00A46466"/>
    <w:rsid w:val="00A4650C"/>
    <w:rsid w:val="00A50F09"/>
    <w:rsid w:val="00A512BC"/>
    <w:rsid w:val="00A536EF"/>
    <w:rsid w:val="00A53B84"/>
    <w:rsid w:val="00A54FBE"/>
    <w:rsid w:val="00A55613"/>
    <w:rsid w:val="00A55E79"/>
    <w:rsid w:val="00A560C2"/>
    <w:rsid w:val="00A5691E"/>
    <w:rsid w:val="00A576C9"/>
    <w:rsid w:val="00A606A0"/>
    <w:rsid w:val="00A619D6"/>
    <w:rsid w:val="00A627A3"/>
    <w:rsid w:val="00A63293"/>
    <w:rsid w:val="00A63A7E"/>
    <w:rsid w:val="00A64532"/>
    <w:rsid w:val="00A656CA"/>
    <w:rsid w:val="00A6653A"/>
    <w:rsid w:val="00A66B6E"/>
    <w:rsid w:val="00A66FF5"/>
    <w:rsid w:val="00A673C9"/>
    <w:rsid w:val="00A6742B"/>
    <w:rsid w:val="00A67BCB"/>
    <w:rsid w:val="00A73175"/>
    <w:rsid w:val="00A73A4F"/>
    <w:rsid w:val="00A73B54"/>
    <w:rsid w:val="00A761CF"/>
    <w:rsid w:val="00A76339"/>
    <w:rsid w:val="00A76DBD"/>
    <w:rsid w:val="00A77433"/>
    <w:rsid w:val="00A82BB9"/>
    <w:rsid w:val="00A84256"/>
    <w:rsid w:val="00A84F78"/>
    <w:rsid w:val="00A8579D"/>
    <w:rsid w:val="00A90ADE"/>
    <w:rsid w:val="00A919E9"/>
    <w:rsid w:val="00A92B1D"/>
    <w:rsid w:val="00A93243"/>
    <w:rsid w:val="00A9512F"/>
    <w:rsid w:val="00A9513B"/>
    <w:rsid w:val="00A95A29"/>
    <w:rsid w:val="00A9672A"/>
    <w:rsid w:val="00AA01F5"/>
    <w:rsid w:val="00AA0924"/>
    <w:rsid w:val="00AA17BF"/>
    <w:rsid w:val="00AA1BC6"/>
    <w:rsid w:val="00AA229B"/>
    <w:rsid w:val="00AA408E"/>
    <w:rsid w:val="00AA4425"/>
    <w:rsid w:val="00AA476A"/>
    <w:rsid w:val="00AA5BD9"/>
    <w:rsid w:val="00AA5EBB"/>
    <w:rsid w:val="00AA6CD4"/>
    <w:rsid w:val="00AA71A7"/>
    <w:rsid w:val="00AB14BF"/>
    <w:rsid w:val="00AB1F3A"/>
    <w:rsid w:val="00AB28D4"/>
    <w:rsid w:val="00AB5111"/>
    <w:rsid w:val="00AB6141"/>
    <w:rsid w:val="00AB656F"/>
    <w:rsid w:val="00AB671B"/>
    <w:rsid w:val="00AC03DF"/>
    <w:rsid w:val="00AC0621"/>
    <w:rsid w:val="00AC2796"/>
    <w:rsid w:val="00AC3891"/>
    <w:rsid w:val="00AC3926"/>
    <w:rsid w:val="00AC4761"/>
    <w:rsid w:val="00AC55D0"/>
    <w:rsid w:val="00AC5FC8"/>
    <w:rsid w:val="00AC61E1"/>
    <w:rsid w:val="00AC62AA"/>
    <w:rsid w:val="00AC68E3"/>
    <w:rsid w:val="00AC7057"/>
    <w:rsid w:val="00AC7DED"/>
    <w:rsid w:val="00AD08CA"/>
    <w:rsid w:val="00AD1F3E"/>
    <w:rsid w:val="00AD1F7B"/>
    <w:rsid w:val="00AD4090"/>
    <w:rsid w:val="00AD497E"/>
    <w:rsid w:val="00AD66CB"/>
    <w:rsid w:val="00AD7382"/>
    <w:rsid w:val="00AD7483"/>
    <w:rsid w:val="00AD7EE3"/>
    <w:rsid w:val="00AE0A20"/>
    <w:rsid w:val="00AE1589"/>
    <w:rsid w:val="00AE183D"/>
    <w:rsid w:val="00AE20D5"/>
    <w:rsid w:val="00AE25B5"/>
    <w:rsid w:val="00AE4BEB"/>
    <w:rsid w:val="00AE4DB6"/>
    <w:rsid w:val="00AF02CD"/>
    <w:rsid w:val="00AF0320"/>
    <w:rsid w:val="00AF176E"/>
    <w:rsid w:val="00AF23B0"/>
    <w:rsid w:val="00AF3075"/>
    <w:rsid w:val="00AF3573"/>
    <w:rsid w:val="00AF487B"/>
    <w:rsid w:val="00AF52D6"/>
    <w:rsid w:val="00B00570"/>
    <w:rsid w:val="00B058E7"/>
    <w:rsid w:val="00B106D8"/>
    <w:rsid w:val="00B10B94"/>
    <w:rsid w:val="00B11238"/>
    <w:rsid w:val="00B1360E"/>
    <w:rsid w:val="00B14AE4"/>
    <w:rsid w:val="00B20C4B"/>
    <w:rsid w:val="00B20FE5"/>
    <w:rsid w:val="00B21671"/>
    <w:rsid w:val="00B23DB6"/>
    <w:rsid w:val="00B302B6"/>
    <w:rsid w:val="00B3140B"/>
    <w:rsid w:val="00B31BC8"/>
    <w:rsid w:val="00B32255"/>
    <w:rsid w:val="00B3353B"/>
    <w:rsid w:val="00B3439B"/>
    <w:rsid w:val="00B36662"/>
    <w:rsid w:val="00B36968"/>
    <w:rsid w:val="00B40727"/>
    <w:rsid w:val="00B4102B"/>
    <w:rsid w:val="00B41EC6"/>
    <w:rsid w:val="00B421D7"/>
    <w:rsid w:val="00B42263"/>
    <w:rsid w:val="00B44570"/>
    <w:rsid w:val="00B45B07"/>
    <w:rsid w:val="00B501BD"/>
    <w:rsid w:val="00B50D0C"/>
    <w:rsid w:val="00B515A9"/>
    <w:rsid w:val="00B53BB8"/>
    <w:rsid w:val="00B55A57"/>
    <w:rsid w:val="00B57022"/>
    <w:rsid w:val="00B603E4"/>
    <w:rsid w:val="00B61107"/>
    <w:rsid w:val="00B6153F"/>
    <w:rsid w:val="00B62668"/>
    <w:rsid w:val="00B62708"/>
    <w:rsid w:val="00B63283"/>
    <w:rsid w:val="00B63908"/>
    <w:rsid w:val="00B63914"/>
    <w:rsid w:val="00B647ED"/>
    <w:rsid w:val="00B64C96"/>
    <w:rsid w:val="00B65953"/>
    <w:rsid w:val="00B664B2"/>
    <w:rsid w:val="00B66807"/>
    <w:rsid w:val="00B6683B"/>
    <w:rsid w:val="00B67547"/>
    <w:rsid w:val="00B6775D"/>
    <w:rsid w:val="00B701F3"/>
    <w:rsid w:val="00B7023B"/>
    <w:rsid w:val="00B713BE"/>
    <w:rsid w:val="00B723B0"/>
    <w:rsid w:val="00B7287D"/>
    <w:rsid w:val="00B74D33"/>
    <w:rsid w:val="00B764FA"/>
    <w:rsid w:val="00B8093C"/>
    <w:rsid w:val="00B8173B"/>
    <w:rsid w:val="00B8218F"/>
    <w:rsid w:val="00B82486"/>
    <w:rsid w:val="00B826D0"/>
    <w:rsid w:val="00B82BAE"/>
    <w:rsid w:val="00B84BE6"/>
    <w:rsid w:val="00B85856"/>
    <w:rsid w:val="00B86914"/>
    <w:rsid w:val="00B91709"/>
    <w:rsid w:val="00B92D34"/>
    <w:rsid w:val="00B936D7"/>
    <w:rsid w:val="00B94F30"/>
    <w:rsid w:val="00BA07E9"/>
    <w:rsid w:val="00BA2D47"/>
    <w:rsid w:val="00BA406D"/>
    <w:rsid w:val="00BA44BF"/>
    <w:rsid w:val="00BA573A"/>
    <w:rsid w:val="00BA661E"/>
    <w:rsid w:val="00BA6647"/>
    <w:rsid w:val="00BB0578"/>
    <w:rsid w:val="00BB0BF2"/>
    <w:rsid w:val="00BB3196"/>
    <w:rsid w:val="00BB3B0C"/>
    <w:rsid w:val="00BB53C1"/>
    <w:rsid w:val="00BB7380"/>
    <w:rsid w:val="00BB75EC"/>
    <w:rsid w:val="00BC1FD6"/>
    <w:rsid w:val="00BC6605"/>
    <w:rsid w:val="00BC6686"/>
    <w:rsid w:val="00BC6F8C"/>
    <w:rsid w:val="00BC757E"/>
    <w:rsid w:val="00BD037D"/>
    <w:rsid w:val="00BD04D2"/>
    <w:rsid w:val="00BD0A10"/>
    <w:rsid w:val="00BD168E"/>
    <w:rsid w:val="00BD29CD"/>
    <w:rsid w:val="00BD2E84"/>
    <w:rsid w:val="00BD2F54"/>
    <w:rsid w:val="00BD44EA"/>
    <w:rsid w:val="00BD665E"/>
    <w:rsid w:val="00BE0099"/>
    <w:rsid w:val="00BE12CC"/>
    <w:rsid w:val="00BE21E6"/>
    <w:rsid w:val="00BE6A00"/>
    <w:rsid w:val="00BE7535"/>
    <w:rsid w:val="00BE77BE"/>
    <w:rsid w:val="00BF429B"/>
    <w:rsid w:val="00BF7A45"/>
    <w:rsid w:val="00C0016B"/>
    <w:rsid w:val="00C010B0"/>
    <w:rsid w:val="00C01698"/>
    <w:rsid w:val="00C02C4E"/>
    <w:rsid w:val="00C043C1"/>
    <w:rsid w:val="00C06423"/>
    <w:rsid w:val="00C102E7"/>
    <w:rsid w:val="00C129D0"/>
    <w:rsid w:val="00C13989"/>
    <w:rsid w:val="00C15746"/>
    <w:rsid w:val="00C1638C"/>
    <w:rsid w:val="00C16AEB"/>
    <w:rsid w:val="00C2112E"/>
    <w:rsid w:val="00C217B1"/>
    <w:rsid w:val="00C21B72"/>
    <w:rsid w:val="00C242F1"/>
    <w:rsid w:val="00C24A06"/>
    <w:rsid w:val="00C256A9"/>
    <w:rsid w:val="00C25AF3"/>
    <w:rsid w:val="00C25B36"/>
    <w:rsid w:val="00C25FCA"/>
    <w:rsid w:val="00C26338"/>
    <w:rsid w:val="00C2656A"/>
    <w:rsid w:val="00C27A94"/>
    <w:rsid w:val="00C27D6C"/>
    <w:rsid w:val="00C30C36"/>
    <w:rsid w:val="00C30FB8"/>
    <w:rsid w:val="00C315E4"/>
    <w:rsid w:val="00C33DA1"/>
    <w:rsid w:val="00C3465D"/>
    <w:rsid w:val="00C34EE0"/>
    <w:rsid w:val="00C3595F"/>
    <w:rsid w:val="00C35B30"/>
    <w:rsid w:val="00C40B8C"/>
    <w:rsid w:val="00C42560"/>
    <w:rsid w:val="00C425DC"/>
    <w:rsid w:val="00C431E1"/>
    <w:rsid w:val="00C4373C"/>
    <w:rsid w:val="00C43FA6"/>
    <w:rsid w:val="00C442D5"/>
    <w:rsid w:val="00C4770C"/>
    <w:rsid w:val="00C4783F"/>
    <w:rsid w:val="00C50219"/>
    <w:rsid w:val="00C50D2C"/>
    <w:rsid w:val="00C542B0"/>
    <w:rsid w:val="00C5526E"/>
    <w:rsid w:val="00C570B1"/>
    <w:rsid w:val="00C57A40"/>
    <w:rsid w:val="00C57D63"/>
    <w:rsid w:val="00C60482"/>
    <w:rsid w:val="00C60D42"/>
    <w:rsid w:val="00C620B0"/>
    <w:rsid w:val="00C636C8"/>
    <w:rsid w:val="00C647AC"/>
    <w:rsid w:val="00C674B7"/>
    <w:rsid w:val="00C67A7E"/>
    <w:rsid w:val="00C70ED6"/>
    <w:rsid w:val="00C71086"/>
    <w:rsid w:val="00C71A9C"/>
    <w:rsid w:val="00C71C30"/>
    <w:rsid w:val="00C71DE1"/>
    <w:rsid w:val="00C7361E"/>
    <w:rsid w:val="00C737C1"/>
    <w:rsid w:val="00C739B7"/>
    <w:rsid w:val="00C73F89"/>
    <w:rsid w:val="00C7458A"/>
    <w:rsid w:val="00C755CD"/>
    <w:rsid w:val="00C7604C"/>
    <w:rsid w:val="00C76DFB"/>
    <w:rsid w:val="00C8169B"/>
    <w:rsid w:val="00C84330"/>
    <w:rsid w:val="00C8598D"/>
    <w:rsid w:val="00C85F55"/>
    <w:rsid w:val="00C85F6C"/>
    <w:rsid w:val="00C86347"/>
    <w:rsid w:val="00C86671"/>
    <w:rsid w:val="00C904D2"/>
    <w:rsid w:val="00C91582"/>
    <w:rsid w:val="00C91DB8"/>
    <w:rsid w:val="00C92820"/>
    <w:rsid w:val="00C92F7F"/>
    <w:rsid w:val="00C94271"/>
    <w:rsid w:val="00C9585C"/>
    <w:rsid w:val="00C95B31"/>
    <w:rsid w:val="00C97958"/>
    <w:rsid w:val="00CA20B2"/>
    <w:rsid w:val="00CA3185"/>
    <w:rsid w:val="00CA4CAE"/>
    <w:rsid w:val="00CA5686"/>
    <w:rsid w:val="00CA5737"/>
    <w:rsid w:val="00CA66DE"/>
    <w:rsid w:val="00CA6EBB"/>
    <w:rsid w:val="00CB1A3B"/>
    <w:rsid w:val="00CB1B78"/>
    <w:rsid w:val="00CB5CEB"/>
    <w:rsid w:val="00CB6538"/>
    <w:rsid w:val="00CB67FC"/>
    <w:rsid w:val="00CB7070"/>
    <w:rsid w:val="00CB7408"/>
    <w:rsid w:val="00CB76A5"/>
    <w:rsid w:val="00CC23C8"/>
    <w:rsid w:val="00CC3D9C"/>
    <w:rsid w:val="00CC464F"/>
    <w:rsid w:val="00CC58E9"/>
    <w:rsid w:val="00CC793C"/>
    <w:rsid w:val="00CC7B05"/>
    <w:rsid w:val="00CC7D7F"/>
    <w:rsid w:val="00CD091E"/>
    <w:rsid w:val="00CD2CFC"/>
    <w:rsid w:val="00CD3965"/>
    <w:rsid w:val="00CD56E8"/>
    <w:rsid w:val="00CD5B80"/>
    <w:rsid w:val="00CD5F34"/>
    <w:rsid w:val="00CE0216"/>
    <w:rsid w:val="00CE0812"/>
    <w:rsid w:val="00CE0F30"/>
    <w:rsid w:val="00CE1E17"/>
    <w:rsid w:val="00CE1E64"/>
    <w:rsid w:val="00CE233F"/>
    <w:rsid w:val="00CE5EE4"/>
    <w:rsid w:val="00CE6782"/>
    <w:rsid w:val="00CE6C54"/>
    <w:rsid w:val="00CF2BCE"/>
    <w:rsid w:val="00CF350A"/>
    <w:rsid w:val="00CF3D65"/>
    <w:rsid w:val="00CF524A"/>
    <w:rsid w:val="00CF58CA"/>
    <w:rsid w:val="00CF6641"/>
    <w:rsid w:val="00CF6AAF"/>
    <w:rsid w:val="00CF73D5"/>
    <w:rsid w:val="00CF75DC"/>
    <w:rsid w:val="00CF7982"/>
    <w:rsid w:val="00D03793"/>
    <w:rsid w:val="00D03D26"/>
    <w:rsid w:val="00D05E84"/>
    <w:rsid w:val="00D1239F"/>
    <w:rsid w:val="00D126F9"/>
    <w:rsid w:val="00D12BB3"/>
    <w:rsid w:val="00D174A2"/>
    <w:rsid w:val="00D21D8C"/>
    <w:rsid w:val="00D233AD"/>
    <w:rsid w:val="00D25385"/>
    <w:rsid w:val="00D25419"/>
    <w:rsid w:val="00D25DDC"/>
    <w:rsid w:val="00D27482"/>
    <w:rsid w:val="00D311CF"/>
    <w:rsid w:val="00D322A9"/>
    <w:rsid w:val="00D32FD5"/>
    <w:rsid w:val="00D338E2"/>
    <w:rsid w:val="00D353B2"/>
    <w:rsid w:val="00D3579D"/>
    <w:rsid w:val="00D35A73"/>
    <w:rsid w:val="00D40D43"/>
    <w:rsid w:val="00D419D9"/>
    <w:rsid w:val="00D41F1C"/>
    <w:rsid w:val="00D42D37"/>
    <w:rsid w:val="00D4365E"/>
    <w:rsid w:val="00D45709"/>
    <w:rsid w:val="00D461AC"/>
    <w:rsid w:val="00D50627"/>
    <w:rsid w:val="00D50F4D"/>
    <w:rsid w:val="00D519C4"/>
    <w:rsid w:val="00D525B7"/>
    <w:rsid w:val="00D53045"/>
    <w:rsid w:val="00D53E1B"/>
    <w:rsid w:val="00D54A3E"/>
    <w:rsid w:val="00D55249"/>
    <w:rsid w:val="00D56166"/>
    <w:rsid w:val="00D56C47"/>
    <w:rsid w:val="00D62A64"/>
    <w:rsid w:val="00D64C8F"/>
    <w:rsid w:val="00D6586D"/>
    <w:rsid w:val="00D672C0"/>
    <w:rsid w:val="00D70035"/>
    <w:rsid w:val="00D709CC"/>
    <w:rsid w:val="00D71755"/>
    <w:rsid w:val="00D71D35"/>
    <w:rsid w:val="00D72082"/>
    <w:rsid w:val="00D745A5"/>
    <w:rsid w:val="00D7480B"/>
    <w:rsid w:val="00D752AF"/>
    <w:rsid w:val="00D76656"/>
    <w:rsid w:val="00D76DA4"/>
    <w:rsid w:val="00D805A4"/>
    <w:rsid w:val="00D806EC"/>
    <w:rsid w:val="00D814E1"/>
    <w:rsid w:val="00D83B42"/>
    <w:rsid w:val="00D85B63"/>
    <w:rsid w:val="00D85E92"/>
    <w:rsid w:val="00D91D87"/>
    <w:rsid w:val="00D92514"/>
    <w:rsid w:val="00D933D2"/>
    <w:rsid w:val="00D95AF7"/>
    <w:rsid w:val="00D96B52"/>
    <w:rsid w:val="00D97345"/>
    <w:rsid w:val="00D97BE0"/>
    <w:rsid w:val="00D97CF5"/>
    <w:rsid w:val="00DA0DC0"/>
    <w:rsid w:val="00DA18B8"/>
    <w:rsid w:val="00DA29B9"/>
    <w:rsid w:val="00DA6608"/>
    <w:rsid w:val="00DA668A"/>
    <w:rsid w:val="00DA6B8D"/>
    <w:rsid w:val="00DA6DF7"/>
    <w:rsid w:val="00DA7495"/>
    <w:rsid w:val="00DA7CA3"/>
    <w:rsid w:val="00DB0349"/>
    <w:rsid w:val="00DB0392"/>
    <w:rsid w:val="00DB0F01"/>
    <w:rsid w:val="00DB13E2"/>
    <w:rsid w:val="00DB3FAD"/>
    <w:rsid w:val="00DB65FA"/>
    <w:rsid w:val="00DB6E98"/>
    <w:rsid w:val="00DB7349"/>
    <w:rsid w:val="00DC0F76"/>
    <w:rsid w:val="00DC162C"/>
    <w:rsid w:val="00DC19DA"/>
    <w:rsid w:val="00DC264C"/>
    <w:rsid w:val="00DC29AA"/>
    <w:rsid w:val="00DC2D46"/>
    <w:rsid w:val="00DC4565"/>
    <w:rsid w:val="00DC467A"/>
    <w:rsid w:val="00DC5BF1"/>
    <w:rsid w:val="00DC6B43"/>
    <w:rsid w:val="00DC6E02"/>
    <w:rsid w:val="00DC7283"/>
    <w:rsid w:val="00DD0925"/>
    <w:rsid w:val="00DD1C76"/>
    <w:rsid w:val="00DD372E"/>
    <w:rsid w:val="00DE0C5C"/>
    <w:rsid w:val="00DE0CF9"/>
    <w:rsid w:val="00DE1EC8"/>
    <w:rsid w:val="00DE40D1"/>
    <w:rsid w:val="00DE5879"/>
    <w:rsid w:val="00DE61C5"/>
    <w:rsid w:val="00DF035C"/>
    <w:rsid w:val="00DF0609"/>
    <w:rsid w:val="00DF098D"/>
    <w:rsid w:val="00DF0F16"/>
    <w:rsid w:val="00DF4EBB"/>
    <w:rsid w:val="00DF717D"/>
    <w:rsid w:val="00E004EB"/>
    <w:rsid w:val="00E00EA2"/>
    <w:rsid w:val="00E01704"/>
    <w:rsid w:val="00E0226C"/>
    <w:rsid w:val="00E038D1"/>
    <w:rsid w:val="00E05108"/>
    <w:rsid w:val="00E05CE4"/>
    <w:rsid w:val="00E076CF"/>
    <w:rsid w:val="00E10EBA"/>
    <w:rsid w:val="00E12515"/>
    <w:rsid w:val="00E13EE1"/>
    <w:rsid w:val="00E1481B"/>
    <w:rsid w:val="00E161CB"/>
    <w:rsid w:val="00E16259"/>
    <w:rsid w:val="00E164B3"/>
    <w:rsid w:val="00E167D4"/>
    <w:rsid w:val="00E16843"/>
    <w:rsid w:val="00E16BC5"/>
    <w:rsid w:val="00E21147"/>
    <w:rsid w:val="00E214CA"/>
    <w:rsid w:val="00E23129"/>
    <w:rsid w:val="00E23E7E"/>
    <w:rsid w:val="00E23F40"/>
    <w:rsid w:val="00E31932"/>
    <w:rsid w:val="00E321BA"/>
    <w:rsid w:val="00E3390A"/>
    <w:rsid w:val="00E34AD5"/>
    <w:rsid w:val="00E3612E"/>
    <w:rsid w:val="00E37B2D"/>
    <w:rsid w:val="00E37D52"/>
    <w:rsid w:val="00E402B1"/>
    <w:rsid w:val="00E40662"/>
    <w:rsid w:val="00E43BC4"/>
    <w:rsid w:val="00E44A7C"/>
    <w:rsid w:val="00E45EBD"/>
    <w:rsid w:val="00E47776"/>
    <w:rsid w:val="00E51120"/>
    <w:rsid w:val="00E522F3"/>
    <w:rsid w:val="00E53121"/>
    <w:rsid w:val="00E53B8D"/>
    <w:rsid w:val="00E54D2F"/>
    <w:rsid w:val="00E55027"/>
    <w:rsid w:val="00E562E1"/>
    <w:rsid w:val="00E563F6"/>
    <w:rsid w:val="00E565E2"/>
    <w:rsid w:val="00E56A81"/>
    <w:rsid w:val="00E57D20"/>
    <w:rsid w:val="00E60817"/>
    <w:rsid w:val="00E611EB"/>
    <w:rsid w:val="00E62431"/>
    <w:rsid w:val="00E62869"/>
    <w:rsid w:val="00E6483B"/>
    <w:rsid w:val="00E662FA"/>
    <w:rsid w:val="00E665DC"/>
    <w:rsid w:val="00E678E7"/>
    <w:rsid w:val="00E7180A"/>
    <w:rsid w:val="00E736A8"/>
    <w:rsid w:val="00E7400D"/>
    <w:rsid w:val="00E74AE8"/>
    <w:rsid w:val="00E74BA5"/>
    <w:rsid w:val="00E76B7C"/>
    <w:rsid w:val="00E77783"/>
    <w:rsid w:val="00E80DE8"/>
    <w:rsid w:val="00E816BA"/>
    <w:rsid w:val="00E825CF"/>
    <w:rsid w:val="00E82F37"/>
    <w:rsid w:val="00E832D5"/>
    <w:rsid w:val="00E8525E"/>
    <w:rsid w:val="00E8541E"/>
    <w:rsid w:val="00E8667D"/>
    <w:rsid w:val="00E8726A"/>
    <w:rsid w:val="00E90310"/>
    <w:rsid w:val="00E9062A"/>
    <w:rsid w:val="00E90D09"/>
    <w:rsid w:val="00E92737"/>
    <w:rsid w:val="00E95A54"/>
    <w:rsid w:val="00E960E4"/>
    <w:rsid w:val="00E9621B"/>
    <w:rsid w:val="00E977E4"/>
    <w:rsid w:val="00EA0357"/>
    <w:rsid w:val="00EA1859"/>
    <w:rsid w:val="00EA1D80"/>
    <w:rsid w:val="00EA27B9"/>
    <w:rsid w:val="00EA33DB"/>
    <w:rsid w:val="00EA531E"/>
    <w:rsid w:val="00EA728A"/>
    <w:rsid w:val="00EB02A1"/>
    <w:rsid w:val="00EB0C13"/>
    <w:rsid w:val="00EB0FFD"/>
    <w:rsid w:val="00EB1080"/>
    <w:rsid w:val="00EB20A8"/>
    <w:rsid w:val="00EB3072"/>
    <w:rsid w:val="00EB33C9"/>
    <w:rsid w:val="00EB740F"/>
    <w:rsid w:val="00EB776E"/>
    <w:rsid w:val="00EC00A6"/>
    <w:rsid w:val="00EC0562"/>
    <w:rsid w:val="00EC09D8"/>
    <w:rsid w:val="00EC1CBC"/>
    <w:rsid w:val="00EC2EA1"/>
    <w:rsid w:val="00EC2F42"/>
    <w:rsid w:val="00EC571B"/>
    <w:rsid w:val="00EC76A2"/>
    <w:rsid w:val="00ED0AF2"/>
    <w:rsid w:val="00ED213B"/>
    <w:rsid w:val="00ED2DD8"/>
    <w:rsid w:val="00ED3D1A"/>
    <w:rsid w:val="00ED4780"/>
    <w:rsid w:val="00ED50B1"/>
    <w:rsid w:val="00ED673D"/>
    <w:rsid w:val="00ED681F"/>
    <w:rsid w:val="00ED7FF6"/>
    <w:rsid w:val="00EE09EB"/>
    <w:rsid w:val="00EE5E1C"/>
    <w:rsid w:val="00EE7768"/>
    <w:rsid w:val="00EF0CAD"/>
    <w:rsid w:val="00EF3195"/>
    <w:rsid w:val="00EF4914"/>
    <w:rsid w:val="00EF6DB8"/>
    <w:rsid w:val="00EF7319"/>
    <w:rsid w:val="00EF75D9"/>
    <w:rsid w:val="00EF7916"/>
    <w:rsid w:val="00EF7D11"/>
    <w:rsid w:val="00EF7E40"/>
    <w:rsid w:val="00F021E7"/>
    <w:rsid w:val="00F02280"/>
    <w:rsid w:val="00F02698"/>
    <w:rsid w:val="00F02EC2"/>
    <w:rsid w:val="00F03406"/>
    <w:rsid w:val="00F06BF4"/>
    <w:rsid w:val="00F06EFA"/>
    <w:rsid w:val="00F10080"/>
    <w:rsid w:val="00F100B8"/>
    <w:rsid w:val="00F10E78"/>
    <w:rsid w:val="00F11827"/>
    <w:rsid w:val="00F11C2D"/>
    <w:rsid w:val="00F135E9"/>
    <w:rsid w:val="00F1492B"/>
    <w:rsid w:val="00F15E3B"/>
    <w:rsid w:val="00F15E3F"/>
    <w:rsid w:val="00F16A9E"/>
    <w:rsid w:val="00F20546"/>
    <w:rsid w:val="00F214DC"/>
    <w:rsid w:val="00F23280"/>
    <w:rsid w:val="00F23336"/>
    <w:rsid w:val="00F233F7"/>
    <w:rsid w:val="00F25509"/>
    <w:rsid w:val="00F2608C"/>
    <w:rsid w:val="00F26701"/>
    <w:rsid w:val="00F271FD"/>
    <w:rsid w:val="00F274E1"/>
    <w:rsid w:val="00F27B0A"/>
    <w:rsid w:val="00F33FDA"/>
    <w:rsid w:val="00F344CE"/>
    <w:rsid w:val="00F36468"/>
    <w:rsid w:val="00F415AA"/>
    <w:rsid w:val="00F41A94"/>
    <w:rsid w:val="00F41FA7"/>
    <w:rsid w:val="00F42A92"/>
    <w:rsid w:val="00F44B95"/>
    <w:rsid w:val="00F4613D"/>
    <w:rsid w:val="00F472F9"/>
    <w:rsid w:val="00F47EB4"/>
    <w:rsid w:val="00F5229B"/>
    <w:rsid w:val="00F52E77"/>
    <w:rsid w:val="00F541D8"/>
    <w:rsid w:val="00F5777F"/>
    <w:rsid w:val="00F57997"/>
    <w:rsid w:val="00F602FF"/>
    <w:rsid w:val="00F60908"/>
    <w:rsid w:val="00F60FE6"/>
    <w:rsid w:val="00F623CA"/>
    <w:rsid w:val="00F63337"/>
    <w:rsid w:val="00F63794"/>
    <w:rsid w:val="00F63CAF"/>
    <w:rsid w:val="00F6556B"/>
    <w:rsid w:val="00F66012"/>
    <w:rsid w:val="00F66538"/>
    <w:rsid w:val="00F6772F"/>
    <w:rsid w:val="00F71858"/>
    <w:rsid w:val="00F71892"/>
    <w:rsid w:val="00F71AB5"/>
    <w:rsid w:val="00F720CD"/>
    <w:rsid w:val="00F74B76"/>
    <w:rsid w:val="00F7717F"/>
    <w:rsid w:val="00F77253"/>
    <w:rsid w:val="00F80D48"/>
    <w:rsid w:val="00F812D1"/>
    <w:rsid w:val="00F82A78"/>
    <w:rsid w:val="00F83E07"/>
    <w:rsid w:val="00F90AAD"/>
    <w:rsid w:val="00F90AD5"/>
    <w:rsid w:val="00F90EB2"/>
    <w:rsid w:val="00F9159D"/>
    <w:rsid w:val="00F91A05"/>
    <w:rsid w:val="00F92FBA"/>
    <w:rsid w:val="00F933A2"/>
    <w:rsid w:val="00F94C26"/>
    <w:rsid w:val="00F94EC6"/>
    <w:rsid w:val="00F95096"/>
    <w:rsid w:val="00F958BC"/>
    <w:rsid w:val="00F97241"/>
    <w:rsid w:val="00F97A44"/>
    <w:rsid w:val="00F97FBC"/>
    <w:rsid w:val="00FA02F3"/>
    <w:rsid w:val="00FA109A"/>
    <w:rsid w:val="00FA178D"/>
    <w:rsid w:val="00FA18CE"/>
    <w:rsid w:val="00FA1DCC"/>
    <w:rsid w:val="00FA279F"/>
    <w:rsid w:val="00FA46B8"/>
    <w:rsid w:val="00FA59F3"/>
    <w:rsid w:val="00FA6381"/>
    <w:rsid w:val="00FA7464"/>
    <w:rsid w:val="00FB0B53"/>
    <w:rsid w:val="00FB1B29"/>
    <w:rsid w:val="00FB2AC7"/>
    <w:rsid w:val="00FB3F4B"/>
    <w:rsid w:val="00FB694B"/>
    <w:rsid w:val="00FC0DC0"/>
    <w:rsid w:val="00FC328F"/>
    <w:rsid w:val="00FC3DF6"/>
    <w:rsid w:val="00FC6E8A"/>
    <w:rsid w:val="00FC73E1"/>
    <w:rsid w:val="00FC78D4"/>
    <w:rsid w:val="00FD2342"/>
    <w:rsid w:val="00FD3676"/>
    <w:rsid w:val="00FD497C"/>
    <w:rsid w:val="00FD79B5"/>
    <w:rsid w:val="00FE0CBD"/>
    <w:rsid w:val="00FE1831"/>
    <w:rsid w:val="00FE221D"/>
    <w:rsid w:val="00FE22E8"/>
    <w:rsid w:val="00FE296D"/>
    <w:rsid w:val="00FE2E02"/>
    <w:rsid w:val="00FE3818"/>
    <w:rsid w:val="00FE3C97"/>
    <w:rsid w:val="00FE55E1"/>
    <w:rsid w:val="00FE5A47"/>
    <w:rsid w:val="00FE5C55"/>
    <w:rsid w:val="00FE62EB"/>
    <w:rsid w:val="00FE6A04"/>
    <w:rsid w:val="00FE6DBC"/>
    <w:rsid w:val="00FE702D"/>
    <w:rsid w:val="00FF1D2B"/>
    <w:rsid w:val="00FF1DA3"/>
    <w:rsid w:val="00FF2CB7"/>
    <w:rsid w:val="00FF4EC4"/>
    <w:rsid w:val="00FF525B"/>
    <w:rsid w:val="010C4E65"/>
    <w:rsid w:val="01C28164"/>
    <w:rsid w:val="01DF71AD"/>
    <w:rsid w:val="03CE7C6E"/>
    <w:rsid w:val="03FA3566"/>
    <w:rsid w:val="05362E01"/>
    <w:rsid w:val="053A388C"/>
    <w:rsid w:val="06C47307"/>
    <w:rsid w:val="06C4CCB5"/>
    <w:rsid w:val="0752AC31"/>
    <w:rsid w:val="0796F9CA"/>
    <w:rsid w:val="08A01AFC"/>
    <w:rsid w:val="097C9F23"/>
    <w:rsid w:val="0982F8C9"/>
    <w:rsid w:val="0CDB334A"/>
    <w:rsid w:val="0D02399F"/>
    <w:rsid w:val="0D4F7E62"/>
    <w:rsid w:val="0EABB10B"/>
    <w:rsid w:val="0FF63B12"/>
    <w:rsid w:val="104E359E"/>
    <w:rsid w:val="105646DC"/>
    <w:rsid w:val="115C287B"/>
    <w:rsid w:val="12CE14F8"/>
    <w:rsid w:val="136F0E37"/>
    <w:rsid w:val="13A928BD"/>
    <w:rsid w:val="14285961"/>
    <w:rsid w:val="1490CD80"/>
    <w:rsid w:val="14F646B6"/>
    <w:rsid w:val="15E1DDC5"/>
    <w:rsid w:val="16C2B7B5"/>
    <w:rsid w:val="16FE84E5"/>
    <w:rsid w:val="179D90CB"/>
    <w:rsid w:val="1808F7F0"/>
    <w:rsid w:val="1A8C2566"/>
    <w:rsid w:val="1AD81951"/>
    <w:rsid w:val="1C13E6BC"/>
    <w:rsid w:val="1C6A4FF4"/>
    <w:rsid w:val="1D343C4C"/>
    <w:rsid w:val="1D4071A3"/>
    <w:rsid w:val="1E891178"/>
    <w:rsid w:val="211DF4F5"/>
    <w:rsid w:val="215CD3DE"/>
    <w:rsid w:val="22178C95"/>
    <w:rsid w:val="22D12F30"/>
    <w:rsid w:val="2345A2CF"/>
    <w:rsid w:val="23CAEB5A"/>
    <w:rsid w:val="240B0715"/>
    <w:rsid w:val="24A29A09"/>
    <w:rsid w:val="256F4B23"/>
    <w:rsid w:val="262D85DA"/>
    <w:rsid w:val="26585FB6"/>
    <w:rsid w:val="26B131DC"/>
    <w:rsid w:val="273C3847"/>
    <w:rsid w:val="291E98E6"/>
    <w:rsid w:val="294E72A3"/>
    <w:rsid w:val="29B2D82E"/>
    <w:rsid w:val="2B0C3C74"/>
    <w:rsid w:val="2BA63C11"/>
    <w:rsid w:val="2DB64873"/>
    <w:rsid w:val="30B6F0A2"/>
    <w:rsid w:val="314EAD32"/>
    <w:rsid w:val="326DACA6"/>
    <w:rsid w:val="3318E831"/>
    <w:rsid w:val="33C03BFD"/>
    <w:rsid w:val="3507B007"/>
    <w:rsid w:val="35108AFA"/>
    <w:rsid w:val="352CC038"/>
    <w:rsid w:val="36BBF8A6"/>
    <w:rsid w:val="37832383"/>
    <w:rsid w:val="38AE42DB"/>
    <w:rsid w:val="3924A0AC"/>
    <w:rsid w:val="39DD9994"/>
    <w:rsid w:val="3A017462"/>
    <w:rsid w:val="3A0893C8"/>
    <w:rsid w:val="3C317C33"/>
    <w:rsid w:val="3DA3D210"/>
    <w:rsid w:val="3DC44252"/>
    <w:rsid w:val="3DD19C4B"/>
    <w:rsid w:val="3E93CE81"/>
    <w:rsid w:val="3E97AA95"/>
    <w:rsid w:val="3EC4D5E8"/>
    <w:rsid w:val="4178CD6D"/>
    <w:rsid w:val="41FD4014"/>
    <w:rsid w:val="43E68C2E"/>
    <w:rsid w:val="4554B013"/>
    <w:rsid w:val="475D7389"/>
    <w:rsid w:val="480BE1FC"/>
    <w:rsid w:val="48390A25"/>
    <w:rsid w:val="495424FA"/>
    <w:rsid w:val="4A902EED"/>
    <w:rsid w:val="4CD61DA2"/>
    <w:rsid w:val="4CF199E1"/>
    <w:rsid w:val="4D24C327"/>
    <w:rsid w:val="4D4416F1"/>
    <w:rsid w:val="4E613D92"/>
    <w:rsid w:val="4EAB035B"/>
    <w:rsid w:val="4EB81ED3"/>
    <w:rsid w:val="4F568560"/>
    <w:rsid w:val="5101383B"/>
    <w:rsid w:val="51E4D04F"/>
    <w:rsid w:val="521DC000"/>
    <w:rsid w:val="52701C21"/>
    <w:rsid w:val="54086758"/>
    <w:rsid w:val="54652AD7"/>
    <w:rsid w:val="549B94D2"/>
    <w:rsid w:val="54C0DC2A"/>
    <w:rsid w:val="5575208D"/>
    <w:rsid w:val="589058AC"/>
    <w:rsid w:val="5C44F003"/>
    <w:rsid w:val="5CB17E6C"/>
    <w:rsid w:val="5D37A51E"/>
    <w:rsid w:val="5D5CD260"/>
    <w:rsid w:val="5F265DF4"/>
    <w:rsid w:val="5F9435A9"/>
    <w:rsid w:val="5FFE3B33"/>
    <w:rsid w:val="605FBB28"/>
    <w:rsid w:val="60850A06"/>
    <w:rsid w:val="610B76F8"/>
    <w:rsid w:val="614C22FB"/>
    <w:rsid w:val="61CCE19A"/>
    <w:rsid w:val="625E0AC1"/>
    <w:rsid w:val="63B1A42D"/>
    <w:rsid w:val="642B58B8"/>
    <w:rsid w:val="6464A679"/>
    <w:rsid w:val="64FF64F8"/>
    <w:rsid w:val="655D0C9F"/>
    <w:rsid w:val="65D4A99A"/>
    <w:rsid w:val="6717EC02"/>
    <w:rsid w:val="68F7D062"/>
    <w:rsid w:val="69BD2793"/>
    <w:rsid w:val="69C6C604"/>
    <w:rsid w:val="6C35C271"/>
    <w:rsid w:val="6C383408"/>
    <w:rsid w:val="6C6D5343"/>
    <w:rsid w:val="6E4AA4F5"/>
    <w:rsid w:val="6E7FF74A"/>
    <w:rsid w:val="6F5AAA10"/>
    <w:rsid w:val="6F695109"/>
    <w:rsid w:val="7198BEAC"/>
    <w:rsid w:val="728E886F"/>
    <w:rsid w:val="73AC646C"/>
    <w:rsid w:val="73C1B458"/>
    <w:rsid w:val="765030CB"/>
    <w:rsid w:val="7685583A"/>
    <w:rsid w:val="774B0BED"/>
    <w:rsid w:val="77BE5831"/>
    <w:rsid w:val="780405A4"/>
    <w:rsid w:val="787A2101"/>
    <w:rsid w:val="78A30198"/>
    <w:rsid w:val="78A3EB36"/>
    <w:rsid w:val="78FE13D1"/>
    <w:rsid w:val="79C03308"/>
    <w:rsid w:val="79E1B4E4"/>
    <w:rsid w:val="7B413298"/>
    <w:rsid w:val="7BE574E9"/>
    <w:rsid w:val="7C0737C2"/>
    <w:rsid w:val="7C221278"/>
    <w:rsid w:val="7C96A21E"/>
    <w:rsid w:val="7D309C93"/>
    <w:rsid w:val="7EB29061"/>
    <w:rsid w:val="7FBCBF4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81FC5"/>
  <w15:chartTrackingRefBased/>
  <w15:docId w15:val="{618ECB9C-84C2-48BF-A1C1-C88C3B94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83"/>
  </w:style>
  <w:style w:type="paragraph" w:styleId="Heading1">
    <w:name w:val="heading 1"/>
    <w:basedOn w:val="Normal"/>
    <w:next w:val="Normal"/>
    <w:link w:val="Heading1Char"/>
    <w:uiPriority w:val="9"/>
    <w:qFormat/>
    <w:rsid w:val="00156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6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6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6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6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6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349"/>
    <w:rPr>
      <w:rFonts w:eastAsiaTheme="majorEastAsia" w:cstheme="majorBidi"/>
      <w:color w:val="272727" w:themeColor="text1" w:themeTint="D8"/>
    </w:rPr>
  </w:style>
  <w:style w:type="paragraph" w:styleId="Title">
    <w:name w:val="Title"/>
    <w:basedOn w:val="Normal"/>
    <w:next w:val="Normal"/>
    <w:link w:val="TitleChar"/>
    <w:uiPriority w:val="10"/>
    <w:qFormat/>
    <w:rsid w:val="00156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349"/>
    <w:pPr>
      <w:spacing w:before="160"/>
      <w:jc w:val="center"/>
    </w:pPr>
    <w:rPr>
      <w:i/>
      <w:iCs/>
      <w:color w:val="404040" w:themeColor="text1" w:themeTint="BF"/>
    </w:rPr>
  </w:style>
  <w:style w:type="character" w:customStyle="1" w:styleId="QuoteChar">
    <w:name w:val="Quote Char"/>
    <w:basedOn w:val="DefaultParagraphFont"/>
    <w:link w:val="Quote"/>
    <w:uiPriority w:val="29"/>
    <w:rsid w:val="00156349"/>
    <w:rPr>
      <w:i/>
      <w:iCs/>
      <w:color w:val="404040" w:themeColor="text1" w:themeTint="BF"/>
    </w:rPr>
  </w:style>
  <w:style w:type="paragraph" w:styleId="ListParagraph">
    <w:name w:val="List Paragraph"/>
    <w:basedOn w:val="Normal"/>
    <w:uiPriority w:val="34"/>
    <w:qFormat/>
    <w:rsid w:val="00156349"/>
    <w:pPr>
      <w:ind w:left="720"/>
      <w:contextualSpacing/>
    </w:pPr>
  </w:style>
  <w:style w:type="character" w:styleId="IntenseEmphasis">
    <w:name w:val="Intense Emphasis"/>
    <w:basedOn w:val="DefaultParagraphFont"/>
    <w:uiPriority w:val="21"/>
    <w:qFormat/>
    <w:rsid w:val="00156349"/>
    <w:rPr>
      <w:i/>
      <w:iCs/>
      <w:color w:val="0F4761" w:themeColor="accent1" w:themeShade="BF"/>
    </w:rPr>
  </w:style>
  <w:style w:type="paragraph" w:styleId="IntenseQuote">
    <w:name w:val="Intense Quote"/>
    <w:basedOn w:val="Normal"/>
    <w:next w:val="Normal"/>
    <w:link w:val="IntenseQuoteChar"/>
    <w:uiPriority w:val="30"/>
    <w:qFormat/>
    <w:rsid w:val="0015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349"/>
    <w:rPr>
      <w:i/>
      <w:iCs/>
      <w:color w:val="0F4761" w:themeColor="accent1" w:themeShade="BF"/>
    </w:rPr>
  </w:style>
  <w:style w:type="character" w:styleId="IntenseReference">
    <w:name w:val="Intense Reference"/>
    <w:basedOn w:val="DefaultParagraphFont"/>
    <w:uiPriority w:val="32"/>
    <w:qFormat/>
    <w:rsid w:val="00156349"/>
    <w:rPr>
      <w:b/>
      <w:bCs/>
      <w:smallCaps/>
      <w:color w:val="0F4761" w:themeColor="accent1" w:themeShade="BF"/>
      <w:spacing w:val="5"/>
    </w:rPr>
  </w:style>
  <w:style w:type="paragraph" w:styleId="Header">
    <w:name w:val="header"/>
    <w:basedOn w:val="Normal"/>
    <w:link w:val="HeaderChar"/>
    <w:uiPriority w:val="99"/>
    <w:unhideWhenUsed/>
    <w:rsid w:val="00676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59"/>
  </w:style>
  <w:style w:type="paragraph" w:styleId="Footer">
    <w:name w:val="footer"/>
    <w:basedOn w:val="Normal"/>
    <w:link w:val="FooterChar"/>
    <w:uiPriority w:val="99"/>
    <w:unhideWhenUsed/>
    <w:rsid w:val="00676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59"/>
  </w:style>
  <w:style w:type="table" w:styleId="TableGrid">
    <w:name w:val="Table Grid"/>
    <w:basedOn w:val="TableNormal"/>
    <w:uiPriority w:val="39"/>
    <w:rsid w:val="0059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747B"/>
    <w:rPr>
      <w:sz w:val="16"/>
      <w:szCs w:val="16"/>
    </w:rPr>
  </w:style>
  <w:style w:type="paragraph" w:styleId="CommentText">
    <w:name w:val="annotation text"/>
    <w:basedOn w:val="Normal"/>
    <w:link w:val="CommentTextChar"/>
    <w:uiPriority w:val="99"/>
    <w:unhideWhenUsed/>
    <w:rsid w:val="0025747B"/>
    <w:pPr>
      <w:spacing w:line="240" w:lineRule="auto"/>
    </w:pPr>
    <w:rPr>
      <w:sz w:val="20"/>
      <w:szCs w:val="20"/>
    </w:rPr>
  </w:style>
  <w:style w:type="character" w:customStyle="1" w:styleId="CommentTextChar">
    <w:name w:val="Comment Text Char"/>
    <w:basedOn w:val="DefaultParagraphFont"/>
    <w:link w:val="CommentText"/>
    <w:uiPriority w:val="99"/>
    <w:rsid w:val="0025747B"/>
    <w:rPr>
      <w:sz w:val="20"/>
      <w:szCs w:val="20"/>
    </w:rPr>
  </w:style>
  <w:style w:type="character" w:styleId="Hyperlink">
    <w:name w:val="Hyperlink"/>
    <w:basedOn w:val="DefaultParagraphFont"/>
    <w:uiPriority w:val="99"/>
    <w:unhideWhenUsed/>
    <w:rsid w:val="0025747B"/>
    <w:rPr>
      <w:color w:val="467886" w:themeColor="hyperlink"/>
      <w:u w:val="single"/>
    </w:rPr>
  </w:style>
  <w:style w:type="character" w:styleId="UnresolvedMention">
    <w:name w:val="Unresolved Mention"/>
    <w:basedOn w:val="DefaultParagraphFont"/>
    <w:uiPriority w:val="99"/>
    <w:semiHidden/>
    <w:unhideWhenUsed/>
    <w:rsid w:val="0079611D"/>
    <w:rPr>
      <w:color w:val="605E5C"/>
      <w:shd w:val="clear" w:color="auto" w:fill="E1DFDD"/>
    </w:rPr>
  </w:style>
  <w:style w:type="character" w:styleId="FollowedHyperlink">
    <w:name w:val="FollowedHyperlink"/>
    <w:basedOn w:val="DefaultParagraphFont"/>
    <w:uiPriority w:val="99"/>
    <w:semiHidden/>
    <w:unhideWhenUsed/>
    <w:rsid w:val="0079611D"/>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B57022"/>
    <w:rPr>
      <w:b/>
      <w:bCs/>
    </w:rPr>
  </w:style>
  <w:style w:type="character" w:customStyle="1" w:styleId="CommentSubjectChar">
    <w:name w:val="Comment Subject Char"/>
    <w:basedOn w:val="CommentTextChar"/>
    <w:link w:val="CommentSubject"/>
    <w:uiPriority w:val="99"/>
    <w:semiHidden/>
    <w:rsid w:val="00B57022"/>
    <w:rPr>
      <w:b/>
      <w:bCs/>
      <w:sz w:val="20"/>
      <w:szCs w:val="20"/>
    </w:rPr>
  </w:style>
  <w:style w:type="character" w:styleId="PageNumber">
    <w:name w:val="page number"/>
    <w:basedOn w:val="DefaultParagraphFont"/>
    <w:uiPriority w:val="99"/>
    <w:semiHidden/>
    <w:unhideWhenUsed/>
    <w:rsid w:val="00B31BC8"/>
  </w:style>
  <w:style w:type="character" w:customStyle="1" w:styleId="normaltextrun">
    <w:name w:val="normaltextrun"/>
    <w:basedOn w:val="DefaultParagraphFont"/>
    <w:rsid w:val="00C9585C"/>
  </w:style>
  <w:style w:type="paragraph" w:styleId="FootnoteText">
    <w:name w:val="footnote text"/>
    <w:basedOn w:val="Normal"/>
    <w:link w:val="FootnoteTextChar"/>
    <w:uiPriority w:val="99"/>
    <w:semiHidden/>
    <w:unhideWhenUsed/>
    <w:rsid w:val="00C9585C"/>
    <w:pPr>
      <w:spacing w:after="0" w:line="240" w:lineRule="auto"/>
      <w:jc w:val="both"/>
      <w:textAlignment w:val="baseline"/>
    </w:pPr>
    <w:rPr>
      <w:rFonts w:ascii="Aptos" w:eastAsia="Times New Roman" w:hAnsi="Aptos" w:cs="Segoe UI"/>
      <w:color w:val="000000"/>
      <w:kern w:val="0"/>
      <w:sz w:val="20"/>
      <w:szCs w:val="20"/>
      <w:lang w:val="en-GB" w:eastAsia="en-AU"/>
      <w14:ligatures w14:val="none"/>
    </w:rPr>
  </w:style>
  <w:style w:type="character" w:customStyle="1" w:styleId="FootnoteTextChar">
    <w:name w:val="Footnote Text Char"/>
    <w:basedOn w:val="DefaultParagraphFont"/>
    <w:link w:val="FootnoteText"/>
    <w:uiPriority w:val="99"/>
    <w:semiHidden/>
    <w:rsid w:val="00C9585C"/>
    <w:rPr>
      <w:rFonts w:ascii="Aptos" w:eastAsia="Times New Roman" w:hAnsi="Aptos" w:cs="Segoe UI"/>
      <w:color w:val="000000"/>
      <w:kern w:val="0"/>
      <w:sz w:val="20"/>
      <w:szCs w:val="20"/>
      <w:lang w:val="en-GB" w:eastAsia="en-AU"/>
      <w14:ligatures w14:val="none"/>
    </w:rPr>
  </w:style>
  <w:style w:type="character" w:styleId="FootnoteReference">
    <w:name w:val="footnote reference"/>
    <w:basedOn w:val="DefaultParagraphFont"/>
    <w:uiPriority w:val="99"/>
    <w:semiHidden/>
    <w:unhideWhenUsed/>
    <w:rsid w:val="00C9585C"/>
    <w:rPr>
      <w:vertAlign w:val="superscript"/>
    </w:rPr>
  </w:style>
  <w:style w:type="table" w:customStyle="1" w:styleId="TableGrid1">
    <w:name w:val="Table Grid1"/>
    <w:basedOn w:val="TableNormal"/>
    <w:next w:val="TableGrid"/>
    <w:uiPriority w:val="39"/>
    <w:rsid w:val="00B36968"/>
    <w:pPr>
      <w:spacing w:after="0" w:line="240" w:lineRule="auto"/>
    </w:pPr>
    <w:rPr>
      <w:szCs w:val="30"/>
      <w:lang w:val="en-AU"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4B28"/>
    <w:pPr>
      <w:spacing w:after="0" w:line="240" w:lineRule="auto"/>
    </w:pPr>
    <w:rPr>
      <w:szCs w:val="30"/>
      <w:lang w:val="en-AU" w:bidi="th-TH"/>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42880"/>
    <w:pPr>
      <w:spacing w:after="0" w:line="240" w:lineRule="auto"/>
    </w:pPr>
  </w:style>
  <w:style w:type="paragraph" w:styleId="NormalWeb">
    <w:name w:val="Normal (Web)"/>
    <w:basedOn w:val="Normal"/>
    <w:uiPriority w:val="99"/>
    <w:semiHidden/>
    <w:unhideWhenUsed/>
    <w:rsid w:val="0054288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375">
      <w:bodyDiv w:val="1"/>
      <w:marLeft w:val="0"/>
      <w:marRight w:val="0"/>
      <w:marTop w:val="0"/>
      <w:marBottom w:val="0"/>
      <w:divBdr>
        <w:top w:val="none" w:sz="0" w:space="0" w:color="auto"/>
        <w:left w:val="none" w:sz="0" w:space="0" w:color="auto"/>
        <w:bottom w:val="none" w:sz="0" w:space="0" w:color="auto"/>
        <w:right w:val="none" w:sz="0" w:space="0" w:color="auto"/>
      </w:divBdr>
    </w:div>
    <w:div w:id="121653057">
      <w:bodyDiv w:val="1"/>
      <w:marLeft w:val="0"/>
      <w:marRight w:val="0"/>
      <w:marTop w:val="0"/>
      <w:marBottom w:val="0"/>
      <w:divBdr>
        <w:top w:val="none" w:sz="0" w:space="0" w:color="auto"/>
        <w:left w:val="none" w:sz="0" w:space="0" w:color="auto"/>
        <w:bottom w:val="none" w:sz="0" w:space="0" w:color="auto"/>
        <w:right w:val="none" w:sz="0" w:space="0" w:color="auto"/>
      </w:divBdr>
    </w:div>
    <w:div w:id="143205223">
      <w:bodyDiv w:val="1"/>
      <w:marLeft w:val="0"/>
      <w:marRight w:val="0"/>
      <w:marTop w:val="0"/>
      <w:marBottom w:val="0"/>
      <w:divBdr>
        <w:top w:val="none" w:sz="0" w:space="0" w:color="auto"/>
        <w:left w:val="none" w:sz="0" w:space="0" w:color="auto"/>
        <w:bottom w:val="none" w:sz="0" w:space="0" w:color="auto"/>
        <w:right w:val="none" w:sz="0" w:space="0" w:color="auto"/>
      </w:divBdr>
    </w:div>
    <w:div w:id="165289423">
      <w:bodyDiv w:val="1"/>
      <w:marLeft w:val="0"/>
      <w:marRight w:val="0"/>
      <w:marTop w:val="0"/>
      <w:marBottom w:val="0"/>
      <w:divBdr>
        <w:top w:val="none" w:sz="0" w:space="0" w:color="auto"/>
        <w:left w:val="none" w:sz="0" w:space="0" w:color="auto"/>
        <w:bottom w:val="none" w:sz="0" w:space="0" w:color="auto"/>
        <w:right w:val="none" w:sz="0" w:space="0" w:color="auto"/>
      </w:divBdr>
    </w:div>
    <w:div w:id="174731442">
      <w:bodyDiv w:val="1"/>
      <w:marLeft w:val="0"/>
      <w:marRight w:val="0"/>
      <w:marTop w:val="0"/>
      <w:marBottom w:val="0"/>
      <w:divBdr>
        <w:top w:val="none" w:sz="0" w:space="0" w:color="auto"/>
        <w:left w:val="none" w:sz="0" w:space="0" w:color="auto"/>
        <w:bottom w:val="none" w:sz="0" w:space="0" w:color="auto"/>
        <w:right w:val="none" w:sz="0" w:space="0" w:color="auto"/>
      </w:divBdr>
    </w:div>
    <w:div w:id="208227553">
      <w:bodyDiv w:val="1"/>
      <w:marLeft w:val="0"/>
      <w:marRight w:val="0"/>
      <w:marTop w:val="0"/>
      <w:marBottom w:val="0"/>
      <w:divBdr>
        <w:top w:val="none" w:sz="0" w:space="0" w:color="auto"/>
        <w:left w:val="none" w:sz="0" w:space="0" w:color="auto"/>
        <w:bottom w:val="none" w:sz="0" w:space="0" w:color="auto"/>
        <w:right w:val="none" w:sz="0" w:space="0" w:color="auto"/>
      </w:divBdr>
    </w:div>
    <w:div w:id="221067341">
      <w:bodyDiv w:val="1"/>
      <w:marLeft w:val="0"/>
      <w:marRight w:val="0"/>
      <w:marTop w:val="0"/>
      <w:marBottom w:val="0"/>
      <w:divBdr>
        <w:top w:val="none" w:sz="0" w:space="0" w:color="auto"/>
        <w:left w:val="none" w:sz="0" w:space="0" w:color="auto"/>
        <w:bottom w:val="none" w:sz="0" w:space="0" w:color="auto"/>
        <w:right w:val="none" w:sz="0" w:space="0" w:color="auto"/>
      </w:divBdr>
    </w:div>
    <w:div w:id="234821345">
      <w:bodyDiv w:val="1"/>
      <w:marLeft w:val="0"/>
      <w:marRight w:val="0"/>
      <w:marTop w:val="0"/>
      <w:marBottom w:val="0"/>
      <w:divBdr>
        <w:top w:val="none" w:sz="0" w:space="0" w:color="auto"/>
        <w:left w:val="none" w:sz="0" w:space="0" w:color="auto"/>
        <w:bottom w:val="none" w:sz="0" w:space="0" w:color="auto"/>
        <w:right w:val="none" w:sz="0" w:space="0" w:color="auto"/>
      </w:divBdr>
    </w:div>
    <w:div w:id="256408995">
      <w:bodyDiv w:val="1"/>
      <w:marLeft w:val="0"/>
      <w:marRight w:val="0"/>
      <w:marTop w:val="0"/>
      <w:marBottom w:val="0"/>
      <w:divBdr>
        <w:top w:val="none" w:sz="0" w:space="0" w:color="auto"/>
        <w:left w:val="none" w:sz="0" w:space="0" w:color="auto"/>
        <w:bottom w:val="none" w:sz="0" w:space="0" w:color="auto"/>
        <w:right w:val="none" w:sz="0" w:space="0" w:color="auto"/>
      </w:divBdr>
    </w:div>
    <w:div w:id="325210428">
      <w:bodyDiv w:val="1"/>
      <w:marLeft w:val="0"/>
      <w:marRight w:val="0"/>
      <w:marTop w:val="0"/>
      <w:marBottom w:val="0"/>
      <w:divBdr>
        <w:top w:val="none" w:sz="0" w:space="0" w:color="auto"/>
        <w:left w:val="none" w:sz="0" w:space="0" w:color="auto"/>
        <w:bottom w:val="none" w:sz="0" w:space="0" w:color="auto"/>
        <w:right w:val="none" w:sz="0" w:space="0" w:color="auto"/>
      </w:divBdr>
    </w:div>
    <w:div w:id="414207184">
      <w:bodyDiv w:val="1"/>
      <w:marLeft w:val="0"/>
      <w:marRight w:val="0"/>
      <w:marTop w:val="0"/>
      <w:marBottom w:val="0"/>
      <w:divBdr>
        <w:top w:val="none" w:sz="0" w:space="0" w:color="auto"/>
        <w:left w:val="none" w:sz="0" w:space="0" w:color="auto"/>
        <w:bottom w:val="none" w:sz="0" w:space="0" w:color="auto"/>
        <w:right w:val="none" w:sz="0" w:space="0" w:color="auto"/>
      </w:divBdr>
    </w:div>
    <w:div w:id="432946415">
      <w:bodyDiv w:val="1"/>
      <w:marLeft w:val="0"/>
      <w:marRight w:val="0"/>
      <w:marTop w:val="0"/>
      <w:marBottom w:val="0"/>
      <w:divBdr>
        <w:top w:val="none" w:sz="0" w:space="0" w:color="auto"/>
        <w:left w:val="none" w:sz="0" w:space="0" w:color="auto"/>
        <w:bottom w:val="none" w:sz="0" w:space="0" w:color="auto"/>
        <w:right w:val="none" w:sz="0" w:space="0" w:color="auto"/>
      </w:divBdr>
    </w:div>
    <w:div w:id="436607975">
      <w:bodyDiv w:val="1"/>
      <w:marLeft w:val="0"/>
      <w:marRight w:val="0"/>
      <w:marTop w:val="0"/>
      <w:marBottom w:val="0"/>
      <w:divBdr>
        <w:top w:val="none" w:sz="0" w:space="0" w:color="auto"/>
        <w:left w:val="none" w:sz="0" w:space="0" w:color="auto"/>
        <w:bottom w:val="none" w:sz="0" w:space="0" w:color="auto"/>
        <w:right w:val="none" w:sz="0" w:space="0" w:color="auto"/>
      </w:divBdr>
    </w:div>
    <w:div w:id="461768950">
      <w:bodyDiv w:val="1"/>
      <w:marLeft w:val="0"/>
      <w:marRight w:val="0"/>
      <w:marTop w:val="0"/>
      <w:marBottom w:val="0"/>
      <w:divBdr>
        <w:top w:val="none" w:sz="0" w:space="0" w:color="auto"/>
        <w:left w:val="none" w:sz="0" w:space="0" w:color="auto"/>
        <w:bottom w:val="none" w:sz="0" w:space="0" w:color="auto"/>
        <w:right w:val="none" w:sz="0" w:space="0" w:color="auto"/>
      </w:divBdr>
    </w:div>
    <w:div w:id="511993947">
      <w:bodyDiv w:val="1"/>
      <w:marLeft w:val="0"/>
      <w:marRight w:val="0"/>
      <w:marTop w:val="0"/>
      <w:marBottom w:val="0"/>
      <w:divBdr>
        <w:top w:val="none" w:sz="0" w:space="0" w:color="auto"/>
        <w:left w:val="none" w:sz="0" w:space="0" w:color="auto"/>
        <w:bottom w:val="none" w:sz="0" w:space="0" w:color="auto"/>
        <w:right w:val="none" w:sz="0" w:space="0" w:color="auto"/>
      </w:divBdr>
    </w:div>
    <w:div w:id="547449093">
      <w:bodyDiv w:val="1"/>
      <w:marLeft w:val="0"/>
      <w:marRight w:val="0"/>
      <w:marTop w:val="0"/>
      <w:marBottom w:val="0"/>
      <w:divBdr>
        <w:top w:val="none" w:sz="0" w:space="0" w:color="auto"/>
        <w:left w:val="none" w:sz="0" w:space="0" w:color="auto"/>
        <w:bottom w:val="none" w:sz="0" w:space="0" w:color="auto"/>
        <w:right w:val="none" w:sz="0" w:space="0" w:color="auto"/>
      </w:divBdr>
    </w:div>
    <w:div w:id="568729980">
      <w:bodyDiv w:val="1"/>
      <w:marLeft w:val="0"/>
      <w:marRight w:val="0"/>
      <w:marTop w:val="0"/>
      <w:marBottom w:val="0"/>
      <w:divBdr>
        <w:top w:val="none" w:sz="0" w:space="0" w:color="auto"/>
        <w:left w:val="none" w:sz="0" w:space="0" w:color="auto"/>
        <w:bottom w:val="none" w:sz="0" w:space="0" w:color="auto"/>
        <w:right w:val="none" w:sz="0" w:space="0" w:color="auto"/>
      </w:divBdr>
    </w:div>
    <w:div w:id="782073810">
      <w:bodyDiv w:val="1"/>
      <w:marLeft w:val="0"/>
      <w:marRight w:val="0"/>
      <w:marTop w:val="0"/>
      <w:marBottom w:val="0"/>
      <w:divBdr>
        <w:top w:val="none" w:sz="0" w:space="0" w:color="auto"/>
        <w:left w:val="none" w:sz="0" w:space="0" w:color="auto"/>
        <w:bottom w:val="none" w:sz="0" w:space="0" w:color="auto"/>
        <w:right w:val="none" w:sz="0" w:space="0" w:color="auto"/>
      </w:divBdr>
    </w:div>
    <w:div w:id="799225863">
      <w:bodyDiv w:val="1"/>
      <w:marLeft w:val="0"/>
      <w:marRight w:val="0"/>
      <w:marTop w:val="0"/>
      <w:marBottom w:val="0"/>
      <w:divBdr>
        <w:top w:val="none" w:sz="0" w:space="0" w:color="auto"/>
        <w:left w:val="none" w:sz="0" w:space="0" w:color="auto"/>
        <w:bottom w:val="none" w:sz="0" w:space="0" w:color="auto"/>
        <w:right w:val="none" w:sz="0" w:space="0" w:color="auto"/>
      </w:divBdr>
    </w:div>
    <w:div w:id="1000891601">
      <w:bodyDiv w:val="1"/>
      <w:marLeft w:val="0"/>
      <w:marRight w:val="0"/>
      <w:marTop w:val="0"/>
      <w:marBottom w:val="0"/>
      <w:divBdr>
        <w:top w:val="none" w:sz="0" w:space="0" w:color="auto"/>
        <w:left w:val="none" w:sz="0" w:space="0" w:color="auto"/>
        <w:bottom w:val="none" w:sz="0" w:space="0" w:color="auto"/>
        <w:right w:val="none" w:sz="0" w:space="0" w:color="auto"/>
      </w:divBdr>
    </w:div>
    <w:div w:id="1165515840">
      <w:bodyDiv w:val="1"/>
      <w:marLeft w:val="0"/>
      <w:marRight w:val="0"/>
      <w:marTop w:val="0"/>
      <w:marBottom w:val="0"/>
      <w:divBdr>
        <w:top w:val="none" w:sz="0" w:space="0" w:color="auto"/>
        <w:left w:val="none" w:sz="0" w:space="0" w:color="auto"/>
        <w:bottom w:val="none" w:sz="0" w:space="0" w:color="auto"/>
        <w:right w:val="none" w:sz="0" w:space="0" w:color="auto"/>
      </w:divBdr>
    </w:div>
    <w:div w:id="1383750530">
      <w:bodyDiv w:val="1"/>
      <w:marLeft w:val="0"/>
      <w:marRight w:val="0"/>
      <w:marTop w:val="0"/>
      <w:marBottom w:val="0"/>
      <w:divBdr>
        <w:top w:val="none" w:sz="0" w:space="0" w:color="auto"/>
        <w:left w:val="none" w:sz="0" w:space="0" w:color="auto"/>
        <w:bottom w:val="none" w:sz="0" w:space="0" w:color="auto"/>
        <w:right w:val="none" w:sz="0" w:space="0" w:color="auto"/>
      </w:divBdr>
    </w:div>
    <w:div w:id="1451167132">
      <w:bodyDiv w:val="1"/>
      <w:marLeft w:val="0"/>
      <w:marRight w:val="0"/>
      <w:marTop w:val="0"/>
      <w:marBottom w:val="0"/>
      <w:divBdr>
        <w:top w:val="none" w:sz="0" w:space="0" w:color="auto"/>
        <w:left w:val="none" w:sz="0" w:space="0" w:color="auto"/>
        <w:bottom w:val="none" w:sz="0" w:space="0" w:color="auto"/>
        <w:right w:val="none" w:sz="0" w:space="0" w:color="auto"/>
      </w:divBdr>
    </w:div>
    <w:div w:id="1526598619">
      <w:bodyDiv w:val="1"/>
      <w:marLeft w:val="0"/>
      <w:marRight w:val="0"/>
      <w:marTop w:val="0"/>
      <w:marBottom w:val="0"/>
      <w:divBdr>
        <w:top w:val="none" w:sz="0" w:space="0" w:color="auto"/>
        <w:left w:val="none" w:sz="0" w:space="0" w:color="auto"/>
        <w:bottom w:val="none" w:sz="0" w:space="0" w:color="auto"/>
        <w:right w:val="none" w:sz="0" w:space="0" w:color="auto"/>
      </w:divBdr>
    </w:div>
    <w:div w:id="1637757555">
      <w:bodyDiv w:val="1"/>
      <w:marLeft w:val="0"/>
      <w:marRight w:val="0"/>
      <w:marTop w:val="0"/>
      <w:marBottom w:val="0"/>
      <w:divBdr>
        <w:top w:val="none" w:sz="0" w:space="0" w:color="auto"/>
        <w:left w:val="none" w:sz="0" w:space="0" w:color="auto"/>
        <w:bottom w:val="none" w:sz="0" w:space="0" w:color="auto"/>
        <w:right w:val="none" w:sz="0" w:space="0" w:color="auto"/>
      </w:divBdr>
    </w:div>
    <w:div w:id="1694726807">
      <w:bodyDiv w:val="1"/>
      <w:marLeft w:val="0"/>
      <w:marRight w:val="0"/>
      <w:marTop w:val="0"/>
      <w:marBottom w:val="0"/>
      <w:divBdr>
        <w:top w:val="none" w:sz="0" w:space="0" w:color="auto"/>
        <w:left w:val="none" w:sz="0" w:space="0" w:color="auto"/>
        <w:bottom w:val="none" w:sz="0" w:space="0" w:color="auto"/>
        <w:right w:val="none" w:sz="0" w:space="0" w:color="auto"/>
      </w:divBdr>
    </w:div>
    <w:div w:id="1782217569">
      <w:bodyDiv w:val="1"/>
      <w:marLeft w:val="0"/>
      <w:marRight w:val="0"/>
      <w:marTop w:val="0"/>
      <w:marBottom w:val="0"/>
      <w:divBdr>
        <w:top w:val="none" w:sz="0" w:space="0" w:color="auto"/>
        <w:left w:val="none" w:sz="0" w:space="0" w:color="auto"/>
        <w:bottom w:val="none" w:sz="0" w:space="0" w:color="auto"/>
        <w:right w:val="none" w:sz="0" w:space="0" w:color="auto"/>
      </w:divBdr>
    </w:div>
    <w:div w:id="1844851707">
      <w:bodyDiv w:val="1"/>
      <w:marLeft w:val="0"/>
      <w:marRight w:val="0"/>
      <w:marTop w:val="0"/>
      <w:marBottom w:val="0"/>
      <w:divBdr>
        <w:top w:val="none" w:sz="0" w:space="0" w:color="auto"/>
        <w:left w:val="none" w:sz="0" w:space="0" w:color="auto"/>
        <w:bottom w:val="none" w:sz="0" w:space="0" w:color="auto"/>
        <w:right w:val="none" w:sz="0" w:space="0" w:color="auto"/>
      </w:divBdr>
    </w:div>
    <w:div w:id="1878932175">
      <w:bodyDiv w:val="1"/>
      <w:marLeft w:val="0"/>
      <w:marRight w:val="0"/>
      <w:marTop w:val="0"/>
      <w:marBottom w:val="0"/>
      <w:divBdr>
        <w:top w:val="none" w:sz="0" w:space="0" w:color="auto"/>
        <w:left w:val="none" w:sz="0" w:space="0" w:color="auto"/>
        <w:bottom w:val="none" w:sz="0" w:space="0" w:color="auto"/>
        <w:right w:val="none" w:sz="0" w:space="0" w:color="auto"/>
      </w:divBdr>
    </w:div>
    <w:div w:id="1882135434">
      <w:bodyDiv w:val="1"/>
      <w:marLeft w:val="0"/>
      <w:marRight w:val="0"/>
      <w:marTop w:val="0"/>
      <w:marBottom w:val="0"/>
      <w:divBdr>
        <w:top w:val="none" w:sz="0" w:space="0" w:color="auto"/>
        <w:left w:val="none" w:sz="0" w:space="0" w:color="auto"/>
        <w:bottom w:val="none" w:sz="0" w:space="0" w:color="auto"/>
        <w:right w:val="none" w:sz="0" w:space="0" w:color="auto"/>
      </w:divBdr>
    </w:div>
    <w:div w:id="1946185741">
      <w:bodyDiv w:val="1"/>
      <w:marLeft w:val="0"/>
      <w:marRight w:val="0"/>
      <w:marTop w:val="0"/>
      <w:marBottom w:val="0"/>
      <w:divBdr>
        <w:top w:val="none" w:sz="0" w:space="0" w:color="auto"/>
        <w:left w:val="none" w:sz="0" w:space="0" w:color="auto"/>
        <w:bottom w:val="none" w:sz="0" w:space="0" w:color="auto"/>
        <w:right w:val="none" w:sz="0" w:space="0" w:color="auto"/>
      </w:divBdr>
    </w:div>
    <w:div w:id="1949046514">
      <w:bodyDiv w:val="1"/>
      <w:marLeft w:val="0"/>
      <w:marRight w:val="0"/>
      <w:marTop w:val="0"/>
      <w:marBottom w:val="0"/>
      <w:divBdr>
        <w:top w:val="none" w:sz="0" w:space="0" w:color="auto"/>
        <w:left w:val="none" w:sz="0" w:space="0" w:color="auto"/>
        <w:bottom w:val="none" w:sz="0" w:space="0" w:color="auto"/>
        <w:right w:val="none" w:sz="0" w:space="0" w:color="auto"/>
      </w:divBdr>
    </w:div>
    <w:div w:id="1957977164">
      <w:bodyDiv w:val="1"/>
      <w:marLeft w:val="0"/>
      <w:marRight w:val="0"/>
      <w:marTop w:val="0"/>
      <w:marBottom w:val="0"/>
      <w:divBdr>
        <w:top w:val="none" w:sz="0" w:space="0" w:color="auto"/>
        <w:left w:val="none" w:sz="0" w:space="0" w:color="auto"/>
        <w:bottom w:val="none" w:sz="0" w:space="0" w:color="auto"/>
        <w:right w:val="none" w:sz="0" w:space="0" w:color="auto"/>
      </w:divBdr>
    </w:div>
    <w:div w:id="1963682696">
      <w:bodyDiv w:val="1"/>
      <w:marLeft w:val="0"/>
      <w:marRight w:val="0"/>
      <w:marTop w:val="0"/>
      <w:marBottom w:val="0"/>
      <w:divBdr>
        <w:top w:val="none" w:sz="0" w:space="0" w:color="auto"/>
        <w:left w:val="none" w:sz="0" w:space="0" w:color="auto"/>
        <w:bottom w:val="none" w:sz="0" w:space="0" w:color="auto"/>
        <w:right w:val="none" w:sz="0" w:space="0" w:color="auto"/>
      </w:divBdr>
    </w:div>
    <w:div w:id="1967664972">
      <w:bodyDiv w:val="1"/>
      <w:marLeft w:val="0"/>
      <w:marRight w:val="0"/>
      <w:marTop w:val="0"/>
      <w:marBottom w:val="0"/>
      <w:divBdr>
        <w:top w:val="none" w:sz="0" w:space="0" w:color="auto"/>
        <w:left w:val="none" w:sz="0" w:space="0" w:color="auto"/>
        <w:bottom w:val="none" w:sz="0" w:space="0" w:color="auto"/>
        <w:right w:val="none" w:sz="0" w:space="0" w:color="auto"/>
      </w:divBdr>
    </w:div>
    <w:div w:id="1983341899">
      <w:bodyDiv w:val="1"/>
      <w:marLeft w:val="0"/>
      <w:marRight w:val="0"/>
      <w:marTop w:val="0"/>
      <w:marBottom w:val="0"/>
      <w:divBdr>
        <w:top w:val="none" w:sz="0" w:space="0" w:color="auto"/>
        <w:left w:val="none" w:sz="0" w:space="0" w:color="auto"/>
        <w:bottom w:val="none" w:sz="0" w:space="0" w:color="auto"/>
        <w:right w:val="none" w:sz="0" w:space="0" w:color="auto"/>
      </w:divBdr>
    </w:div>
    <w:div w:id="1997343007">
      <w:bodyDiv w:val="1"/>
      <w:marLeft w:val="0"/>
      <w:marRight w:val="0"/>
      <w:marTop w:val="0"/>
      <w:marBottom w:val="0"/>
      <w:divBdr>
        <w:top w:val="none" w:sz="0" w:space="0" w:color="auto"/>
        <w:left w:val="none" w:sz="0" w:space="0" w:color="auto"/>
        <w:bottom w:val="none" w:sz="0" w:space="0" w:color="auto"/>
        <w:right w:val="none" w:sz="0" w:space="0" w:color="auto"/>
      </w:divBdr>
    </w:div>
    <w:div w:id="20311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videncesynthesis.atlassian.net/wiki/spaces/ESE/overview?mode=globa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ochrane.org/news/evidence-synthesis-what-it-and-why-do-we-need-i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videncesynthesis.atlassian.net/wiki/spaces/ESE/overview?mode=global\" TargetMode="External"/><Relationship Id="rId5" Type="http://schemas.openxmlformats.org/officeDocument/2006/relationships/styles" Target="styles.xml"/><Relationship Id="rId15" Type="http://schemas.openxmlformats.org/officeDocument/2006/relationships/hyperlink" Target="https://www.mcmasterforum.org/docs/default-source/evidence-commission/sections/5.1-types-of-evidence-intermediaries.pdf" TargetMode="External"/><Relationship Id="rId10" Type="http://schemas.openxmlformats.org/officeDocument/2006/relationships/hyperlink" Target="https://evidencesynthesis.atlassian.net/wiki/spaces/ESE/overview?mode=globa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videncesynthesis.atlassian.net/wiki/spaces/ESE/pages/64126989/Demand+Side+Engagement+Working+Group"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rt_Order xmlns="6e5588b4-fb74-440d-9722-779e4a7e7483" xsi:nil="true"/>
    <TaxCatchAll xmlns="9660903e-d300-4e56-8fff-1e8d381b9430" xsi:nil="true"/>
    <lcf76f155ced4ddcb4097134ff3c332f xmlns="6e5588b4-fb74-440d-9722-779e4a7e748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844DBFACAF3346A02F95913FF266A6" ma:contentTypeVersion="13" ma:contentTypeDescription="Create a new document." ma:contentTypeScope="" ma:versionID="67111522ebcd0185f2e6ece171e0ea70">
  <xsd:schema xmlns:xsd="http://www.w3.org/2001/XMLSchema" xmlns:xs="http://www.w3.org/2001/XMLSchema" xmlns:p="http://schemas.microsoft.com/office/2006/metadata/properties" xmlns:ns2="6e5588b4-fb74-440d-9722-779e4a7e7483" xmlns:ns3="9660903e-d300-4e56-8fff-1e8d381b9430" targetNamespace="http://schemas.microsoft.com/office/2006/metadata/properties" ma:root="true" ma:fieldsID="82c16ec0f0e71eee140afa3dede4de5f" ns2:_="" ns3:_="">
    <xsd:import namespace="6e5588b4-fb74-440d-9722-779e4a7e7483"/>
    <xsd:import namespace="9660903e-d300-4e56-8fff-1e8d381b9430"/>
    <xsd:element name="properties">
      <xsd:complexType>
        <xsd:sequence>
          <xsd:element name="documentManagement">
            <xsd:complexType>
              <xsd:all>
                <xsd:element ref="ns2:Sort_Order"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588b4-fb74-440d-9722-779e4a7e7483" elementFormDefault="qualified">
    <xsd:import namespace="http://schemas.microsoft.com/office/2006/documentManagement/types"/>
    <xsd:import namespace="http://schemas.microsoft.com/office/infopath/2007/PartnerControls"/>
    <xsd:element name="Sort_Order" ma:index="8" nillable="true" ma:displayName="Sort_Order" ma:format="Dropdown" ma:internalName="Sort_Order" ma:percentage="FALSE">
      <xsd:simpleType>
        <xsd:restriction base="dms:Number"/>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c312355-af61-47fa-b102-1b6921dfb47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60903e-d300-4e56-8fff-1e8d381b943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8e2d9a0-cf25-4ef5-8edf-dfc558213c1c}" ma:internalName="TaxCatchAll" ma:showField="CatchAllData" ma:web="9660903e-d300-4e56-8fff-1e8d381b9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B7706E-A6C8-4A94-8D79-B0639A0B6942}">
  <ds:schemaRefs>
    <ds:schemaRef ds:uri="http://schemas.microsoft.com/sharepoint/v3/contenttype/forms"/>
  </ds:schemaRefs>
</ds:datastoreItem>
</file>

<file path=customXml/itemProps2.xml><?xml version="1.0" encoding="utf-8"?>
<ds:datastoreItem xmlns:ds="http://schemas.openxmlformats.org/officeDocument/2006/customXml" ds:itemID="{AD93D014-883B-4B8C-BB77-C616C28FE4CA}">
  <ds:schemaRefs>
    <ds:schemaRef ds:uri="http://schemas.microsoft.com/office/2006/metadata/properties"/>
    <ds:schemaRef ds:uri="http://schemas.microsoft.com/office/infopath/2007/PartnerControls"/>
    <ds:schemaRef ds:uri="6e5588b4-fb74-440d-9722-779e4a7e7483"/>
    <ds:schemaRef ds:uri="9660903e-d300-4e56-8fff-1e8d381b9430"/>
  </ds:schemaRefs>
</ds:datastoreItem>
</file>

<file path=customXml/itemProps3.xml><?xml version="1.0" encoding="utf-8"?>
<ds:datastoreItem xmlns:ds="http://schemas.openxmlformats.org/officeDocument/2006/customXml" ds:itemID="{3A31CEFD-DC37-4C41-ADF6-57E8AAAFB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588b4-fb74-440d-9722-779e4a7e7483"/>
    <ds:schemaRef ds:uri="9660903e-d300-4e56-8fff-1e8d381b9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5445</Words>
  <Characters>31039</Characters>
  <Application>Microsoft Office Word</Application>
  <DocSecurity>4</DocSecurity>
  <Lines>258</Lines>
  <Paragraphs>72</Paragraphs>
  <ScaleCrop>false</ScaleCrop>
  <Company/>
  <LinksUpToDate>false</LinksUpToDate>
  <CharactersWithSpaces>36412</CharactersWithSpaces>
  <SharedDoc>false</SharedDoc>
  <HLinks>
    <vt:vector size="36" baseType="variant">
      <vt:variant>
        <vt:i4>2293809</vt:i4>
      </vt:variant>
      <vt:variant>
        <vt:i4>15</vt:i4>
      </vt:variant>
      <vt:variant>
        <vt:i4>0</vt:i4>
      </vt:variant>
      <vt:variant>
        <vt:i4>5</vt:i4>
      </vt:variant>
      <vt:variant>
        <vt:lpwstr>https://www.cochrane.org/news/evidence-synthesis-what-it-and-why-do-we-need-it?</vt:lpwstr>
      </vt:variant>
      <vt:variant>
        <vt:lpwstr/>
      </vt:variant>
      <vt:variant>
        <vt:i4>2490401</vt:i4>
      </vt:variant>
      <vt:variant>
        <vt:i4>12</vt:i4>
      </vt:variant>
      <vt:variant>
        <vt:i4>0</vt:i4>
      </vt:variant>
      <vt:variant>
        <vt:i4>5</vt:i4>
      </vt:variant>
      <vt:variant>
        <vt:lpwstr>https://www.mcmasterforum.org/docs/default-source/evidence-commission/sections/5.1-types-of-evidence-intermediaries.pdf</vt:lpwstr>
      </vt:variant>
      <vt:variant>
        <vt:lpwstr/>
      </vt:variant>
      <vt:variant>
        <vt:i4>2490473</vt:i4>
      </vt:variant>
      <vt:variant>
        <vt:i4>9</vt:i4>
      </vt:variant>
      <vt:variant>
        <vt:i4>0</vt:i4>
      </vt:variant>
      <vt:variant>
        <vt:i4>5</vt:i4>
      </vt:variant>
      <vt:variant>
        <vt:lpwstr>https://evidencesynthesis.atlassian.net/wiki/spaces/ESE/pages/64126989/Demand+Side+Engagement+Working+Group</vt:lpwstr>
      </vt:variant>
      <vt:variant>
        <vt:lpwstr/>
      </vt:variant>
      <vt:variant>
        <vt:i4>786506</vt:i4>
      </vt:variant>
      <vt:variant>
        <vt:i4>6</vt:i4>
      </vt:variant>
      <vt:variant>
        <vt:i4>0</vt:i4>
      </vt:variant>
      <vt:variant>
        <vt:i4>5</vt:i4>
      </vt:variant>
      <vt:variant>
        <vt:lpwstr>https://evidencesynthesis.atlassian.net/wiki/spaces/ESE/overview?mode=global</vt:lpwstr>
      </vt:variant>
      <vt:variant>
        <vt:lpwstr/>
      </vt:variant>
      <vt:variant>
        <vt:i4>786506</vt:i4>
      </vt:variant>
      <vt:variant>
        <vt:i4>3</vt:i4>
      </vt:variant>
      <vt:variant>
        <vt:i4>0</vt:i4>
      </vt:variant>
      <vt:variant>
        <vt:i4>5</vt:i4>
      </vt:variant>
      <vt:variant>
        <vt:lpwstr>https://evidencesynthesis.atlassian.net/wiki/spaces/ESE/overview?mode=global\</vt:lpwstr>
      </vt:variant>
      <vt:variant>
        <vt:lpwstr/>
      </vt:variant>
      <vt:variant>
        <vt:i4>786506</vt:i4>
      </vt:variant>
      <vt:variant>
        <vt:i4>0</vt:i4>
      </vt:variant>
      <vt:variant>
        <vt:i4>0</vt:i4>
      </vt:variant>
      <vt:variant>
        <vt:i4>5</vt:i4>
      </vt:variant>
      <vt:variant>
        <vt:lpwstr>https://evidencesynthesis.atlassian.net/wiki/spaces/ESE/overview?mode=global\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 John</dc:creator>
  <cp:keywords/>
  <dc:description/>
  <cp:lastModifiedBy>Ruth Foxlee</cp:lastModifiedBy>
  <cp:revision>28</cp:revision>
  <dcterms:created xsi:type="dcterms:W3CDTF">2025-05-23T22:07:00Z</dcterms:created>
  <dcterms:modified xsi:type="dcterms:W3CDTF">2025-05-23T14:16:00Z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0x01010045844DBFACAF3346A02F95913FF266A6</vt:lpwstr>
  </property>
  <property fmtid="{D5CDD505-2E9C-101B-9397-08002B2CF9AE}" pid="3" name="MediaServiceImageTags">
    <vt:lpwstr/>
  </property>
</Properties>
</file>