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426A"/>
          <w:sz w:val="40"/>
        </w:rPr>
        <w:t>AECB Report Analyzer</w:t>
      </w:r>
    </w:p>
    <w:p>
      <w:pPr>
        <w:spacing w:after="40"/>
      </w:pPr>
      <w:r>
        <w:rPr>
          <w:b w:val="0"/>
          <w:i w:val="0"/>
          <w:color w:val="57697C"/>
          <w:sz w:val="26"/>
        </w:rPr>
        <w:t>Business Requirements Document</w:t>
      </w:r>
    </w:p>
    <w:p>
      <w:pPr>
        <w:spacing w:after="0"/>
      </w:pPr>
      <w:r>
        <w:rPr>
          <w:b w:val="0"/>
          <w:i w:val="0"/>
          <w:color w:val="57697C"/>
          <w:sz w:val="20"/>
        </w:rPr>
        <w:t>Retail Risk Management  ·  Finance House</w:t>
      </w:r>
    </w:p>
    <w:p>
      <w:pPr>
        <w:spacing w:after="280"/>
      </w:pPr>
      <w:r>
        <w:rPr>
          <w:b w:val="0"/>
          <w:i/>
          <w:color w:val="57697C"/>
          <w:sz w:val="19"/>
        </w:rPr>
        <w:t>Status: working draft — updated as the build progresses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134"/>
          </w:tcPr>
          <w:p>
            <w:r/>
            <w:r>
              <w:rPr>
                <w:b/>
                <w:color w:val="00426A"/>
                <w:sz w:val="19"/>
              </w:rPr>
              <w:t>Version</w:t>
            </w:r>
          </w:p>
        </w:tc>
        <w:tc>
          <w:tcPr>
            <w:tcW w:type="dxa" w:w="1701"/>
          </w:tcPr>
          <w:p>
            <w:r/>
            <w:r>
              <w:rPr>
                <w:b/>
                <w:color w:val="00426A"/>
                <w:sz w:val="19"/>
              </w:rPr>
              <w:t>Date</w:t>
            </w:r>
          </w:p>
        </w:tc>
        <w:tc>
          <w:tcPr>
            <w:tcW w:type="dxa" w:w="1134"/>
          </w:tcPr>
          <w:p>
            <w:r/>
            <w:r>
              <w:rPr>
                <w:b/>
                <w:color w:val="00426A"/>
                <w:sz w:val="19"/>
              </w:rPr>
              <w:t>Author</w:t>
            </w:r>
          </w:p>
        </w:tc>
        <w:tc>
          <w:tcPr>
            <w:tcW w:type="dxa" w:w="5102"/>
          </w:tcPr>
          <w:p>
            <w:r/>
            <w:r>
              <w:rPr>
                <w:b/>
                <w:color w:val="00426A"/>
                <w:sz w:val="19"/>
              </w:rPr>
              <w:t>Notes</w:t>
            </w:r>
          </w:p>
        </w:tc>
      </w:tr>
      <w:tr>
        <w:tc>
          <w:tcPr>
            <w:tcW w:type="dxa" w:w="1134"/>
          </w:tcPr>
          <w:p>
            <w:r/>
            <w:r>
              <w:rPr>
                <w:sz w:val="19"/>
              </w:rPr>
              <w:t>0.9</w:t>
            </w:r>
          </w:p>
        </w:tc>
        <w:tc>
          <w:tcPr>
            <w:tcW w:type="dxa" w:w="1701"/>
          </w:tcPr>
          <w:p>
            <w:r/>
            <w:r>
              <w:rPr>
                <w:sz w:val="19"/>
              </w:rPr>
              <w:t>May 2026</w:t>
            </w:r>
          </w:p>
        </w:tc>
        <w:tc>
          <w:tcPr>
            <w:tcW w:type="dxa" w:w="1134"/>
          </w:tcPr>
          <w:p>
            <w:r/>
            <w:r>
              <w:rPr>
                <w:sz w:val="19"/>
              </w:rPr>
              <w:t>RRM</w:t>
            </w:r>
          </w:p>
        </w:tc>
        <w:tc>
          <w:tcPr>
            <w:tcW w:type="dxa" w:w="5102"/>
          </w:tcPr>
          <w:p>
            <w:r/>
            <w:r>
              <w:rPr>
                <w:sz w:val="19"/>
              </w:rPr>
              <w:t>First draft, circulated within the team</w:t>
            </w:r>
          </w:p>
        </w:tc>
      </w:tr>
      <w:tr>
        <w:tc>
          <w:tcPr>
            <w:tcW w:type="dxa" w:w="1134"/>
          </w:tcPr>
          <w:p>
            <w:r/>
            <w:r>
              <w:rPr>
                <w:sz w:val="19"/>
              </w:rPr>
              <w:t>1.0</w:t>
            </w:r>
          </w:p>
        </w:tc>
        <w:tc>
          <w:tcPr>
            <w:tcW w:type="dxa" w:w="1701"/>
          </w:tcPr>
          <w:p>
            <w:r/>
            <w:r>
              <w:rPr>
                <w:sz w:val="19"/>
              </w:rPr>
              <w:t>August 2026</w:t>
            </w:r>
          </w:p>
        </w:tc>
        <w:tc>
          <w:tcPr>
            <w:tcW w:type="dxa" w:w="1134"/>
          </w:tcPr>
          <w:p>
            <w:r/>
            <w:r>
              <w:rPr>
                <w:sz w:val="19"/>
              </w:rPr>
              <w:t>RRM</w:t>
            </w:r>
          </w:p>
        </w:tc>
        <w:tc>
          <w:tcPr>
            <w:tcW w:type="dxa" w:w="5102"/>
          </w:tcPr>
          <w:p>
            <w:r/>
            <w:r>
              <w:rPr>
                <w:sz w:val="19"/>
              </w:rPr>
              <w:t>Updated after the score and income sections were reworked</w:t>
            </w:r>
          </w:p>
        </w:tc>
      </w:tr>
    </w:tbl>
    <w:p>
      <w:pPr>
        <w:spacing w:after="40"/>
      </w:pPr>
      <w:r>
        <w:rPr>
          <w:b w:val="0"/>
          <w:i w:val="0"/>
        </w:rPr>
      </w:r>
    </w:p>
    <w:p>
      <w:pPr>
        <w:pStyle w:val="Heading1"/>
      </w:pPr>
      <w:r>
        <w:t>1.  Background and purpose</w:t>
      </w:r>
    </w:p>
    <w:p>
      <w:r>
        <w:rPr>
          <w:b w:val="0"/>
          <w:i w:val="0"/>
        </w:rPr>
        <w:t>Every consumer credit application we underwrite comes with an AECB credit bureau report. The report is thorough, but it is not readable. The same passport can appear five times because five banks reported it, payment history arrives as hundreds of month-by-month entries, and the facts that actually drive a decision — the score, the worst payment status, current exposure, anything adverse — sit in different corners of the file.</w:t>
      </w:r>
    </w:p>
    <w:p>
      <w:r>
        <w:rPr>
          <w:b w:val="0"/>
          <w:i w:val="0"/>
        </w:rPr>
        <w:t>Today an analyst reads the raw report top to bottom. On a clean file that takes ten to fifteen minutes; on a busy file, longer, and the longer the file the easier it is to miss the one line that matters.</w:t>
      </w:r>
    </w:p>
    <w:p>
      <w:r>
        <w:rPr>
          <w:b w:val="0"/>
          <w:i w:val="0"/>
        </w:rPr>
        <w:t>The purpose of this project is simple: one screen per customer, readable in two or three minutes, with nothing important hidden and nothing on it that AECB did not actually tell us.</w:t>
      </w:r>
    </w:p>
    <w:p>
      <w:r>
        <w:rPr>
          <w:b w:val="0"/>
          <w:i w:val="0"/>
        </w:rPr>
        <w:t>This document sets out what the screen must show and the rules it must follow. I have deliberately kept technical detail out of it — how the team builds it is their call; what it shows is ours.</w:t>
      </w:r>
    </w:p>
    <w:p>
      <w:pPr>
        <w:pStyle w:val="Heading1"/>
      </w:pPr>
      <w:r>
        <w:t>2.  Who will use it</w:t>
      </w:r>
    </w:p>
    <w:p>
      <w:pPr>
        <w:pStyle w:val="ListBullet"/>
      </w:pPr>
      <w:r>
        <w:t>Credit analysts and RRM reviewers — daily, while assessing applications.</w:t>
      </w:r>
    </w:p>
    <w:p>
      <w:pPr>
        <w:pStyle w:val="ListBullet"/>
      </w:pPr>
      <w:r>
        <w:t>Credit committee members — occasionally, when a case is escalated.</w:t>
      </w:r>
    </w:p>
    <w:p>
      <w:pPr>
        <w:pStyle w:val="ListBullet"/>
      </w:pPr>
      <w:r>
        <w:t>Audit — after the fact, which is why the screen must be saveable as a single file into the credit file.</w:t>
      </w:r>
    </w:p>
    <w:p>
      <w:pPr>
        <w:pStyle w:val="Heading1"/>
      </w:pPr>
      <w:r>
        <w:t>3.  The rules that are not negotiable</w:t>
      </w:r>
    </w:p>
    <w:p>
      <w:r>
        <w:rPr>
          <w:b w:val="0"/>
          <w:i w:val="0"/>
        </w:rPr>
        <w:t>These came out of our early reviews, and every requirement in this document is subject to them.</w:t>
      </w:r>
    </w:p>
    <w:p>
      <w:pPr>
        <w:pStyle w:val="ListBullet"/>
      </w:pPr>
      <w:r>
        <w:rPr>
          <w:b/>
        </w:rPr>
        <w:t xml:space="preserve">Nothing invented. </w:t>
      </w:r>
      <w:r>
        <w:t>Every figure on the screen must be a figure AECB delivered, or one clearly marked as calculated by us. Where we calculate something ourselves (for example the age of the bureau file in months), the screen labels it “derived” and explains on hover where it came from. Bureau figures are labelled “delivered”.</w:t>
      </w:r>
    </w:p>
    <w:p>
      <w:pPr>
        <w:pStyle w:val="ListBullet"/>
      </w:pPr>
      <w:r>
        <w:rPr>
          <w:b/>
        </w:rPr>
        <w:t xml:space="preserve">“Zero” and “not reported” are different answers. </w:t>
      </w:r>
      <w:r>
        <w:t>A customer with zero overdue is not the same as a customer whose bank did not report overdues. The screen must never show a blank that could be read as “clean”. If the bureau did not report something, the screen says so, in those words.</w:t>
      </w:r>
    </w:p>
    <w:p>
      <w:pPr>
        <w:pStyle w:val="ListBullet"/>
      </w:pPr>
      <w:r>
        <w:rPr>
          <w:b/>
        </w:rPr>
        <w:t xml:space="preserve">Colour has one meaning. </w:t>
      </w:r>
      <w:r>
        <w:t>Red, amber and green are reserved for risk. Facts that are not risk signals — residency, the age band of the file — appear in the corporate blue. An analyst should be able to scan for colour and know that anything red or amber needs attention.</w:t>
      </w:r>
    </w:p>
    <w:p>
      <w:pPr>
        <w:pStyle w:val="ListBullet"/>
      </w:pPr>
      <w:r>
        <w:rPr>
          <w:b/>
        </w:rPr>
        <w:t xml:space="preserve">When the bureau contradicts itself, show both. </w:t>
      </w:r>
      <w:r>
        <w:t>Our reference case carries two very different income figures from two banks. The screen shows both and leaves the judgement to the analyst. It must not pick one, and it must not average them.</w:t>
      </w:r>
    </w:p>
    <w:p>
      <w:pPr>
        <w:pStyle w:val="ListBullet"/>
      </w:pPr>
      <w:r>
        <w:rPr>
          <w:b/>
        </w:rPr>
        <w:t xml:space="preserve">Months with no data are grey, not green. </w:t>
      </w:r>
      <w:r>
        <w:t>Payment history is patchy — some lenders report every month, some do not. A month nobody reported must never be painted as a clean month.</w:t>
      </w:r>
    </w:p>
    <w:p>
      <w:pPr>
        <w:pStyle w:val="Heading1"/>
      </w:pPr>
      <w:r>
        <w:t>4.  The screen, section by section</w:t>
      </w:r>
    </w:p>
    <w:p>
      <w:r>
        <w:rPr>
          <w:b w:val="0"/>
          <w:i w:val="0"/>
        </w:rPr>
        <w:t>The screen is a single page: a fixed bar at the top, numbered sections down the page, and a navigation strip so the analyst can jump straight to a section. Status as at this draft:</w:t>
      </w:r>
    </w:p>
    <w:tbl>
      <w:tblPr>
        <w:tblStyle w:val="TableGrid"/>
        <w:tblW w:type="auto" w:w="0"/>
        <w:jc w:val="center"/>
        <w:tblLook w:firstColumn="1" w:firstRow="1" w:lastColumn="0" w:lastRow="0" w:noHBand="0" w:noVBand="1" w:val="04A0"/>
      </w:tblPr>
      <w:tblGrid>
        <w:gridCol w:w="3173"/>
        <w:gridCol w:w="3173"/>
        <w:gridCol w:w="3173"/>
      </w:tblGrid>
      <w:tr>
        <w:tc>
          <w:tcPr>
            <w:tcW w:type="dxa" w:w="1928"/>
          </w:tcPr>
          <w:p>
            <w:r/>
            <w:r>
              <w:rPr>
                <w:b/>
                <w:color w:val="00426A"/>
                <w:sz w:val="19"/>
              </w:rPr>
              <w:t>Section</w:t>
            </w:r>
          </w:p>
        </w:tc>
        <w:tc>
          <w:tcPr>
            <w:tcW w:type="dxa" w:w="4876"/>
          </w:tcPr>
          <w:p>
            <w:r/>
            <w:r>
              <w:rPr>
                <w:b/>
                <w:color w:val="00426A"/>
                <w:sz w:val="19"/>
              </w:rPr>
              <w:t>What it shows</w:t>
            </w:r>
          </w:p>
        </w:tc>
        <w:tc>
          <w:tcPr>
            <w:tcW w:type="dxa" w:w="2268"/>
          </w:tcPr>
          <w:p>
            <w:r/>
            <w:r>
              <w:rPr>
                <w:b/>
                <w:color w:val="00426A"/>
                <w:sz w:val="19"/>
              </w:rPr>
              <w:t>Status</w:t>
            </w:r>
          </w:p>
        </w:tc>
      </w:tr>
      <w:tr>
        <w:tc>
          <w:tcPr>
            <w:tcW w:type="dxa" w:w="1928"/>
          </w:tcPr>
          <w:p>
            <w:r/>
            <w:r>
              <w:rPr>
                <w:sz w:val="19"/>
              </w:rPr>
              <w:t>Top bar</w:t>
            </w:r>
          </w:p>
        </w:tc>
        <w:tc>
          <w:tcPr>
            <w:tcW w:type="dxa" w:w="4876"/>
          </w:tcPr>
          <w:p>
            <w:r/>
            <w:r>
              <w:rPr>
                <w:sz w:val="19"/>
              </w:rPr>
              <w:t>Customer, report date, and whether the report is still inside our 30-day validity window.</w:t>
            </w:r>
          </w:p>
        </w:tc>
        <w:tc>
          <w:tcPr>
            <w:tcW w:type="dxa" w:w="2268"/>
          </w:tcPr>
          <w:p>
            <w:r/>
            <w:r>
              <w:rPr>
                <w:sz w:val="19"/>
              </w:rPr>
              <w:t>Done — agreed and locked</w:t>
            </w:r>
          </w:p>
        </w:tc>
      </w:tr>
      <w:tr>
        <w:tc>
          <w:tcPr>
            <w:tcW w:type="dxa" w:w="1928"/>
          </w:tcPr>
          <w:p>
            <w:r/>
            <w:r>
              <w:rPr>
                <w:sz w:val="19"/>
              </w:rPr>
              <w:t>Identity &amp; demographics</w:t>
            </w:r>
          </w:p>
        </w:tc>
        <w:tc>
          <w:tcPr>
            <w:tcW w:type="dxa" w:w="4876"/>
          </w:tcPr>
          <w:p>
            <w:r/>
            <w:r>
              <w:rPr>
                <w:sz w:val="19"/>
              </w:rPr>
              <w:t>Name in English and Arabic, Emirates ID, passport and its expiry, mobile, address — with superseded values one click away instead of repeated.</w:t>
            </w:r>
          </w:p>
        </w:tc>
        <w:tc>
          <w:tcPr>
            <w:tcW w:type="dxa" w:w="2268"/>
          </w:tcPr>
          <w:p>
            <w:r/>
            <w:r>
              <w:rPr>
                <w:sz w:val="19"/>
              </w:rPr>
              <w:t>Done</w:t>
            </w:r>
          </w:p>
        </w:tc>
      </w:tr>
      <w:tr>
        <w:tc>
          <w:tcPr>
            <w:tcW w:type="dxa" w:w="1928"/>
          </w:tcPr>
          <w:p>
            <w:r/>
            <w:r>
              <w:rPr>
                <w:sz w:val="19"/>
              </w:rPr>
              <w:t>Score &amp; bureau history</w:t>
            </w:r>
          </w:p>
        </w:tc>
        <w:tc>
          <w:tcPr>
            <w:tcW w:type="dxa" w:w="4876"/>
          </w:tcPr>
          <w:p>
            <w:r/>
            <w:r>
              <w:rPr>
                <w:sz w:val="19"/>
              </w:rPr>
              <w:t>The AECB score, the FH and AECB risk bands exactly as delivered, the position on the scale, and the length of bureau history (for our reference case, 87 months, band B3).</w:t>
            </w:r>
          </w:p>
        </w:tc>
        <w:tc>
          <w:tcPr>
            <w:tcW w:type="dxa" w:w="2268"/>
          </w:tcPr>
          <w:p>
            <w:r/>
            <w:r>
              <w:rPr>
                <w:sz w:val="19"/>
              </w:rPr>
              <w:t>Done</w:t>
            </w:r>
          </w:p>
        </w:tc>
      </w:tr>
      <w:tr>
        <w:tc>
          <w:tcPr>
            <w:tcW w:type="dxa" w:w="1928"/>
          </w:tcPr>
          <w:p>
            <w:r/>
            <w:r>
              <w:rPr>
                <w:sz w:val="19"/>
              </w:rPr>
              <w:t>Income &amp; employment</w:t>
            </w:r>
          </w:p>
        </w:tc>
        <w:tc>
          <w:tcPr>
            <w:tcW w:type="dxa" w:w="4876"/>
          </w:tcPr>
          <w:p>
            <w:r/>
            <w:r>
              <w:rPr>
                <w:sz w:val="19"/>
              </w:rPr>
              <w:t>Left: every employer and income figure as reported, with the reporting bank. Right: income and employment on a timeline. The header always shows the latest usable salary, whose it is and since when — even before the section is opened.</w:t>
            </w:r>
          </w:p>
        </w:tc>
        <w:tc>
          <w:tcPr>
            <w:tcW w:type="dxa" w:w="2268"/>
          </w:tcPr>
          <w:p>
            <w:r/>
            <w:r>
              <w:rPr>
                <w:sz w:val="19"/>
              </w:rPr>
              <w:t>In progress — near final</w:t>
            </w:r>
          </w:p>
        </w:tc>
      </w:tr>
      <w:tr>
        <w:tc>
          <w:tcPr>
            <w:tcW w:type="dxa" w:w="1928"/>
          </w:tcPr>
          <w:p>
            <w:r/>
            <w:r>
              <w:rPr>
                <w:sz w:val="19"/>
              </w:rPr>
              <w:t>Returned cheques &amp; direct debits</w:t>
            </w:r>
          </w:p>
        </w:tc>
        <w:tc>
          <w:tcPr>
            <w:tcW w:type="dxa" w:w="4876"/>
          </w:tcPr>
          <w:p>
            <w:r/>
            <w:r>
              <w:rPr>
                <w:sz w:val="19"/>
              </w:rPr>
              <w:t>The bureau’s counters for returns.</w:t>
            </w:r>
          </w:p>
        </w:tc>
        <w:tc>
          <w:tcPr>
            <w:tcW w:type="dxa" w:w="2268"/>
          </w:tcPr>
          <w:p>
            <w:r/>
            <w:r>
              <w:rPr>
                <w:sz w:val="19"/>
              </w:rPr>
              <w:t>Partly built — see decision (d)</w:t>
            </w:r>
          </w:p>
        </w:tc>
      </w:tr>
      <w:tr>
        <w:tc>
          <w:tcPr>
            <w:tcW w:type="dxa" w:w="1928"/>
          </w:tcPr>
          <w:p>
            <w:r/>
            <w:r>
              <w:rPr>
                <w:sz w:val="19"/>
              </w:rPr>
              <w:t>Worst payment status</w:t>
            </w:r>
          </w:p>
        </w:tc>
        <w:tc>
          <w:tcPr>
            <w:tcW w:type="dxa" w:w="4876"/>
          </w:tcPr>
          <w:p>
            <w:r/>
            <w:r>
              <w:rPr>
                <w:sz w:val="19"/>
              </w:rPr>
              <w:t>The worst status in the last 24 months as delivered, alongside what we can see ourselves in 36 months of history.</w:t>
            </w:r>
          </w:p>
        </w:tc>
        <w:tc>
          <w:tcPr>
            <w:tcW w:type="dxa" w:w="2268"/>
          </w:tcPr>
          <w:p>
            <w:r/>
            <w:r>
              <w:rPr>
                <w:sz w:val="19"/>
              </w:rPr>
              <w:t>Built — layout to be tightened</w:t>
            </w:r>
          </w:p>
        </w:tc>
      </w:tr>
      <w:tr>
        <w:tc>
          <w:tcPr>
            <w:tcW w:type="dxa" w:w="1928"/>
          </w:tcPr>
          <w:p>
            <w:r/>
            <w:r>
              <w:rPr>
                <w:sz w:val="19"/>
              </w:rPr>
              <w:t>Facilities overview</w:t>
            </w:r>
          </w:p>
        </w:tc>
        <w:tc>
          <w:tcPr>
            <w:tcW w:type="dxa" w:w="4876"/>
          </w:tcPr>
          <w:p>
            <w:r/>
            <w:r>
              <w:rPr>
                <w:sz w:val="19"/>
              </w:rPr>
              <w:t>The customer’s book at a glance: counts and balances across the four AECB categories.</w:t>
            </w:r>
          </w:p>
        </w:tc>
        <w:tc>
          <w:tcPr>
            <w:tcW w:type="dxa" w:w="2268"/>
          </w:tcPr>
          <w:p>
            <w:r/>
            <w:r>
              <w:rPr>
                <w:sz w:val="19"/>
              </w:rPr>
              <w:t>Built — layout to be tightened</w:t>
            </w:r>
          </w:p>
        </w:tc>
      </w:tr>
      <w:tr>
        <w:tc>
          <w:tcPr>
            <w:tcW w:type="dxa" w:w="1928"/>
          </w:tcPr>
          <w:p>
            <w:r/>
            <w:r>
              <w:rPr>
                <w:sz w:val="19"/>
              </w:rPr>
              <w:t>Facilities in detail</w:t>
            </w:r>
          </w:p>
        </w:tc>
        <w:tc>
          <w:tcPr>
            <w:tcW w:type="dxa" w:w="4876"/>
          </w:tcPr>
          <w:p>
            <w:r/>
            <w:r>
              <w:rPr>
                <w:sz w:val="19"/>
              </w:rPr>
              <w:t>Every facility with three years of month-by-month payment history; late months in the severity colours, unreported months grey.</w:t>
            </w:r>
          </w:p>
        </w:tc>
        <w:tc>
          <w:tcPr>
            <w:tcW w:type="dxa" w:w="2268"/>
          </w:tcPr>
          <w:p>
            <w:r/>
            <w:r>
              <w:rPr>
                <w:sz w:val="19"/>
              </w:rPr>
              <w:t>Built — the largest section, to be compressed</w:t>
            </w:r>
          </w:p>
        </w:tc>
      </w:tr>
      <w:tr>
        <w:tc>
          <w:tcPr>
            <w:tcW w:type="dxa" w:w="1928"/>
          </w:tcPr>
          <w:p>
            <w:r/>
            <w:r>
              <w:rPr>
                <w:sz w:val="19"/>
              </w:rPr>
              <w:t>Enquiries</w:t>
            </w:r>
          </w:p>
        </w:tc>
        <w:tc>
          <w:tcPr>
            <w:tcW w:type="dxa" w:w="4876"/>
          </w:tcPr>
          <w:p>
            <w:r/>
            <w:r>
              <w:rPr>
                <w:sz w:val="19"/>
              </w:rPr>
              <w:t>Who else has pulled this customer’s file recently and what was applied for.</w:t>
            </w:r>
          </w:p>
        </w:tc>
        <w:tc>
          <w:tcPr>
            <w:tcW w:type="dxa" w:w="2268"/>
          </w:tcPr>
          <w:p>
            <w:r/>
            <w:r>
              <w:rPr>
                <w:sz w:val="19"/>
              </w:rPr>
              <w:t>Partly built — see decision (e)</w:t>
            </w:r>
          </w:p>
        </w:tc>
      </w:tr>
    </w:tbl>
    <w:p>
      <w:pPr>
        <w:spacing w:after="40"/>
      </w:pPr>
      <w:r>
        <w:rPr>
          <w:b w:val="0"/>
          <w:i w:val="0"/>
        </w:rPr>
      </w:r>
    </w:p>
    <w:p>
      <w:r>
        <w:rPr>
          <w:b w:val="0"/>
          <w:i w:val="0"/>
        </w:rPr>
        <w:t>One note on the income section, since it went back and forth. AECB gives us a single income figure per employer, not a history, so a true “income trend” is only possible when the bureau has dated at least two figures. The agreed behaviour is to draw whatever the data honestly supports: a trend when it can, a single point when there is only one, employment bars alone when no usable figure exists, and a plain statement when nothing can be placed in time. The chart says which of these it is doing, and any figure we positioned ourselves (rather than the bureau dating it) is visibly marked as such.</w:t>
      </w:r>
    </w:p>
    <w:p>
      <w:pPr>
        <w:pStyle w:val="Heading1"/>
      </w:pPr>
      <w:r>
        <w:t>5.  Decisions RRM still owes the project</w:t>
      </w:r>
    </w:p>
    <w:p>
      <w:r>
        <w:rPr>
          <w:b w:val="0"/>
          <w:i w:val="0"/>
        </w:rPr>
        <w:t>These are ours to close, not the build team’s.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510"/>
          </w:tcPr>
          <w:p>
            <w:r/>
            <w:r>
              <w:rPr>
                <w:b/>
                <w:color w:val="00426A"/>
                <w:sz w:val="19"/>
              </w:rPr>
              <w:t>#</w:t>
            </w:r>
          </w:p>
        </w:tc>
        <w:tc>
          <w:tcPr>
            <w:tcW w:type="dxa" w:w="2041"/>
          </w:tcPr>
          <w:p>
            <w:r/>
            <w:r>
              <w:rPr>
                <w:b/>
                <w:color w:val="00426A"/>
                <w:sz w:val="19"/>
              </w:rPr>
              <w:t>Decision</w:t>
            </w:r>
          </w:p>
        </w:tc>
        <w:tc>
          <w:tcPr>
            <w:tcW w:type="dxa" w:w="5102"/>
          </w:tcPr>
          <w:p>
            <w:r/>
            <w:r>
              <w:rPr>
                <w:b/>
                <w:color w:val="00426A"/>
                <w:sz w:val="19"/>
              </w:rPr>
              <w:t>Why it is open</w:t>
            </w:r>
          </w:p>
        </w:tc>
        <w:tc>
          <w:tcPr>
            <w:tcW w:type="dxa" w:w="1417"/>
          </w:tcPr>
          <w:p>
            <w:r/>
            <w:r>
              <w:rPr>
                <w:b/>
                <w:color w:val="00426A"/>
                <w:sz w:val="19"/>
              </w:rPr>
              <w:t>Owner</w:t>
            </w:r>
          </w:p>
        </w:tc>
      </w:tr>
      <w:tr>
        <w:tc>
          <w:tcPr>
            <w:tcW w:type="dxa" w:w="510"/>
          </w:tcPr>
          <w:p>
            <w:r/>
            <w:r>
              <w:rPr>
                <w:sz w:val="19"/>
              </w:rPr>
              <w:t>a</w:t>
            </w:r>
          </w:p>
        </w:tc>
        <w:tc>
          <w:tcPr>
            <w:tcW w:type="dxa" w:w="2041"/>
          </w:tcPr>
          <w:p>
            <w:r/>
            <w:r>
              <w:rPr>
                <w:sz w:val="19"/>
              </w:rPr>
              <w:t>Score band cut-offs</w:t>
            </w:r>
          </w:p>
        </w:tc>
        <w:tc>
          <w:tcPr>
            <w:tcW w:type="dxa" w:w="5102"/>
          </w:tcPr>
          <w:p>
            <w:r/>
            <w:r>
              <w:rPr>
                <w:sz w:val="19"/>
              </w:rPr>
              <w:t>Our configured FH cut-offs disagree with the band AECB delivered on the reference case (they would put a 732 one band higher). The screen rightly shows the delivered band; the cut-offs need reconciling with the approved scorecard.</w:t>
            </w:r>
          </w:p>
        </w:tc>
        <w:tc>
          <w:tcPr>
            <w:tcW w:type="dxa" w:w="1417"/>
          </w:tcPr>
          <w:p>
            <w:r/>
            <w:r>
              <w:rPr>
                <w:sz w:val="19"/>
              </w:rPr>
              <w:t>RRM</w:t>
            </w:r>
          </w:p>
        </w:tc>
      </w:tr>
      <w:tr>
        <w:tc>
          <w:tcPr>
            <w:tcW w:type="dxa" w:w="510"/>
          </w:tcPr>
          <w:p>
            <w:r/>
            <w:r>
              <w:rPr>
                <w:sz w:val="19"/>
              </w:rPr>
              <w:t>b</w:t>
            </w:r>
          </w:p>
        </w:tc>
        <w:tc>
          <w:tcPr>
            <w:tcW w:type="dxa" w:w="2041"/>
          </w:tcPr>
          <w:p>
            <w:r/>
            <w:r>
              <w:rPr>
                <w:sz w:val="19"/>
              </w:rPr>
              <w:t>Lender names</w:t>
            </w:r>
          </w:p>
        </w:tc>
        <w:tc>
          <w:tcPr>
            <w:tcW w:type="dxa" w:w="5102"/>
          </w:tcPr>
          <w:p>
            <w:r/>
            <w:r>
              <w:rPr>
                <w:sz w:val="19"/>
              </w:rPr>
              <w:t>AECB identifies lenders by code (B02, T05 and so on) and the screen currently shows the codes. We need the approved code-to-name list before rollout.</w:t>
            </w:r>
          </w:p>
        </w:tc>
        <w:tc>
          <w:tcPr>
            <w:tcW w:type="dxa" w:w="1417"/>
          </w:tcPr>
          <w:p>
            <w:r/>
            <w:r>
              <w:rPr>
                <w:sz w:val="19"/>
              </w:rPr>
              <w:t>RRM / Credit Admin</w:t>
            </w:r>
          </w:p>
        </w:tc>
      </w:tr>
      <w:tr>
        <w:tc>
          <w:tcPr>
            <w:tcW w:type="dxa" w:w="510"/>
          </w:tcPr>
          <w:p>
            <w:r/>
            <w:r>
              <w:rPr>
                <w:sz w:val="19"/>
              </w:rPr>
              <w:t>c</w:t>
            </w:r>
          </w:p>
        </w:tc>
        <w:tc>
          <w:tcPr>
            <w:tcW w:type="dxa" w:w="2041"/>
          </w:tcPr>
          <w:p>
            <w:r/>
            <w:r>
              <w:rPr>
                <w:sz w:val="19"/>
              </w:rPr>
              <w:t>DSR and application details</w:t>
            </w:r>
          </w:p>
        </w:tc>
        <w:tc>
          <w:tcPr>
            <w:tcW w:type="dxa" w:w="5102"/>
          </w:tcPr>
          <w:p>
            <w:r/>
            <w:r>
              <w:rPr>
                <w:sz w:val="19"/>
              </w:rPr>
              <w:t>The bureau file does not carry the customer’s DSR, nor what is being applied for (product, amount, tenor). Until these are fed from the application side, the screen shows “n/a” rather than pretending.</w:t>
            </w:r>
          </w:p>
        </w:tc>
        <w:tc>
          <w:tcPr>
            <w:tcW w:type="dxa" w:w="1417"/>
          </w:tcPr>
          <w:p>
            <w:r/>
            <w:r>
              <w:rPr>
                <w:sz w:val="19"/>
              </w:rPr>
              <w:t>RRM / IT</w:t>
            </w:r>
          </w:p>
        </w:tc>
      </w:tr>
      <w:tr>
        <w:tc>
          <w:tcPr>
            <w:tcW w:type="dxa" w:w="510"/>
          </w:tcPr>
          <w:p>
            <w:r/>
            <w:r>
              <w:rPr>
                <w:sz w:val="19"/>
              </w:rPr>
              <w:t>d</w:t>
            </w:r>
          </w:p>
        </w:tc>
        <w:tc>
          <w:tcPr>
            <w:tcW w:type="dxa" w:w="2041"/>
          </w:tcPr>
          <w:p>
            <w:r/>
            <w:r>
              <w:rPr>
                <w:sz w:val="19"/>
              </w:rPr>
              <w:t>Returns window</w:t>
            </w:r>
          </w:p>
        </w:tc>
        <w:tc>
          <w:tcPr>
            <w:tcW w:type="dxa" w:w="5102"/>
          </w:tcPr>
          <w:p>
            <w:r/>
            <w:r>
              <w:rPr>
                <w:sz w:val="19"/>
              </w:rPr>
              <w:t>Our mock-ups assumed six months of cheque and direct-debit returns; AECB actually delivers three-month counters. The requirement needs restating around what is delivered.</w:t>
            </w:r>
          </w:p>
        </w:tc>
        <w:tc>
          <w:tcPr>
            <w:tcW w:type="dxa" w:w="1417"/>
          </w:tcPr>
          <w:p>
            <w:r/>
            <w:r>
              <w:rPr>
                <w:sz w:val="19"/>
              </w:rPr>
              <w:t>RRM</w:t>
            </w:r>
          </w:p>
        </w:tc>
      </w:tr>
      <w:tr>
        <w:tc>
          <w:tcPr>
            <w:tcW w:type="dxa" w:w="510"/>
          </w:tcPr>
          <w:p>
            <w:r/>
            <w:r>
              <w:rPr>
                <w:sz w:val="19"/>
              </w:rPr>
              <w:t>e</w:t>
            </w:r>
          </w:p>
        </w:tc>
        <w:tc>
          <w:tcPr>
            <w:tcW w:type="dxa" w:w="2041"/>
          </w:tcPr>
          <w:p>
            <w:r/>
            <w:r>
              <w:rPr>
                <w:sz w:val="19"/>
              </w:rPr>
              <w:t>Enquiry stages</w:t>
            </w:r>
          </w:p>
        </w:tc>
        <w:tc>
          <w:tcPr>
            <w:tcW w:type="dxa" w:w="5102"/>
          </w:tcPr>
          <w:p>
            <w:r/>
            <w:r>
              <w:rPr>
                <w:sz w:val="19"/>
              </w:rPr>
              <w:t>AECB only reports “Requested” and “Disbursed” — not approved, rejected or not-taken-up as the mock-ups assumed. Same as above.</w:t>
            </w:r>
          </w:p>
        </w:tc>
        <w:tc>
          <w:tcPr>
            <w:tcW w:type="dxa" w:w="1417"/>
          </w:tcPr>
          <w:p>
            <w:r/>
            <w:r>
              <w:rPr>
                <w:sz w:val="19"/>
              </w:rPr>
              <w:t>RRM</w:t>
            </w:r>
          </w:p>
        </w:tc>
      </w:tr>
      <w:tr>
        <w:tc>
          <w:tcPr>
            <w:tcW w:type="dxa" w:w="510"/>
          </w:tcPr>
          <w:p>
            <w:r/>
            <w:r>
              <w:rPr>
                <w:sz w:val="19"/>
              </w:rPr>
              <w:t>f</w:t>
            </w:r>
          </w:p>
        </w:tc>
        <w:tc>
          <w:tcPr>
            <w:tcW w:type="dxa" w:w="2041"/>
          </w:tcPr>
          <w:p>
            <w:r/>
            <w:r>
              <w:rPr>
                <w:sz w:val="19"/>
              </w:rPr>
              <w:t>An adverse test case</w:t>
            </w:r>
          </w:p>
        </w:tc>
        <w:tc>
          <w:tcPr>
            <w:tcW w:type="dxa" w:w="5102"/>
          </w:tcPr>
          <w:p>
            <w:r/>
            <w:r>
              <w:rPr>
                <w:sz w:val="19"/>
              </w:rPr>
              <w:t>Our reference customer is a clean payer. Every warning display exists, but we have not yet seen them against real adverse data. We should pull an adverse archived file and review the screen against it before sign-off.</w:t>
            </w:r>
          </w:p>
        </w:tc>
        <w:tc>
          <w:tcPr>
            <w:tcW w:type="dxa" w:w="1417"/>
          </w:tcPr>
          <w:p>
            <w:r/>
            <w:r>
              <w:rPr>
                <w:sz w:val="19"/>
              </w:rPr>
              <w:t>RRM</w:t>
            </w:r>
          </w:p>
        </w:tc>
      </w:tr>
    </w:tbl>
    <w:p>
      <w:pPr>
        <w:pStyle w:val="Heading1"/>
      </w:pPr>
      <w:r>
        <w:t>6.  Out of scope, for the avoidance of doubt</w:t>
      </w:r>
    </w:p>
    <w:p>
      <w:pPr>
        <w:pStyle w:val="ListBullet"/>
      </w:pPr>
      <w:r>
        <w:t>No automated decisions. The screen informs an analyst; it does not approve or decline anything.</w:t>
      </w:r>
    </w:p>
    <w:p>
      <w:pPr>
        <w:pStyle w:val="ListBullet"/>
      </w:pPr>
      <w:r>
        <w:t>Consumer reports only. Commercial bureau reports are a separate exercise.</w:t>
      </w:r>
    </w:p>
    <w:p>
      <w:pPr>
        <w:pStyle w:val="ListBullet"/>
      </w:pPr>
      <w:r>
        <w:t>No live connection to AECB. The screen reads the report files we already archive; it does not pull fresh reports.</w:t>
      </w:r>
    </w:p>
    <w:p>
      <w:pPr>
        <w:pStyle w:val="ListBullet"/>
      </w:pPr>
      <w:r>
        <w:t>No editing. Nobody can change a figure on the screen.</w:t>
      </w:r>
    </w:p>
    <w:p>
      <w:pPr>
        <w:pStyle w:val="Heading1"/>
      </w:pPr>
      <w:r>
        <w:t>7.  Practical constraints</w:t>
      </w:r>
    </w:p>
    <w:p>
      <w:pPr>
        <w:pStyle w:val="ListBullet"/>
      </w:pPr>
      <w:r>
        <w:t>It runs on our internal server, which has no internet access, and that will not change. The page must work entirely on its own — including when a saved copy is opened later with no connection at all.</w:t>
      </w:r>
    </w:p>
    <w:p>
      <w:pPr>
        <w:pStyle w:val="ListBullet"/>
      </w:pPr>
      <w:r>
        <w:t>One file for the credit file: the analyst must be able to download the page as a single self-contained file and attach it to the application.</w:t>
      </w:r>
    </w:p>
    <w:p>
      <w:pPr>
        <w:pStyle w:val="ListBullet"/>
      </w:pPr>
      <w:r>
        <w:t>No customer data leaves the bank.</w:t>
      </w:r>
    </w:p>
    <w:p>
      <w:pPr>
        <w:pStyle w:val="Heading1"/>
      </w:pPr>
      <w:r>
        <w:t>8.  Sign-off</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402"/>
          </w:tcPr>
          <w:p>
            <w:r/>
            <w:r>
              <w:rPr>
                <w:b/>
                <w:color w:val="00426A"/>
                <w:sz w:val="19"/>
              </w:rPr>
              <w:t>Role</w:t>
            </w:r>
          </w:p>
        </w:tc>
        <w:tc>
          <w:tcPr>
            <w:tcW w:type="dxa" w:w="2268"/>
          </w:tcPr>
          <w:p>
            <w:r/>
            <w:r>
              <w:rPr>
                <w:b/>
                <w:color w:val="00426A"/>
                <w:sz w:val="19"/>
              </w:rPr>
              <w:t>Name</w:t>
            </w:r>
          </w:p>
        </w:tc>
        <w:tc>
          <w:tcPr>
            <w:tcW w:type="dxa" w:w="1984"/>
          </w:tcPr>
          <w:p>
            <w:r/>
            <w:r>
              <w:rPr>
                <w:b/>
                <w:color w:val="00426A"/>
                <w:sz w:val="19"/>
              </w:rPr>
              <w:t>Signature</w:t>
            </w:r>
          </w:p>
        </w:tc>
        <w:tc>
          <w:tcPr>
            <w:tcW w:type="dxa" w:w="1417"/>
          </w:tcPr>
          <w:p>
            <w:r/>
            <w:r>
              <w:rPr>
                <w:b/>
                <w:color w:val="00426A"/>
                <w:sz w:val="19"/>
              </w:rPr>
              <w:t>Date</w:t>
            </w:r>
          </w:p>
        </w:tc>
      </w:tr>
      <w:tr>
        <w:tc>
          <w:tcPr>
            <w:tcW w:type="dxa" w:w="3402"/>
          </w:tcPr>
          <w:p>
            <w:r/>
            <w:r>
              <w:rPr>
                <w:sz w:val="19"/>
              </w:rPr>
              <w:t>Head of Retail Risk Management</w:t>
            </w:r>
          </w:p>
        </w:tc>
        <w:tc>
          <w:tcPr>
            <w:tcW w:type="dxa" w:w="2268"/>
          </w:tcPr>
          <w:p>
            <w:r/>
            <w:r>
              <w:rPr>
                <w:sz w:val="19"/>
              </w:rPr>
            </w:r>
          </w:p>
        </w:tc>
        <w:tc>
          <w:tcPr>
            <w:tcW w:type="dxa" w:w="1984"/>
          </w:tcPr>
          <w:p>
            <w:r/>
            <w:r>
              <w:rPr>
                <w:sz w:val="19"/>
              </w:rPr>
            </w:r>
          </w:p>
        </w:tc>
        <w:tc>
          <w:tcPr>
            <w:tcW w:type="dxa" w:w="1417"/>
          </w:tcPr>
          <w:p>
            <w:r/>
            <w:r>
              <w:rPr>
                <w:sz w:val="19"/>
              </w:rPr>
            </w:r>
          </w:p>
        </w:tc>
      </w:tr>
      <w:tr>
        <w:tc>
          <w:tcPr>
            <w:tcW w:type="dxa" w:w="3402"/>
          </w:tcPr>
          <w:p>
            <w:r/>
            <w:r>
              <w:rPr>
                <w:sz w:val="19"/>
              </w:rPr>
              <w:t>Head of Credit</w:t>
            </w:r>
          </w:p>
        </w:tc>
        <w:tc>
          <w:tcPr>
            <w:tcW w:type="dxa" w:w="2268"/>
          </w:tcPr>
          <w:p>
            <w:r/>
            <w:r>
              <w:rPr>
                <w:sz w:val="19"/>
              </w:rPr>
            </w:r>
          </w:p>
        </w:tc>
        <w:tc>
          <w:tcPr>
            <w:tcW w:type="dxa" w:w="1984"/>
          </w:tcPr>
          <w:p>
            <w:r/>
            <w:r>
              <w:rPr>
                <w:sz w:val="19"/>
              </w:rPr>
            </w:r>
          </w:p>
        </w:tc>
        <w:tc>
          <w:tcPr>
            <w:tcW w:type="dxa" w:w="1417"/>
          </w:tcPr>
          <w:p>
            <w:r/>
            <w:r>
              <w:rPr>
                <w:sz w:val="19"/>
              </w:rPr>
            </w:r>
          </w:p>
        </w:tc>
      </w:tr>
      <w:tr>
        <w:tc>
          <w:tcPr>
            <w:tcW w:type="dxa" w:w="3402"/>
          </w:tcPr>
          <w:p>
            <w:r/>
            <w:r>
              <w:rPr>
                <w:sz w:val="19"/>
              </w:rPr>
              <w:t>IT (build owner)</w:t>
            </w:r>
          </w:p>
        </w:tc>
        <w:tc>
          <w:tcPr>
            <w:tcW w:type="dxa" w:w="2268"/>
          </w:tcPr>
          <w:p>
            <w:r/>
            <w:r>
              <w:rPr>
                <w:sz w:val="19"/>
              </w:rPr>
            </w:r>
          </w:p>
        </w:tc>
        <w:tc>
          <w:tcPr>
            <w:tcW w:type="dxa" w:w="1984"/>
          </w:tcPr>
          <w:p>
            <w:r/>
            <w:r>
              <w:rPr>
                <w:sz w:val="19"/>
              </w:rPr>
            </w:r>
          </w:p>
        </w:tc>
        <w:tc>
          <w:tcPr>
            <w:tcW w:type="dxa" w:w="1417"/>
          </w:tcPr>
          <w:p>
            <w:r/>
            <w:r>
              <w:rPr>
                <w:sz w:val="19"/>
              </w:rPr>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E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426A"/>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426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