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734E" w:rsidRPr="00DE734E" w:rsidRDefault="00DE734E" w:rsidP="00DE734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>Empirical Study of Tail Distributions in Equity Returns</w:t>
      </w:r>
    </w:p>
    <w:p w:rsidR="00DE734E" w:rsidRPr="00DE734E" w:rsidRDefault="00DE734E" w:rsidP="00DE734E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  <w:t>1. Objective</w:t>
      </w:r>
    </w:p>
    <w:p w:rsidR="00DE734E" w:rsidRPr="00DE734E" w:rsidRDefault="00DE734E" w:rsidP="00DE734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 xml:space="preserve">This project aims to empirically </w:t>
      </w:r>
      <w:proofErr w:type="spellStart"/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analyze</w:t>
      </w:r>
      <w:proofErr w:type="spellEnd"/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 xml:space="preserve"> the tail </w:t>
      </w: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behaviour</w:t>
      </w: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 xml:space="preserve"> of daily log returns of major global equity indices using a 10-year dataset. The study quantifies tail risk through Value-at-Risk (</w:t>
      </w:r>
      <w:proofErr w:type="spellStart"/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VaR</w:t>
      </w:r>
      <w:proofErr w:type="spellEnd"/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) and Expected Shortfall (ES) under three statistical assumptions:</w:t>
      </w:r>
    </w:p>
    <w:p w:rsidR="00DE734E" w:rsidRPr="00DE734E" w:rsidRDefault="00DE734E" w:rsidP="00DE734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>Normal distribution</w:t>
      </w: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 (baseline)</w:t>
      </w:r>
    </w:p>
    <w:p w:rsidR="00DE734E" w:rsidRPr="00DE734E" w:rsidRDefault="00DE734E" w:rsidP="00DE734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>Student’s t-distribution</w:t>
      </w: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 (heavy-tailed, symmetric)</w:t>
      </w:r>
    </w:p>
    <w:p w:rsidR="00DE734E" w:rsidRPr="00DE734E" w:rsidRDefault="00DE734E" w:rsidP="00DE734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>Generalized Pareto Distribution (GPD)</w:t>
      </w: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 via Extreme Value Theory (EVT) (non-parametric)</w:t>
      </w:r>
    </w:p>
    <w:p w:rsidR="00DE734E" w:rsidRPr="00DE734E" w:rsidRDefault="00DE734E" w:rsidP="00DE734E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  <w:t>2. Dataset</w:t>
      </w:r>
    </w:p>
    <w:p w:rsidR="00DE734E" w:rsidRPr="00DE734E" w:rsidRDefault="00DE734E" w:rsidP="00DE734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>Indices:</w:t>
      </w: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 NSEI (India), GSPC (US S&amp;P 500), FTSE (UK), N225 (Japan)</w:t>
      </w:r>
    </w:p>
    <w:p w:rsidR="00DE734E" w:rsidRPr="00DE734E" w:rsidRDefault="00DE734E" w:rsidP="00DE734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>Time Horizon:</w:t>
      </w: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 Sep 2015 – Aug 2025 (10 years)</w:t>
      </w:r>
    </w:p>
    <w:p w:rsidR="00DE734E" w:rsidRPr="00DE734E" w:rsidRDefault="00DE734E" w:rsidP="00DE734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>Data Source:</w:t>
      </w: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YFinance</w:t>
      </w:r>
      <w:proofErr w:type="spellEnd"/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, FRED exchange rates for currency normalization</w:t>
      </w:r>
    </w:p>
    <w:p w:rsidR="00DE734E" w:rsidRPr="00DE734E" w:rsidRDefault="00DE734E" w:rsidP="00DE734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>Note:</w:t>
      </w: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 Returns were converted to USD to ensure comparability across indices</w:t>
      </w:r>
    </w:p>
    <w:p w:rsidR="00DE734E" w:rsidRPr="00DE734E" w:rsidRDefault="00DE734E" w:rsidP="00DE734E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  <w:t>3. Methodology</w:t>
      </w:r>
    </w:p>
    <w:p w:rsidR="00DE734E" w:rsidRPr="00DE734E" w:rsidRDefault="00DE734E" w:rsidP="00DE734E">
      <w:p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>3.1 Log Returns &amp; Distributions</w:t>
      </w:r>
    </w:p>
    <w:p w:rsidR="00DE734E" w:rsidRPr="00DE734E" w:rsidRDefault="00DE734E" w:rsidP="00DE734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Computed daily log returns for each index</w:t>
      </w:r>
    </w:p>
    <w:p w:rsidR="00DE734E" w:rsidRPr="00DE734E" w:rsidRDefault="00DE734E" w:rsidP="00DE734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Compared return distributions against:</w:t>
      </w:r>
    </w:p>
    <w:p w:rsidR="00DE734E" w:rsidRPr="00DE734E" w:rsidRDefault="00DE734E" w:rsidP="00DE734E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Normal PDFs and CDFs</w:t>
      </w:r>
    </w:p>
    <w:p w:rsidR="00DE734E" w:rsidRPr="00DE734E" w:rsidRDefault="00DE734E" w:rsidP="00DE734E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Student-t fits using Q-Q plots</w:t>
      </w:r>
    </w:p>
    <w:p w:rsidR="00DE734E" w:rsidRPr="00DE734E" w:rsidRDefault="00DE734E" w:rsidP="00DE734E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GPD fits via Peaks Over Threshold (POT)</w:t>
      </w:r>
    </w:p>
    <w:p w:rsidR="00DE734E" w:rsidRPr="00DE734E" w:rsidRDefault="00DE734E" w:rsidP="00DE734E">
      <w:p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 xml:space="preserve">3.2 EVT &amp; Tail </w:t>
      </w:r>
      <w:proofErr w:type="spellStart"/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>Modeling</w:t>
      </w:r>
      <w:proofErr w:type="spellEnd"/>
    </w:p>
    <w:p w:rsidR="00DE734E" w:rsidRPr="00DE734E" w:rsidRDefault="00DE734E" w:rsidP="00DE734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Fitted GPD on losses exceeding thresholds</w:t>
      </w:r>
    </w:p>
    <w:p w:rsidR="00DE734E" w:rsidRPr="00DE734E" w:rsidRDefault="00DE734E" w:rsidP="00DE734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Used Mean Residual Life (MRL) plots and ξ (shape parameter) stabilization to identify appropriate thresholds</w:t>
      </w:r>
    </w:p>
    <w:p w:rsidR="00DE734E" w:rsidRPr="00DE734E" w:rsidRDefault="00DE734E" w:rsidP="00DE734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Observed that for NSEI, GSPC, FTSE: threshold </w:t>
      </w: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>u ≈ 0.010</w:t>
      </w: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 gave stable results</w:t>
      </w:r>
    </w:p>
    <w:p w:rsidR="00DE734E" w:rsidRPr="00DE734E" w:rsidRDefault="00DE734E" w:rsidP="00DE734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For N225, a slightly higher threshold was required</w:t>
      </w:r>
    </w:p>
    <w:p w:rsidR="00DE734E" w:rsidRPr="00DE734E" w:rsidRDefault="00DE734E" w:rsidP="00DE734E">
      <w:p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>3.3 Heavy-Tail Evidence</w:t>
      </w:r>
    </w:p>
    <w:p w:rsidR="00DE734E" w:rsidRPr="00DE734E" w:rsidRDefault="00DE734E" w:rsidP="00DE734E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Student-t distribution outperformed normal, particularly in the tails</w:t>
      </w:r>
    </w:p>
    <w:p w:rsidR="00DE734E" w:rsidRPr="00DE734E" w:rsidRDefault="00DE734E" w:rsidP="00DE734E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EVT shape parameters (ξ) showed:</w:t>
      </w:r>
    </w:p>
    <w:p w:rsidR="00DE734E" w:rsidRPr="00DE734E" w:rsidRDefault="00DE734E" w:rsidP="00DE734E">
      <w:pPr>
        <w:numPr>
          <w:ilvl w:val="1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>ξ &gt; 0</w:t>
      </w: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 across all indices → power-law (fat) tails</w:t>
      </w:r>
    </w:p>
    <w:p w:rsidR="00DE734E" w:rsidRPr="00DE734E" w:rsidRDefault="00DE734E" w:rsidP="00DE734E">
      <w:pPr>
        <w:numPr>
          <w:ilvl w:val="1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High excess kurtosis and negative skewness observed</w:t>
      </w:r>
    </w:p>
    <w:p w:rsidR="00DE734E" w:rsidRPr="00DE734E" w:rsidRDefault="00DE734E" w:rsidP="00DE734E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  <w:t>4. Value-at-Risk (</w:t>
      </w:r>
      <w:proofErr w:type="spellStart"/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  <w:t>VaR</w:t>
      </w:r>
      <w:proofErr w:type="spellEnd"/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  <w:t>) &amp; Expected Shortfall (ES)</w:t>
      </w:r>
    </w:p>
    <w:p w:rsidR="00DE734E" w:rsidRPr="00DE734E" w:rsidRDefault="00DE734E" w:rsidP="00DE734E">
      <w:p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 xml:space="preserve">4.1 </w:t>
      </w:r>
      <w:proofErr w:type="spellStart"/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>VaR</w:t>
      </w:r>
      <w:proofErr w:type="spellEnd"/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 xml:space="preserve"> Methodologies</w:t>
      </w:r>
    </w:p>
    <w:p w:rsidR="00DE734E" w:rsidRPr="00DE734E" w:rsidRDefault="00DE734E" w:rsidP="00DE734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lastRenderedPageBreak/>
        <w:t xml:space="preserve">Computed 1-day </w:t>
      </w:r>
      <w:proofErr w:type="spellStart"/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VaR</w:t>
      </w:r>
      <w:proofErr w:type="spellEnd"/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 xml:space="preserve"> at confidence levels </w:t>
      </w: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 xml:space="preserve">α </w:t>
      </w:r>
      <w:r w:rsidRPr="00DE734E">
        <w:rPr>
          <w:rFonts w:ascii="Cambria Math" w:eastAsia="Times New Roman" w:hAnsi="Cambria Math" w:cs="Cambria Math"/>
          <w:b/>
          <w:bCs/>
          <w:color w:val="000000"/>
          <w:kern w:val="0"/>
          <w:lang w:val="en-IN" w:eastAsia="en-GB"/>
          <w14:ligatures w14:val="none"/>
        </w:rPr>
        <w:t>∈</w:t>
      </w: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 xml:space="preserve"> [95%, 99.9%]</w:t>
      </w: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 using:</w:t>
      </w:r>
    </w:p>
    <w:p w:rsidR="00DE734E" w:rsidRPr="00DE734E" w:rsidRDefault="00DE734E" w:rsidP="00DE734E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 xml:space="preserve">Normal </w:t>
      </w:r>
      <w:proofErr w:type="spellStart"/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>VaR</w:t>
      </w:r>
      <w:proofErr w:type="spellEnd"/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>:</w:t>
      </w: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 xml:space="preserve"> −(μ + </w:t>
      </w:r>
      <w:proofErr w:type="spellStart"/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σz</w:t>
      </w:r>
      <w:proofErr w:type="spellEnd"/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_α)</w:t>
      </w:r>
    </w:p>
    <w:p w:rsidR="00DE734E" w:rsidRPr="00DE734E" w:rsidRDefault="00DE734E" w:rsidP="00DE734E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 xml:space="preserve">Student-t </w:t>
      </w:r>
      <w:proofErr w:type="spellStart"/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>VaR</w:t>
      </w:r>
      <w:proofErr w:type="spellEnd"/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>:</w:t>
      </w: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 xml:space="preserve"> −(μ + </w:t>
      </w:r>
      <w:proofErr w:type="spellStart"/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σt</w:t>
      </w:r>
      <w:proofErr w:type="spellEnd"/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_α)</w:t>
      </w:r>
    </w:p>
    <w:p w:rsidR="00DE734E" w:rsidRPr="00DE734E" w:rsidRDefault="00DE734E" w:rsidP="00DE734E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 xml:space="preserve">EVT </w:t>
      </w:r>
      <w:proofErr w:type="spellStart"/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>VaR</w:t>
      </w:r>
      <w:proofErr w:type="spellEnd"/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>:</w:t>
      </w: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 xml:space="preserve"> GPD-based tail </w:t>
      </w:r>
      <w:proofErr w:type="spellStart"/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modeling</w:t>
      </w:r>
      <w:proofErr w:type="spellEnd"/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 xml:space="preserve"> beyond threshold</w:t>
      </w:r>
    </w:p>
    <w:p w:rsidR="00DE734E" w:rsidRPr="00DE734E" w:rsidRDefault="00DE734E" w:rsidP="00DE734E">
      <w:p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>4.2 Expected Shortfall (ES)</w:t>
      </w:r>
    </w:p>
    <w:p w:rsidR="00DE734E" w:rsidRPr="00DE734E" w:rsidRDefault="00DE734E" w:rsidP="00DE734E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>Normal ES:</w:t>
      </w: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 Uses PDF-based tail formula</w:t>
      </w:r>
    </w:p>
    <w:p w:rsidR="00DE734E" w:rsidRPr="00DE734E" w:rsidRDefault="00DE734E" w:rsidP="00DE734E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>Student-t ES:</w:t>
      </w: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 Adjusted for degrees of freedom (ν)</w:t>
      </w:r>
    </w:p>
    <w:p w:rsidR="00DE734E" w:rsidRPr="00DE734E" w:rsidRDefault="00DE734E" w:rsidP="00DE734E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>EVT ES:</w:t>
      </w: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 Based on conditional GPD expectations</w:t>
      </w:r>
    </w:p>
    <w:p w:rsidR="00DE734E" w:rsidRPr="00DE734E" w:rsidRDefault="00DE734E" w:rsidP="00DE734E">
      <w:pPr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>4.3 Observations</w:t>
      </w:r>
    </w:p>
    <w:p w:rsidR="00DE734E" w:rsidRPr="00DE734E" w:rsidRDefault="00DE734E" w:rsidP="00DE734E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 xml:space="preserve">EVT-based </w:t>
      </w:r>
      <w:proofErr w:type="spellStart"/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VaR</w:t>
      </w:r>
      <w:proofErr w:type="spellEnd"/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/ES estimates were </w:t>
      </w: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>significantly higher</w:t>
      </w: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 than Gaussian estimates, especially at 99.9% CI</w:t>
      </w:r>
    </w:p>
    <w:p w:rsidR="00DE734E" w:rsidRPr="00DE734E" w:rsidRDefault="00DE734E" w:rsidP="00DE734E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Confirmed that Gaussian models </w:t>
      </w: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>underestimate tail risk</w:t>
      </w: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 in extreme market scenarios</w:t>
      </w:r>
    </w:p>
    <w:p w:rsidR="00DE734E" w:rsidRPr="00DE734E" w:rsidRDefault="00DE734E" w:rsidP="00DE734E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  <w:t>5. Key Insights</w:t>
      </w:r>
    </w:p>
    <w:p w:rsidR="00DE734E" w:rsidRPr="00DE734E" w:rsidRDefault="00DE734E" w:rsidP="00DE734E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>Normal distribution is inadequate</w:t>
      </w: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 xml:space="preserve"> for tail </w:t>
      </w:r>
      <w:proofErr w:type="spellStart"/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modeling</w:t>
      </w:r>
      <w:proofErr w:type="spellEnd"/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 xml:space="preserve"> of equity returns</w:t>
      </w:r>
    </w:p>
    <w:p w:rsidR="00DE734E" w:rsidRPr="00DE734E" w:rsidRDefault="00DE734E" w:rsidP="00DE734E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Student-t improves fit but </w:t>
      </w: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>EVT-GPD gives the most realistic tail characterization</w:t>
      </w:r>
    </w:p>
    <w:p w:rsidR="00DE734E" w:rsidRPr="00DE734E" w:rsidRDefault="00DE734E" w:rsidP="00DE734E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 xml:space="preserve">EVT-based </w:t>
      </w:r>
      <w:proofErr w:type="spellStart"/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VaR</w:t>
      </w:r>
      <w:proofErr w:type="spellEnd"/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/ES provides more conservative and actionable risk metrics</w:t>
      </w:r>
    </w:p>
    <w:p w:rsidR="00DE734E" w:rsidRPr="00DE734E" w:rsidRDefault="00DE734E" w:rsidP="00DE734E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Tail risk was </w:t>
      </w: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>highest for N225</w:t>
      </w: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, </w:t>
      </w: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>lowest for GSPC</w:t>
      </w: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 over the 10-year period</w:t>
      </w:r>
    </w:p>
    <w:p w:rsidR="00DE734E" w:rsidRPr="00DE734E" w:rsidRDefault="00DE734E" w:rsidP="00DE734E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GPD fits aligned well with </w:t>
      </w: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>historical market shocks</w:t>
      </w: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 (e.g., COVID-19 crash, 2022 rate hikes)</w:t>
      </w:r>
    </w:p>
    <w:p w:rsidR="00DE734E" w:rsidRPr="00DE734E" w:rsidRDefault="00DE734E" w:rsidP="00DE734E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  <w:t>6. Tools &amp; Libraries Used</w:t>
      </w:r>
    </w:p>
    <w:p w:rsidR="00DE734E" w:rsidRDefault="00DE734E" w:rsidP="00BD325E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>Languages:</w:t>
      </w: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 Python</w:t>
      </w:r>
    </w:p>
    <w:p w:rsidR="00DE734E" w:rsidRPr="00DE734E" w:rsidRDefault="00DE734E" w:rsidP="00BD325E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</w:pPr>
      <w:r w:rsidRPr="00DE734E">
        <w:rPr>
          <w:rFonts w:ascii="Times New Roman" w:eastAsia="Times New Roman" w:hAnsi="Times New Roman" w:cs="Times New Roman"/>
          <w:b/>
          <w:bCs/>
          <w:color w:val="000000"/>
          <w:kern w:val="0"/>
          <w:lang w:val="en-IN" w:eastAsia="en-GB"/>
          <w14:ligatures w14:val="none"/>
        </w:rPr>
        <w:t>Libraries:</w:t>
      </w:r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 xml:space="preserve"> NumPy, Pandas, Matplotlib, SciPy, </w:t>
      </w:r>
      <w:proofErr w:type="spellStart"/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statsmodels</w:t>
      </w:r>
      <w:proofErr w:type="spellEnd"/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 xml:space="preserve">, </w:t>
      </w:r>
      <w:proofErr w:type="spellStart"/>
      <w:r w:rsidRPr="00DE734E">
        <w:rPr>
          <w:rFonts w:ascii="Times New Roman" w:eastAsia="Times New Roman" w:hAnsi="Times New Roman" w:cs="Times New Roman"/>
          <w:color w:val="000000"/>
          <w:kern w:val="0"/>
          <w:lang w:val="en-IN" w:eastAsia="en-GB"/>
          <w14:ligatures w14:val="none"/>
        </w:rPr>
        <w:t>sklearn</w:t>
      </w:r>
      <w:proofErr w:type="spellEnd"/>
    </w:p>
    <w:p w:rsidR="0058013F" w:rsidRDefault="0058013F" w:rsidP="00DE734E">
      <w:pPr>
        <w:jc w:val="both"/>
      </w:pPr>
    </w:p>
    <w:sectPr w:rsidR="00580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2117"/>
    <w:multiLevelType w:val="multilevel"/>
    <w:tmpl w:val="49A4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83FF2"/>
    <w:multiLevelType w:val="multilevel"/>
    <w:tmpl w:val="CE40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044FA"/>
    <w:multiLevelType w:val="multilevel"/>
    <w:tmpl w:val="B81A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B39ED"/>
    <w:multiLevelType w:val="multilevel"/>
    <w:tmpl w:val="041E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D2BFD"/>
    <w:multiLevelType w:val="multilevel"/>
    <w:tmpl w:val="6714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C0CAF"/>
    <w:multiLevelType w:val="multilevel"/>
    <w:tmpl w:val="7084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A6E79"/>
    <w:multiLevelType w:val="multilevel"/>
    <w:tmpl w:val="E008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D93990"/>
    <w:multiLevelType w:val="multilevel"/>
    <w:tmpl w:val="3586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3D3D35"/>
    <w:multiLevelType w:val="multilevel"/>
    <w:tmpl w:val="D382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F6242"/>
    <w:multiLevelType w:val="multilevel"/>
    <w:tmpl w:val="9FC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057363">
    <w:abstractNumId w:val="4"/>
  </w:num>
  <w:num w:numId="2" w16cid:durableId="2024093542">
    <w:abstractNumId w:val="9"/>
  </w:num>
  <w:num w:numId="3" w16cid:durableId="977344208">
    <w:abstractNumId w:val="1"/>
  </w:num>
  <w:num w:numId="4" w16cid:durableId="1701935268">
    <w:abstractNumId w:val="8"/>
  </w:num>
  <w:num w:numId="5" w16cid:durableId="1671985732">
    <w:abstractNumId w:val="0"/>
  </w:num>
  <w:num w:numId="6" w16cid:durableId="1946381791">
    <w:abstractNumId w:val="7"/>
  </w:num>
  <w:num w:numId="7" w16cid:durableId="2125540442">
    <w:abstractNumId w:val="5"/>
  </w:num>
  <w:num w:numId="8" w16cid:durableId="1993411979">
    <w:abstractNumId w:val="6"/>
  </w:num>
  <w:num w:numId="9" w16cid:durableId="1239711476">
    <w:abstractNumId w:val="2"/>
  </w:num>
  <w:num w:numId="10" w16cid:durableId="1198157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4E"/>
    <w:rsid w:val="0034027C"/>
    <w:rsid w:val="0058013F"/>
    <w:rsid w:val="00A45085"/>
    <w:rsid w:val="00DE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D526"/>
  <w15:chartTrackingRefBased/>
  <w15:docId w15:val="{61B71A75-26F6-DF4A-B056-DCD582D0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DE734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E734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en-IN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734E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E734E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E73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N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E734E"/>
    <w:rPr>
      <w:b/>
      <w:bCs/>
    </w:rPr>
  </w:style>
  <w:style w:type="character" w:customStyle="1" w:styleId="apple-converted-space">
    <w:name w:val="apple-converted-space"/>
    <w:basedOn w:val="DefaultParagraphFont"/>
    <w:rsid w:val="00DE734E"/>
  </w:style>
  <w:style w:type="character" w:styleId="HTMLCode">
    <w:name w:val="HTML Code"/>
    <w:basedOn w:val="DefaultParagraphFont"/>
    <w:uiPriority w:val="99"/>
    <w:semiHidden/>
    <w:unhideWhenUsed/>
    <w:rsid w:val="00DE73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Roy</dc:creator>
  <cp:keywords/>
  <dc:description/>
  <cp:lastModifiedBy>Praveen Roy</cp:lastModifiedBy>
  <cp:revision>1</cp:revision>
  <dcterms:created xsi:type="dcterms:W3CDTF">2025-08-31T08:04:00Z</dcterms:created>
  <dcterms:modified xsi:type="dcterms:W3CDTF">2025-08-31T08:09:00Z</dcterms:modified>
</cp:coreProperties>
</file>