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51" w:rsidRPr="00BA0751" w:rsidRDefault="00AA6A47" w:rsidP="00BA1C5F">
      <w:pPr>
        <w:pStyle w:val="Cmsor1"/>
        <w:spacing w:before="3360"/>
        <w:jc w:val="center"/>
        <w:rPr>
          <w:sz w:val="28"/>
          <w:szCs w:val="28"/>
        </w:rPr>
      </w:pPr>
      <w:r w:rsidRPr="00BA0751">
        <w:rPr>
          <w:sz w:val="28"/>
          <w:szCs w:val="28"/>
        </w:rPr>
        <w:t>19. mérés</w:t>
      </w:r>
    </w:p>
    <w:p w:rsidR="00AA6A47" w:rsidRPr="00BA0751" w:rsidRDefault="00AA6A47" w:rsidP="00BA0751">
      <w:pPr>
        <w:pStyle w:val="Cmsor2"/>
        <w:spacing w:before="0"/>
        <w:jc w:val="center"/>
        <w:rPr>
          <w:b/>
          <w:bCs/>
          <w:sz w:val="28"/>
          <w:szCs w:val="28"/>
        </w:rPr>
      </w:pPr>
      <w:r w:rsidRPr="00BA0751">
        <w:rPr>
          <w:b/>
          <w:bCs/>
          <w:sz w:val="28"/>
          <w:szCs w:val="28"/>
        </w:rPr>
        <w:t>Az elektron fajlagos töltése</w:t>
      </w:r>
    </w:p>
    <w:p w:rsidR="00AA6A47" w:rsidRPr="00BA0751" w:rsidRDefault="00AA6A47" w:rsidP="00BA0751">
      <w:pPr>
        <w:pStyle w:val="Cmsor3"/>
        <w:spacing w:before="0"/>
        <w:jc w:val="center"/>
        <w:rPr>
          <w:b/>
          <w:bCs/>
          <w:sz w:val="24"/>
          <w:szCs w:val="24"/>
        </w:rPr>
      </w:pPr>
      <w:r w:rsidRPr="00BA0751">
        <w:rPr>
          <w:b/>
          <w:bCs/>
          <w:sz w:val="24"/>
          <w:szCs w:val="24"/>
        </w:rPr>
        <w:t>Jegyzőkönyv</w:t>
      </w:r>
    </w:p>
    <w:p w:rsidR="00AA6A47" w:rsidRPr="00BA1C5F" w:rsidRDefault="00AA6A47" w:rsidP="00BA0751">
      <w:pPr>
        <w:spacing w:before="1080"/>
        <w:jc w:val="center"/>
        <w:rPr>
          <w:rStyle w:val="Finomkiemels"/>
          <w:b/>
          <w:bCs/>
          <w:sz w:val="24"/>
          <w:szCs w:val="24"/>
        </w:rPr>
      </w:pPr>
      <w:r w:rsidRPr="00BA1C5F">
        <w:rPr>
          <w:rStyle w:val="Finomkiemels"/>
          <w:b/>
          <w:bCs/>
          <w:sz w:val="24"/>
          <w:szCs w:val="24"/>
        </w:rPr>
        <w:t>Mérés időpontja: 2020. szeptember 9, délelőtt</w:t>
      </w:r>
    </w:p>
    <w:p w:rsidR="00AA6A47" w:rsidRPr="00BA1C5F" w:rsidRDefault="00AA6A47" w:rsidP="00BA0751">
      <w:pPr>
        <w:jc w:val="center"/>
        <w:rPr>
          <w:rStyle w:val="Finomkiemels"/>
          <w:b/>
          <w:bCs/>
          <w:sz w:val="24"/>
          <w:szCs w:val="24"/>
        </w:rPr>
      </w:pPr>
      <w:r w:rsidRPr="00BA1C5F">
        <w:rPr>
          <w:rStyle w:val="Finomkiemels"/>
          <w:b/>
          <w:bCs/>
          <w:sz w:val="24"/>
          <w:szCs w:val="24"/>
        </w:rPr>
        <w:t xml:space="preserve">Mérést végezték: </w:t>
      </w:r>
      <w:proofErr w:type="spellStart"/>
      <w:r w:rsidRPr="00BA1C5F">
        <w:rPr>
          <w:rStyle w:val="Finomkiemels"/>
          <w:b/>
          <w:bCs/>
          <w:sz w:val="24"/>
          <w:szCs w:val="24"/>
        </w:rPr>
        <w:t>Bonevácz</w:t>
      </w:r>
      <w:proofErr w:type="spellEnd"/>
      <w:r w:rsidRPr="00BA1C5F">
        <w:rPr>
          <w:rStyle w:val="Finomkiemels"/>
          <w:b/>
          <w:bCs/>
          <w:sz w:val="24"/>
          <w:szCs w:val="24"/>
        </w:rPr>
        <w:t xml:space="preserve"> Bianka és Pálfi Krisztina</w:t>
      </w:r>
    </w:p>
    <w:p w:rsidR="00AA6A47" w:rsidRDefault="00AA6A47"/>
    <w:p w:rsidR="00AA6A47" w:rsidRDefault="00AA6A47"/>
    <w:p w:rsidR="00AA6A47" w:rsidRDefault="00AA6A47">
      <w:r>
        <w:br w:type="page"/>
      </w:r>
    </w:p>
    <w:p w:rsidR="00AA6A47" w:rsidRDefault="00AA6A47" w:rsidP="00BA1C5F">
      <w:pPr>
        <w:pStyle w:val="Cmsor4"/>
      </w:pPr>
      <w:r>
        <w:lastRenderedPageBreak/>
        <w:t>Mérés célja</w:t>
      </w:r>
    </w:p>
    <w:p w:rsidR="00BA1C5F" w:rsidRDefault="00BA1C5F">
      <w:r>
        <w:t>A laboratóriumi mérésünk célja, hogy a J. J. Thomson által használt kísérleti összeállítás segítségével megmérjük az elektron fajlagos töltését, azaz</w:t>
      </w:r>
      <w:r w:rsidR="00177152">
        <w:t xml:space="preserve"> töltésének és tömegének hányadosát:</w:t>
      </w:r>
    </w:p>
    <w:p w:rsidR="00177152" w:rsidRDefault="00BA1C5F" w:rsidP="00C52815">
      <w:pPr>
        <w:jc w:val="center"/>
      </w:pPr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BA1C5F" w:rsidRDefault="00AA6A47" w:rsidP="00BA1C5F">
      <w:pPr>
        <w:pStyle w:val="Cmsor4"/>
      </w:pPr>
      <w:r>
        <w:t>Mérés során használt eszközök</w:t>
      </w:r>
    </w:p>
    <w:p w:rsidR="00BA1C5F" w:rsidRDefault="00EA4761" w:rsidP="00177152">
      <w:pPr>
        <w:pStyle w:val="Listaszerbekezds"/>
        <w:numPr>
          <w:ilvl w:val="0"/>
          <w:numId w:val="1"/>
        </w:numPr>
        <w:spacing w:before="120" w:after="120"/>
        <w:rPr>
          <w:lang w:bidi="en-US"/>
        </w:rPr>
      </w:pPr>
      <w:r>
        <w:rPr>
          <w:lang w:bidi="en-US"/>
        </w:rPr>
        <w:t>kis feszültségű DC tápegység</w:t>
      </w:r>
    </w:p>
    <w:p w:rsidR="00EA4761" w:rsidRDefault="00EA4761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nagy feszültségű tápegység</w:t>
      </w:r>
    </w:p>
    <w:p w:rsidR="00EA4761" w:rsidRDefault="00EA4761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digitális multiméter</w:t>
      </w:r>
    </w:p>
    <w:p w:rsidR="00EA4761" w:rsidRDefault="00EA4761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Hall szonda</w:t>
      </w:r>
    </w:p>
    <w:p w:rsidR="00EA4761" w:rsidRDefault="00177152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Katódsugárcső</w:t>
      </w:r>
    </w:p>
    <w:p w:rsidR="00177152" w:rsidRDefault="00177152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r>
        <w:rPr>
          <w:lang w:bidi="en-US"/>
        </w:rPr>
        <w:t>Helmholtz-tekercsek</w:t>
      </w:r>
    </w:p>
    <w:p w:rsidR="00177152" w:rsidRPr="00BA1C5F" w:rsidRDefault="00177152" w:rsidP="00177152">
      <w:pPr>
        <w:pStyle w:val="Listaszerbekezds"/>
        <w:numPr>
          <w:ilvl w:val="0"/>
          <w:numId w:val="1"/>
        </w:numPr>
        <w:spacing w:before="0" w:after="120"/>
        <w:rPr>
          <w:lang w:bidi="en-US"/>
        </w:rPr>
      </w:pPr>
      <w:proofErr w:type="spellStart"/>
      <w:r>
        <w:rPr>
          <w:lang w:bidi="en-US"/>
        </w:rPr>
        <w:t>Wehnelt</w:t>
      </w:r>
      <w:proofErr w:type="spellEnd"/>
      <w:r>
        <w:rPr>
          <w:lang w:bidi="en-US"/>
        </w:rPr>
        <w:t xml:space="preserve"> henger</w:t>
      </w:r>
    </w:p>
    <w:p w:rsidR="00AA6A47" w:rsidRDefault="00AA6A47" w:rsidP="006556B3">
      <w:pPr>
        <w:pStyle w:val="Cmsor4"/>
      </w:pPr>
      <w:r>
        <w:t>Mérés rövid leírása</w:t>
      </w:r>
      <w:r w:rsidR="00C52815">
        <w:t xml:space="preserve"> – elméleti bevezető</w:t>
      </w:r>
    </w:p>
    <w:p w:rsidR="00E13A5C" w:rsidRDefault="00E13A5C" w:rsidP="00E10017">
      <w:pPr>
        <w:spacing w:after="0"/>
        <w:jc w:val="both"/>
      </w:pPr>
      <w:r>
        <w:t>Az elektronok az elektroncsövön belül, az izzókatódon termikus elektronemisszióval gerjesztődnek. A katódhoz közel</w:t>
      </w:r>
      <w:r w:rsidR="00C52815">
        <w:t xml:space="preserve"> az elektronnyalábot körbeveszi egy </w:t>
      </w:r>
      <w:proofErr w:type="spellStart"/>
      <w:r w:rsidR="00C52815">
        <w:t>Wehnelt</w:t>
      </w:r>
      <w:proofErr w:type="spellEnd"/>
      <w:r w:rsidR="00C52815">
        <w:t xml:space="preserve"> henger, melynek célja, hogy csak azokat az elektronokat engedje tovább az anód irányába, amelyek átjutnak a rajta lévő lyukon. Ez lényegében egy elektrosztatikus lencseként működik, az elektronnyalábot szabályozza. Azokat az elektronokat, melyeket átengedett a </w:t>
      </w:r>
      <w:proofErr w:type="spellStart"/>
      <w:r w:rsidR="00C52815">
        <w:t>Wehnelt</w:t>
      </w:r>
      <w:proofErr w:type="spellEnd"/>
      <w:r w:rsidR="00C52815">
        <w:t xml:space="preserve"> henger, a katód és az anód közötti nagy feszültségű elektromos tér felgyorsítja. Mivel a katódsugárcsőben nagy vákuum </w:t>
      </w:r>
      <m:oMath>
        <m:r>
          <w:rPr>
            <w:rFonts w:ascii="Cambria Math" w:hAnsi="Cambria Math"/>
          </w:rPr>
          <m:t>(2-3 Pa)</m:t>
        </m:r>
      </m:oMath>
      <w:r w:rsidR="00196622">
        <w:t xml:space="preserve"> van, így a nagy reakcióképességük ellenére sem nyelődnek el és szóródn</w:t>
      </w:r>
      <w:proofErr w:type="spellStart"/>
      <w:r w:rsidR="00196622">
        <w:t>ak</w:t>
      </w:r>
      <w:proofErr w:type="spellEnd"/>
      <w:r w:rsidR="00196622">
        <w:t xml:space="preserve"> olyan gyorsan. A gyorsításukra fordított munkát az előbb említett anód és katód közt elhelyezkedő elektromos mező végzi, így a munkatétel értelmében:</w:t>
      </w:r>
    </w:p>
    <w:p w:rsidR="00196622" w:rsidRDefault="00196622" w:rsidP="00E10017">
      <w:pPr>
        <w:spacing w:before="0"/>
        <w:jc w:val="both"/>
      </w:pPr>
      <m:oMathPara>
        <m:oMath>
          <m:r>
            <w:rPr>
              <w:rFonts w:ascii="Cambria Math" w:hAnsi="Cambria Math"/>
            </w:rPr>
            <m:t>W=Ue=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(1)</m:t>
          </m:r>
        </m:oMath>
      </m:oMathPara>
    </w:p>
    <w:p w:rsidR="00196622" w:rsidRDefault="00196622" w:rsidP="00C52815">
      <w:pPr>
        <w:jc w:val="both"/>
      </w:pPr>
      <w:r>
        <w:t xml:space="preserve">Ahol </w:t>
      </w:r>
      <m:oMath>
        <m:r>
          <w:rPr>
            <w:rFonts w:ascii="Cambria Math" w:hAnsi="Cambria Math"/>
          </w:rPr>
          <m:t>U</m:t>
        </m:r>
      </m:oMath>
      <w:r>
        <w:t xml:space="preserve">: anód feszültsége, </w:t>
      </w:r>
      <m:oMath>
        <m:r>
          <w:rPr>
            <w:rFonts w:ascii="Cambria Math" w:hAnsi="Cambria Math"/>
          </w:rPr>
          <m:t>W</m:t>
        </m:r>
      </m:oMath>
      <w:r>
        <w:t xml:space="preserve">: elektronon végzett munka, </w:t>
      </w:r>
      <m:oMath>
        <m:r>
          <w:rPr>
            <w:rFonts w:ascii="Cambria Math" w:hAnsi="Cambria Math"/>
          </w:rPr>
          <m:t>e</m:t>
        </m:r>
      </m:oMath>
      <w:r>
        <w:t xml:space="preserve">: elektron töltése,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: elektron tömege és </w:t>
      </w:r>
      <m:oMath>
        <m:r>
          <w:rPr>
            <w:rFonts w:ascii="Cambria Math" w:hAnsi="Cambria Math"/>
          </w:rPr>
          <m:t>v</m:t>
        </m:r>
      </m:oMath>
      <w:r>
        <w:t>: elektron sebessége.</w:t>
      </w:r>
    </w:p>
    <w:p w:rsidR="00E10017" w:rsidRDefault="00E13A5C" w:rsidP="00973E78">
      <w:pPr>
        <w:spacing w:after="0"/>
        <w:jc w:val="both"/>
      </w:pPr>
      <w:r>
        <w:t xml:space="preserve">Az elektroncsövet Helmholtz-tekercsek veszik körül, melyek a (jó közelítéssel homogén) mágneses teret biztosítják. </w:t>
      </w:r>
      <w:r w:rsidR="00196622">
        <w:t xml:space="preserve">Ennek hatására az elektronokra Lorentz-erő hat, mely körpályán tartja a részecskéket. </w:t>
      </w:r>
    </w:p>
    <w:p w:rsidR="00E10017" w:rsidRPr="00E10017" w:rsidRDefault="00E10017" w:rsidP="00973E78">
      <w:pPr>
        <w:spacing w:before="0"/>
        <w:jc w:val="both"/>
      </w:pPr>
      <m:oMathPara>
        <m:oMath>
          <m:r>
            <w:rPr>
              <w:rFonts w:ascii="Cambria Math" w:hAnsi="Cambria Math"/>
            </w:rPr>
            <m:t>F=evB                  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E10017" w:rsidRPr="00E10017" w:rsidRDefault="00E10017" w:rsidP="00C52815">
      <w:pPr>
        <w:jc w:val="both"/>
      </w:pPr>
      <w:r>
        <w:t xml:space="preserve">Ahol </w:t>
      </w:r>
      <m:oMath>
        <m:r>
          <w:rPr>
            <w:rFonts w:ascii="Cambria Math" w:hAnsi="Cambria Math"/>
          </w:rPr>
          <m:t>F</m:t>
        </m:r>
      </m:oMath>
      <w:r>
        <w:t xml:space="preserve">: Lorentz-erő, </w:t>
      </w:r>
      <m:oMath>
        <m:r>
          <w:rPr>
            <w:rFonts w:ascii="Cambria Math" w:hAnsi="Cambria Math"/>
          </w:rPr>
          <m:t>r</m:t>
        </m:r>
      </m:oMath>
      <w:r>
        <w:t xml:space="preserve">: elektron-körpálya sugara, </w:t>
      </w:r>
      <m:oMath>
        <m:r>
          <w:rPr>
            <w:rFonts w:ascii="Cambria Math" w:hAnsi="Cambria Math"/>
          </w:rPr>
          <m:t>B</m:t>
        </m:r>
      </m:oMath>
      <w:r>
        <w:t>: homogén mágneses tér.</w:t>
      </w:r>
    </w:p>
    <w:p w:rsidR="00E10017" w:rsidRDefault="00E10017" w:rsidP="00973E78">
      <w:pPr>
        <w:spacing w:after="0"/>
        <w:jc w:val="both"/>
      </w:pPr>
      <w:r>
        <w:t>A fenti két egyenlet jobb oldalai egyenlőek, így adódik:</w:t>
      </w:r>
    </w:p>
    <w:p w:rsidR="00E10017" w:rsidRPr="00E10017" w:rsidRDefault="0047698F" w:rsidP="00973E78">
      <w:pPr>
        <w:spacing w:befor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rB</m:t>
              </m:r>
            </m:den>
          </m:f>
          <m:r>
            <w:rPr>
              <w:rFonts w:ascii="Cambria Math" w:hAnsi="Cambria Math"/>
            </w:rPr>
            <m:t xml:space="preserve">             (2)</m:t>
          </m:r>
        </m:oMath>
      </m:oMathPara>
    </w:p>
    <w:p w:rsidR="00E10017" w:rsidRDefault="00E10017" w:rsidP="00973E78">
      <w:pPr>
        <w:spacing w:after="0"/>
        <w:jc w:val="both"/>
      </w:pPr>
      <w:r>
        <w:t xml:space="preserve">Ha az </w:t>
      </w:r>
      <w:r w:rsidR="00ED7AD3">
        <w:t>(1) egyenletből kifejezzük a sebességet</w:t>
      </w:r>
      <w:r w:rsidR="00973E78">
        <w:t>, majd azt behelyettesítjük a (2) egyenletbe;</w:t>
      </w:r>
    </w:p>
    <w:p w:rsidR="00973E78" w:rsidRPr="00973E78" w:rsidRDefault="0047698F" w:rsidP="00973E78">
      <w:pPr>
        <w:spacing w:before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2U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highlight w:val="yellow"/>
                </w:rPr>
                <m:t>rB</m:t>
              </m:r>
            </m:den>
          </m:f>
        </m:oMath>
      </m:oMathPara>
    </w:p>
    <w:p w:rsidR="00973E78" w:rsidRDefault="00973E78" w:rsidP="00C52815">
      <w:pPr>
        <w:jc w:val="both"/>
      </w:pPr>
      <w:r w:rsidRPr="00973E78">
        <w:rPr>
          <w:highlight w:val="yellow"/>
        </w:rPr>
        <w:t>Négyzetre emelve mindkét oldalt, majd leegyszerűsítve a fajlagos töltéssel</w:t>
      </w:r>
      <w:r>
        <w:t>, végül a következő összefüggésre jutunk:</w:t>
      </w:r>
    </w:p>
    <w:p w:rsidR="00973E78" w:rsidRPr="00973E78" w:rsidRDefault="0047698F" w:rsidP="00C52815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73E78" w:rsidRPr="00973E78" w:rsidRDefault="00973E78" w:rsidP="00C52815">
      <w:pPr>
        <w:jc w:val="both"/>
      </w:pPr>
      <w:r w:rsidRPr="00973E78">
        <w:rPr>
          <w:b/>
          <w:bCs/>
          <w:highlight w:val="yellow"/>
        </w:rPr>
        <w:t>kérdés:</w:t>
      </w:r>
      <w:r>
        <w:rPr>
          <w:highlight w:val="yellow"/>
        </w:rPr>
        <w:t xml:space="preserve"> </w:t>
      </w:r>
      <w:r w:rsidRPr="00973E78">
        <w:rPr>
          <w:highlight w:val="yellow"/>
        </w:rPr>
        <w:t>Ez a közbülső lépés teljesen felesleges, és átugorható, vagy maradhat benne?</w:t>
      </w:r>
    </w:p>
    <w:p w:rsidR="00E13A5C" w:rsidRDefault="00196622" w:rsidP="00C52815">
      <w:pPr>
        <w:jc w:val="both"/>
      </w:pPr>
      <w:r>
        <w:t>Az elektroncsőben lévő kisnyomású vízgőznek köszönhetően az elektronok ütköznek a hidrogénatomokkal, mely halványlila fénykibocsátással jár. Ily módon</w:t>
      </w:r>
      <w:r w:rsidR="00E10017">
        <w:t xml:space="preserve"> </w:t>
      </w:r>
      <w:r>
        <w:t>vizsgálhatjuk a</w:t>
      </w:r>
      <w:r w:rsidR="00E10017">
        <w:t>z elektron-</w:t>
      </w:r>
      <w:r>
        <w:t xml:space="preserve">körpálya </w:t>
      </w:r>
      <w:r w:rsidR="00E10017">
        <w:t>sugarát, hiszen a saját szemünkkel is láthatóvá válik.</w:t>
      </w:r>
    </w:p>
    <w:p w:rsidR="00973E78" w:rsidRPr="00861116" w:rsidRDefault="00973E78" w:rsidP="00C52815">
      <w:pPr>
        <w:jc w:val="both"/>
        <w:rPr>
          <w:b/>
          <w:bCs/>
          <w:color w:val="1F497D" w:themeColor="text2"/>
          <w:sz w:val="22"/>
          <w:szCs w:val="22"/>
        </w:rPr>
      </w:pPr>
      <w:r w:rsidRPr="00861116">
        <w:rPr>
          <w:b/>
          <w:bCs/>
          <w:color w:val="1F497D" w:themeColor="text2"/>
          <w:sz w:val="22"/>
          <w:szCs w:val="22"/>
        </w:rPr>
        <w:t>Mérés menete</w:t>
      </w:r>
    </w:p>
    <w:p w:rsidR="003356AC" w:rsidRDefault="00CE57E7" w:rsidP="00C52815">
      <w:pPr>
        <w:jc w:val="both"/>
      </w:pPr>
      <w:r>
        <w:t>A mérésünket a</w:t>
      </w:r>
      <w:r w:rsidR="003356AC">
        <w:t xml:space="preserve"> Helmholtz-tekercsek kalibrálásával kezdtük. A Hall-szonda segítségével megmérhető a tekercspár áramerősségének nagysága és az elektroncsőben mérhető mágneses tér nagyságának aránya.</w:t>
      </w:r>
    </w:p>
    <w:p w:rsidR="00CE57E7" w:rsidRDefault="003356AC" w:rsidP="00C52815">
      <w:pPr>
        <w:jc w:val="both"/>
      </w:pPr>
      <w:r>
        <w:t xml:space="preserve">Megmértük a mágneses teret </w:t>
      </w:r>
      <m:oMath>
        <m:r>
          <w:rPr>
            <w:rFonts w:ascii="Cambria Math" w:hAnsi="Cambria Math"/>
          </w:rPr>
          <m:t>0,4 A</m:t>
        </m:r>
      </m:oMath>
      <w:r>
        <w:t xml:space="preserve"> és </w:t>
      </w:r>
      <m:oMath>
        <m:r>
          <w:rPr>
            <w:rFonts w:ascii="Cambria Math" w:hAnsi="Cambria Math"/>
          </w:rPr>
          <m:t>1,3 A</m:t>
        </m:r>
      </m:oMath>
      <w:r>
        <w:t xml:space="preserve"> közti tekercsáramok mellett </w:t>
      </w:r>
      <m:oMath>
        <m:r>
          <w:rPr>
            <w:rFonts w:ascii="Cambria Math" w:hAnsi="Cambria Math"/>
          </w:rPr>
          <m:t>10</m:t>
        </m:r>
      </m:oMath>
      <w:r>
        <w:t xml:space="preserve"> pontban, majd egy reprodukálhatósági mérést is elvégeztünk </w:t>
      </w:r>
      <m:oMath>
        <m:r>
          <w:rPr>
            <w:rFonts w:ascii="Cambria Math" w:hAnsi="Cambria Math"/>
          </w:rPr>
          <m:t>I=1,1 A</m:t>
        </m:r>
      </m:oMath>
      <w:r>
        <w:t xml:space="preserve"> áramerősségnél. Ezek az adatok az </w:t>
      </w:r>
      <m:oMath>
        <m:r>
          <w:rPr>
            <w:rFonts w:ascii="Cambria Math" w:hAnsi="Cambria Math"/>
          </w:rPr>
          <m:t>1.</m:t>
        </m:r>
      </m:oMath>
      <w:r>
        <w:t xml:space="preserve"> és </w:t>
      </w:r>
      <m:oMath>
        <m:r>
          <w:rPr>
            <w:rFonts w:ascii="Cambria Math" w:hAnsi="Cambria Math"/>
          </w:rPr>
          <m:t>2.</m:t>
        </m:r>
      </m:oMath>
      <w:r>
        <w:t xml:space="preserve"> táblázatban láthatóak.</w:t>
      </w:r>
    </w:p>
    <w:p w:rsidR="00861116" w:rsidRDefault="003356AC" w:rsidP="00C52815">
      <w:pPr>
        <w:jc w:val="both"/>
      </w:pPr>
      <w:r>
        <w:t xml:space="preserve">Következő feladatként három különböző gyorsítófeszültség mellett </w:t>
      </w:r>
      <m:oMath>
        <m:r>
          <w:rPr>
            <w:rFonts w:ascii="Cambria Math" w:hAnsi="Cambria Math"/>
          </w:rPr>
          <m:t>(120 V, 170 V, 200 V)</m:t>
        </m:r>
      </m:oMath>
      <w:r>
        <w:t xml:space="preserve"> megmértük a körpálya átmérőjét több tekercsáram esetében is. </w:t>
      </w:r>
      <w:r w:rsidR="00AB1C89" w:rsidRPr="00AB1C89">
        <w:rPr>
          <w:highlight w:val="yellow"/>
        </w:rPr>
        <w:t>A laboratóriumi jegyzet azt az instrukciót adta, hogy mindhárom esetben 0,8 A és 1,3 A között mérjünk, de ettől egy néhol egy kevéssé eltértünk, mert úgy tapasztaltuk, hogy a körpálya egyes áramerősségeknél túl nagy átmérőjűvé vált, és nehézkessé tette a pontos méretének leolvasását</w:t>
      </w:r>
      <w:r w:rsidR="00AB1C89">
        <w:t xml:space="preserve">. </w:t>
      </w:r>
      <w:r>
        <w:t xml:space="preserve">Ezeket az adatokat (illetve az ezekből </w:t>
      </w:r>
      <w:proofErr w:type="spellStart"/>
      <w:r>
        <w:t>továbbszámolt</w:t>
      </w:r>
      <w:proofErr w:type="spellEnd"/>
      <w:r>
        <w:t xml:space="preserve"> értékeket) a 3.</w:t>
      </w:r>
      <w:r w:rsidR="004027D3">
        <w:t xml:space="preserve">, 4., és 5. </w:t>
      </w:r>
      <w:r>
        <w:t>táblázat tartalmazza.</w:t>
      </w:r>
    </w:p>
    <w:p w:rsidR="00973E78" w:rsidRDefault="00AB1C89" w:rsidP="00C52815">
      <w:pPr>
        <w:jc w:val="both"/>
      </w:pPr>
      <w:r>
        <w:t xml:space="preserve">Az elektron-körpálya átmérőjét egy tükrös vonalzóval mértük meg úgy, hogy a fénylő kör tükörképét, magát a kört és a vonalzó nóniuszát egy vonalba hoztuk, majd leolvastuk a körpálya két szélének helyzetét. </w:t>
      </w:r>
    </w:p>
    <w:p w:rsidR="006556B3" w:rsidRDefault="00AA6A47" w:rsidP="006556B3">
      <w:pPr>
        <w:pStyle w:val="Cmsor4"/>
      </w:pPr>
      <w:r>
        <w:t>Mérési adatok és kiértékelésük</w:t>
      </w:r>
    </w:p>
    <w:p w:rsidR="006556B3" w:rsidRDefault="006556B3" w:rsidP="006556B3"/>
    <w:p w:rsidR="00AA6A47" w:rsidRDefault="00AA6A47" w:rsidP="006556B3">
      <w:pPr>
        <w:pStyle w:val="Cmsor4"/>
      </w:pPr>
      <w:r>
        <w:t>Hibaszámítás</w:t>
      </w:r>
    </w:p>
    <w:p w:rsidR="00BA1C5F" w:rsidRDefault="00BA1C5F"/>
    <w:p w:rsidR="00AA6A47" w:rsidRDefault="00AA6A47" w:rsidP="00BA1C5F">
      <w:pPr>
        <w:pStyle w:val="Cmsor4"/>
      </w:pPr>
      <w:r>
        <w:t>Diszkusszió</w:t>
      </w:r>
    </w:p>
    <w:p w:rsidR="002D0C5F" w:rsidRDefault="002D0C5F">
      <w:r>
        <w:br w:type="page"/>
      </w:r>
    </w:p>
    <w:p w:rsidR="00AA6A47" w:rsidRDefault="002D0C5F" w:rsidP="00033587">
      <w:pPr>
        <w:jc w:val="center"/>
      </w:pPr>
      <w:r>
        <w:rPr>
          <w:noProof/>
        </w:rPr>
        <w:lastRenderedPageBreak/>
        <w:drawing>
          <wp:inline distT="0" distB="0" distL="0" distR="0" wp14:anchorId="4B0A3FE4" wp14:editId="1438C990">
            <wp:extent cx="2956146" cy="99092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793" cy="9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5F" w:rsidRDefault="003C3B54" w:rsidP="00033587">
      <w:pPr>
        <w:jc w:val="center"/>
      </w:pPr>
      <w:r w:rsidRPr="003C3B54">
        <w:rPr>
          <w:noProof/>
        </w:rPr>
        <w:drawing>
          <wp:inline distT="0" distB="0" distL="0" distR="0">
            <wp:extent cx="5231330" cy="2410956"/>
            <wp:effectExtent l="0" t="0" r="762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86" cy="24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87" w:rsidRDefault="00033587" w:rsidP="00C94210">
      <w:pPr>
        <w:spacing w:after="0"/>
        <w:jc w:val="both"/>
      </w:pPr>
      <w:r>
        <w:t>A Hall-feszültség és a mágneses tér között az alábbi kapcsolat áll fenn;</w:t>
      </w:r>
    </w:p>
    <w:p w:rsidR="00033587" w:rsidRPr="00033587" w:rsidRDefault="00033587" w:rsidP="00C94210">
      <w:pPr>
        <w:spacing w:before="0"/>
        <w:jc w:val="both"/>
      </w:pPr>
      <m:oMathPara>
        <m:oMath>
          <m:r>
            <w:rPr>
              <w:rFonts w:ascii="Cambria Math" w:hAnsi="Cambria Math"/>
            </w:rPr>
            <m:t xml:space="preserve">B=α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hall</m:t>
              </m:r>
            </m:sub>
          </m:sSub>
          <m:r>
            <w:rPr>
              <w:rFonts w:ascii="Cambria Math" w:hAnsi="Cambria Math"/>
            </w:rPr>
            <m:t xml:space="preserve">                          α=8,5*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mT</m:t>
              </m:r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</m:oMath>
      </m:oMathPara>
    </w:p>
    <w:p w:rsidR="00033587" w:rsidRDefault="00033587" w:rsidP="00257EAA">
      <w:pPr>
        <w:spacing w:after="0"/>
        <w:jc w:val="both"/>
      </w:pPr>
      <w:r>
        <w:t>Így az egyes áramerősségeknél mért Hall-feszültségek ismeretében meghatározhatóak a mágneses tér értékei ugyanezen pontokra.</w:t>
      </w:r>
    </w:p>
    <w:tbl>
      <w:tblPr>
        <w:tblStyle w:val="Tblzatrcsos41jellszn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1597"/>
        <w:gridCol w:w="1843"/>
      </w:tblGrid>
      <w:tr w:rsidR="00A411FD" w:rsidRPr="00A411FD" w:rsidTr="0025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A411FD" w:rsidP="00A411FD">
            <w:pPr>
              <w:spacing w:before="120" w:after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597" w:type="dxa"/>
          </w:tcPr>
          <w:p w:rsidR="00033587" w:rsidRPr="00A411FD" w:rsidRDefault="0047698F" w:rsidP="00A411F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Hall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[mV]</m:t>
                </m:r>
              </m:oMath>
            </m:oMathPara>
          </w:p>
        </w:tc>
        <w:tc>
          <w:tcPr>
            <w:tcW w:w="1843" w:type="dxa"/>
          </w:tcPr>
          <w:p w:rsidR="00033587" w:rsidRPr="00A411FD" w:rsidRDefault="00A411FD" w:rsidP="00A411F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B[mT]</m:t>
                </m:r>
              </m:oMath>
            </m:oMathPara>
          </w:p>
        </w:tc>
      </w:tr>
      <w:tr w:rsidR="00A411FD" w:rsidTr="0025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0,4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-3,5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-0,2957</w:t>
            </w:r>
          </w:p>
        </w:tc>
      </w:tr>
      <w:tr w:rsidR="00A411FD" w:rsidTr="00257E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0,5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-4,2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-0,357</w:t>
            </w:r>
          </w:p>
        </w:tc>
      </w:tr>
      <w:tr w:rsidR="00A411FD" w:rsidTr="0025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0,6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-0,425</w:t>
            </w:r>
          </w:p>
        </w:tc>
      </w:tr>
      <w:tr w:rsidR="00A411FD" w:rsidTr="00257E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0,7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-0,51</w:t>
            </w:r>
          </w:p>
        </w:tc>
      </w:tr>
      <w:tr w:rsidR="00A411FD" w:rsidTr="0025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0,8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-6,9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-0,5865</w:t>
            </w:r>
          </w:p>
        </w:tc>
      </w:tr>
      <w:tr w:rsidR="00A411FD" w:rsidTr="00257E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0,9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-7,8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-0,663</w:t>
            </w:r>
          </w:p>
        </w:tc>
      </w:tr>
      <w:tr w:rsidR="00A411FD" w:rsidTr="0025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1,0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-8,9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-0,7565</w:t>
            </w:r>
          </w:p>
        </w:tc>
      </w:tr>
      <w:tr w:rsidR="00A411FD" w:rsidTr="00257E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1,1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-10,3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-,8755</w:t>
            </w:r>
          </w:p>
        </w:tc>
      </w:tr>
      <w:tr w:rsidR="00A411FD" w:rsidTr="0025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1,2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-10,7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-0,9095</w:t>
            </w:r>
          </w:p>
        </w:tc>
      </w:tr>
      <w:tr w:rsidR="00A411FD" w:rsidTr="00257E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:rsidR="00033587" w:rsidRPr="00A411FD" w:rsidRDefault="00033587" w:rsidP="00A411FD">
            <w:pPr>
              <w:spacing w:before="0"/>
              <w:jc w:val="center"/>
              <w:rPr>
                <w:b w:val="0"/>
                <w:bCs w:val="0"/>
              </w:rPr>
            </w:pPr>
            <w:r w:rsidRPr="00A411FD">
              <w:rPr>
                <w:b w:val="0"/>
                <w:bCs w:val="0"/>
              </w:rPr>
              <w:t>1,3</w:t>
            </w:r>
          </w:p>
        </w:tc>
        <w:tc>
          <w:tcPr>
            <w:tcW w:w="1597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-11,6</w:t>
            </w:r>
          </w:p>
        </w:tc>
        <w:tc>
          <w:tcPr>
            <w:tcW w:w="1843" w:type="dxa"/>
          </w:tcPr>
          <w:p w:rsidR="00033587" w:rsidRDefault="00A411FD" w:rsidP="00A411F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-0,986</w:t>
            </w:r>
          </w:p>
        </w:tc>
      </w:tr>
    </w:tbl>
    <w:p w:rsidR="00033587" w:rsidRPr="00033587" w:rsidRDefault="00257EAA" w:rsidP="00257EAA">
      <w:pPr>
        <w:spacing w:before="0" w:after="0"/>
        <w:jc w:val="center"/>
      </w:pPr>
      <w:r>
        <w:t xml:space="preserve">1. táblázat: </w:t>
      </w:r>
      <m:oMath>
        <m:r>
          <w:rPr>
            <w:rFonts w:ascii="Cambria Math" w:hAnsi="Cambria Math"/>
          </w:rPr>
          <m:t>k</m:t>
        </m:r>
      </m:oMath>
      <w:r>
        <w:t xml:space="preserve"> állandó meghatározásához szükséges mért és számolt értékek</w:t>
      </w:r>
    </w:p>
    <w:tbl>
      <w:tblPr>
        <w:tblStyle w:val="Tblzatrcsos41jellszn"/>
        <w:tblpPr w:leftFromText="141" w:rightFromText="141" w:vertAnchor="text" w:horzAnchor="margin" w:tblpY="919"/>
        <w:tblW w:w="0" w:type="auto"/>
        <w:tblLook w:val="04A0" w:firstRow="1" w:lastRow="0" w:firstColumn="1" w:lastColumn="0" w:noHBand="0" w:noVBand="1"/>
      </w:tblPr>
      <w:tblGrid>
        <w:gridCol w:w="1294"/>
        <w:gridCol w:w="1293"/>
        <w:gridCol w:w="1293"/>
        <w:gridCol w:w="1293"/>
        <w:gridCol w:w="1293"/>
        <w:gridCol w:w="1297"/>
        <w:gridCol w:w="1525"/>
      </w:tblGrid>
      <w:tr w:rsidR="00BA6B04" w:rsidTr="00BA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0" w:type="dxa"/>
            <w:gridSpan w:val="5"/>
          </w:tcPr>
          <w:p w:rsidR="00BA6B04" w:rsidRDefault="00BA6B04" w:rsidP="00BA6B04">
            <w:pPr>
              <w:spacing w:before="120" w:after="120"/>
              <w:jc w:val="center"/>
            </w:pPr>
            <w:r>
              <w:t>Reprodukálhatósági mérés I = 1,1 A mellett</w:t>
            </w:r>
          </w:p>
        </w:tc>
        <w:tc>
          <w:tcPr>
            <w:tcW w:w="1316" w:type="dxa"/>
          </w:tcPr>
          <w:p w:rsidR="00BA6B04" w:rsidRDefault="00BA6B04" w:rsidP="00BA6B0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átlag</w:t>
            </w:r>
          </w:p>
        </w:tc>
        <w:tc>
          <w:tcPr>
            <w:tcW w:w="1316" w:type="dxa"/>
          </w:tcPr>
          <w:p w:rsidR="00BA6B04" w:rsidRDefault="00BA6B04" w:rsidP="00BA6B0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szórás</w:t>
            </w:r>
          </w:p>
        </w:tc>
      </w:tr>
      <w:tr w:rsidR="00BA6B04" w:rsidTr="00BA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BA6B04" w:rsidRPr="00BC3E30" w:rsidRDefault="00BA6B04" w:rsidP="00BA6B04">
            <w:pPr>
              <w:spacing w:before="120" w:after="120"/>
              <w:jc w:val="center"/>
              <w:rPr>
                <w:b w:val="0"/>
                <w:bCs w:val="0"/>
              </w:rPr>
            </w:pPr>
            <w:r w:rsidRPr="00BC3E30">
              <w:rPr>
                <w:b w:val="0"/>
                <w:bCs w:val="0"/>
              </w:rPr>
              <w:t xml:space="preserve">-10,3 </w:t>
            </w:r>
            <w:proofErr w:type="spellStart"/>
            <w:r w:rsidRPr="00BC3E30">
              <w:rPr>
                <w:b w:val="0"/>
                <w:bCs w:val="0"/>
              </w:rPr>
              <w:t>mV</w:t>
            </w:r>
            <w:proofErr w:type="spellEnd"/>
          </w:p>
        </w:tc>
        <w:tc>
          <w:tcPr>
            <w:tcW w:w="1316" w:type="dxa"/>
          </w:tcPr>
          <w:p w:rsidR="00BA6B04" w:rsidRDefault="00BA6B04" w:rsidP="00BA6B0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-9,9 </w:t>
            </w:r>
            <w:proofErr w:type="spellStart"/>
            <w:r>
              <w:t>mV</w:t>
            </w:r>
            <w:proofErr w:type="spellEnd"/>
          </w:p>
        </w:tc>
        <w:tc>
          <w:tcPr>
            <w:tcW w:w="1316" w:type="dxa"/>
          </w:tcPr>
          <w:p w:rsidR="00BA6B04" w:rsidRDefault="00BA6B04" w:rsidP="00BA6B0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-9,9 </w:t>
            </w:r>
            <w:proofErr w:type="spellStart"/>
            <w:r>
              <w:t>mV</w:t>
            </w:r>
            <w:proofErr w:type="spellEnd"/>
          </w:p>
        </w:tc>
        <w:tc>
          <w:tcPr>
            <w:tcW w:w="1316" w:type="dxa"/>
          </w:tcPr>
          <w:p w:rsidR="00BA6B04" w:rsidRDefault="00BA6B04" w:rsidP="00BA6B0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-9,8 </w:t>
            </w:r>
            <w:proofErr w:type="spellStart"/>
            <w:r>
              <w:t>mV</w:t>
            </w:r>
            <w:proofErr w:type="spellEnd"/>
          </w:p>
        </w:tc>
        <w:tc>
          <w:tcPr>
            <w:tcW w:w="1316" w:type="dxa"/>
          </w:tcPr>
          <w:p w:rsidR="00BA6B04" w:rsidRDefault="00BA6B04" w:rsidP="00BA6B0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-9,9 </w:t>
            </w:r>
            <w:proofErr w:type="spellStart"/>
            <w:r>
              <w:t>mV</w:t>
            </w:r>
            <w:proofErr w:type="spellEnd"/>
          </w:p>
        </w:tc>
        <w:tc>
          <w:tcPr>
            <w:tcW w:w="1316" w:type="dxa"/>
          </w:tcPr>
          <w:p w:rsidR="00BA6B04" w:rsidRDefault="002E3213" w:rsidP="00BA6B0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-9,96</w:t>
            </w:r>
            <w:r w:rsidR="00164BBE">
              <w:t xml:space="preserve"> </w:t>
            </w:r>
            <w:proofErr w:type="spellStart"/>
            <w:r w:rsidR="00164BBE">
              <w:t>mV</w:t>
            </w:r>
            <w:proofErr w:type="spellEnd"/>
          </w:p>
        </w:tc>
        <w:tc>
          <w:tcPr>
            <w:tcW w:w="1316" w:type="dxa"/>
          </w:tcPr>
          <w:p w:rsidR="00BA6B04" w:rsidRDefault="002E3213" w:rsidP="00BA6B0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±0,194936</m:t>
                </m:r>
                <m:r>
                  <w:rPr>
                    <w:rFonts w:ascii="Cambria Math" w:hAnsi="Cambria Math"/>
                  </w:rPr>
                  <m:t xml:space="preserve"> mV</m:t>
                </m:r>
              </m:oMath>
            </m:oMathPara>
          </w:p>
        </w:tc>
      </w:tr>
    </w:tbl>
    <w:p w:rsidR="00033587" w:rsidRPr="00182718" w:rsidRDefault="005516F4" w:rsidP="00BA6B04">
      <w:pPr>
        <w:spacing w:after="120"/>
        <w:jc w:val="both"/>
      </w:pPr>
      <m:oMathPara>
        <m:oMath>
          <m:r>
            <w:rPr>
              <w:rFonts w:ascii="Cambria Math" w:hAnsi="Cambria Math"/>
            </w:rPr>
            <m:t xml:space="preserve">k=-0,795909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mT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± 0,01971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mT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:rsidR="00182718" w:rsidRDefault="00BC3E30" w:rsidP="00BA6B04">
      <w:pPr>
        <w:spacing w:before="0"/>
        <w:jc w:val="center"/>
      </w:pPr>
      <w:r>
        <w:t>2. táblázat: Helmholtz-tekercs kalibrációja során felvett reprodukálhatósági adatok</w:t>
      </w:r>
    </w:p>
    <w:p w:rsidR="00BC3E30" w:rsidRDefault="00BC3E30" w:rsidP="00033587">
      <w:pPr>
        <w:jc w:val="both"/>
      </w:pPr>
    </w:p>
    <w:p w:rsidR="00FD33C1" w:rsidRDefault="00FD33C1" w:rsidP="00FD33C1">
      <w:pPr>
        <w:tabs>
          <w:tab w:val="left" w:pos="1697"/>
        </w:tabs>
      </w:pPr>
      <w:r>
        <w:tab/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D33C1" w:rsidTr="00FD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20" w:after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I [A]</m:t>
                </m:r>
              </m:oMath>
            </m:oMathPara>
          </w:p>
        </w:tc>
        <w:tc>
          <w:tcPr>
            <w:tcW w:w="1842" w:type="dxa"/>
          </w:tcPr>
          <w:p w:rsidR="00FD33C1" w:rsidRDefault="0047698F" w:rsidP="00FD33C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2" w:type="dxa"/>
          </w:tcPr>
          <w:p w:rsidR="00FD33C1" w:rsidRDefault="0047698F" w:rsidP="00FD33C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jobb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 [cm]</m:t>
                </m:r>
              </m:oMath>
            </m:oMathPara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[cm]</m:t>
                </m:r>
              </m:oMath>
            </m:oMathPara>
          </w:p>
        </w:tc>
      </w:tr>
      <w:tr w:rsidR="00FD33C1" w:rsidTr="00FD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0,8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11,6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4,45</w:t>
            </w:r>
          </w:p>
        </w:tc>
      </w:tr>
      <w:tr w:rsidR="00FD33C1" w:rsidTr="00FD3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0,85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11,1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</w:t>
            </w:r>
          </w:p>
        </w:tc>
      </w:tr>
      <w:tr w:rsidR="00FD33C1" w:rsidTr="00FD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0,9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9,4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6,7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3,35</w:t>
            </w:r>
          </w:p>
        </w:tc>
      </w:tr>
      <w:tr w:rsidR="00FD33C1" w:rsidTr="00FD3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0,95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9,3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6,6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</w:t>
            </w:r>
          </w:p>
        </w:tc>
      </w:tr>
      <w:tr w:rsidR="00FD33C1" w:rsidTr="00FD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1,0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9,2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</w:t>
            </w:r>
          </w:p>
        </w:tc>
      </w:tr>
      <w:tr w:rsidR="00FD33C1" w:rsidTr="00FD3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1,05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6,1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3,05</w:t>
            </w:r>
          </w:p>
        </w:tc>
      </w:tr>
      <w:tr w:rsidR="00FD33C1" w:rsidTr="00FD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1,1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8,5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2,9</w:t>
            </w:r>
          </w:p>
        </w:tc>
      </w:tr>
      <w:tr w:rsidR="00FD33C1" w:rsidTr="00FD3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FD33C1" w:rsidRDefault="00FD33C1" w:rsidP="00FD33C1">
            <w:pPr>
              <w:tabs>
                <w:tab w:val="left" w:pos="1697"/>
              </w:tabs>
              <w:spacing w:before="10"/>
              <w:jc w:val="center"/>
              <w:rPr>
                <w:b w:val="0"/>
                <w:bCs w:val="0"/>
              </w:rPr>
            </w:pPr>
            <w:r w:rsidRPr="00FD33C1">
              <w:rPr>
                <w:b w:val="0"/>
                <w:bCs w:val="0"/>
              </w:rPr>
              <w:t>1,15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5,3</w:t>
            </w:r>
          </w:p>
        </w:tc>
        <w:tc>
          <w:tcPr>
            <w:tcW w:w="1843" w:type="dxa"/>
          </w:tcPr>
          <w:p w:rsidR="00FD33C1" w:rsidRDefault="00FD33C1" w:rsidP="00FD33C1">
            <w:pPr>
              <w:tabs>
                <w:tab w:val="left" w:pos="1697"/>
              </w:tabs>
              <w:spacing w:befor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2,65</w:t>
            </w:r>
          </w:p>
        </w:tc>
      </w:tr>
    </w:tbl>
    <w:p w:rsidR="00FD33C1" w:rsidRDefault="00FD33C1" w:rsidP="00FD33C1">
      <w:pPr>
        <w:tabs>
          <w:tab w:val="left" w:pos="1697"/>
        </w:tabs>
        <w:spacing w:before="0"/>
        <w:jc w:val="center"/>
      </w:pPr>
      <w:r>
        <w:t xml:space="preserve">3. táblázat: elektron-körpálya sugarának mérése </w:t>
      </w:r>
      <w:r w:rsidRPr="00FD33C1">
        <w:rPr>
          <w:b/>
          <w:bCs/>
          <w:u w:val="single"/>
        </w:rPr>
        <w:t>U = 120 V mellett</w:t>
      </w:r>
      <w:r>
        <w:t>, különböző áramerősségek esetén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D33C1" w:rsidTr="004C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20" w:after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842" w:type="dxa"/>
          </w:tcPr>
          <w:p w:rsidR="00FD33C1" w:rsidRDefault="0047698F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2" w:type="dxa"/>
          </w:tcPr>
          <w:p w:rsidR="00FD33C1" w:rsidRDefault="0047698F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jobb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 [cm]</m:t>
                </m:r>
              </m:oMath>
            </m:oMathPara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[cm]</m:t>
                </m:r>
              </m:oMath>
            </m:oMathPara>
          </w:p>
        </w:tc>
      </w:tr>
      <w:tr w:rsidR="00FD33C1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1,00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11,7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</w:tr>
      <w:tr w:rsidR="00FD33C1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1,05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11,1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</w:t>
            </w:r>
          </w:p>
        </w:tc>
      </w:tr>
      <w:tr w:rsidR="00FD33C1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1,10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8,1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4,05</w:t>
            </w:r>
          </w:p>
        </w:tc>
      </w:tr>
      <w:tr w:rsidR="00FD33C1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1,15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10,6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7,9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</w:t>
            </w:r>
          </w:p>
        </w:tc>
      </w:tr>
      <w:tr w:rsidR="00FD33C1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1,20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7,5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3,75</w:t>
            </w:r>
          </w:p>
        </w:tc>
      </w:tr>
      <w:tr w:rsidR="00FD33C1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1,25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</w:t>
            </w:r>
          </w:p>
        </w:tc>
      </w:tr>
      <w:tr w:rsidR="00FD33C1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1,30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9,1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6,4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</w:t>
            </w:r>
          </w:p>
        </w:tc>
      </w:tr>
      <w:tr w:rsidR="00FD33C1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D33C1" w:rsidRPr="004C42C5" w:rsidRDefault="00FD33C1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1,35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8,6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</w:t>
            </w:r>
          </w:p>
        </w:tc>
        <w:tc>
          <w:tcPr>
            <w:tcW w:w="1843" w:type="dxa"/>
          </w:tcPr>
          <w:p w:rsidR="00FD33C1" w:rsidRDefault="00FD33C1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2,95</w:t>
            </w:r>
          </w:p>
        </w:tc>
      </w:tr>
    </w:tbl>
    <w:p w:rsidR="00FD33C1" w:rsidRDefault="004C42C5" w:rsidP="004C42C5">
      <w:pPr>
        <w:tabs>
          <w:tab w:val="left" w:pos="1697"/>
        </w:tabs>
        <w:spacing w:before="0"/>
        <w:jc w:val="center"/>
      </w:pPr>
      <w:r>
        <w:t xml:space="preserve">4. táblázat: elektron-körpálya sugarának mérése </w:t>
      </w:r>
      <w:r w:rsidRPr="004C42C5">
        <w:rPr>
          <w:b/>
          <w:bCs/>
          <w:u w:val="single"/>
        </w:rPr>
        <w:t>U = 170 V mellett</w:t>
      </w:r>
      <w:r>
        <w:t>, különböző áramerősségek esetén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C42C5" w:rsidTr="004C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20" w:after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 [A]</m:t>
                </m:r>
              </m:oMath>
            </m:oMathPara>
          </w:p>
        </w:tc>
        <w:tc>
          <w:tcPr>
            <w:tcW w:w="1842" w:type="dxa"/>
          </w:tcPr>
          <w:p w:rsidR="004C42C5" w:rsidRDefault="0047698F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2" w:type="dxa"/>
          </w:tcPr>
          <w:p w:rsidR="004C42C5" w:rsidRDefault="0047698F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jobb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[cm]</m:t>
                </m:r>
              </m:oMath>
            </m:oMathPara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 [cm]</m:t>
                </m:r>
              </m:oMath>
            </m:oMathPara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[cm]</m:t>
                </m:r>
              </m:oMath>
            </m:oMathPara>
          </w:p>
        </w:tc>
      </w:tr>
      <w:tr w:rsidR="004C42C5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1,10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10,9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8,2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4,1</w:t>
            </w:r>
          </w:p>
        </w:tc>
      </w:tr>
      <w:tr w:rsidR="004C42C5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1,15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10,3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7,6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</w:t>
            </w:r>
          </w:p>
        </w:tc>
      </w:tr>
      <w:tr w:rsidR="004C42C5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1,20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9,8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7,1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3,55</w:t>
            </w:r>
          </w:p>
        </w:tc>
      </w:tr>
      <w:tr w:rsidR="004C42C5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1,25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</w:t>
            </w:r>
          </w:p>
        </w:tc>
      </w:tr>
      <w:tr w:rsidR="004C42C5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1,30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</w:t>
            </w:r>
          </w:p>
        </w:tc>
      </w:tr>
      <w:tr w:rsidR="004C42C5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1,35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8,6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2,95</w:t>
            </w:r>
          </w:p>
        </w:tc>
      </w:tr>
      <w:tr w:rsidR="004C42C5" w:rsidTr="004C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1,40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8,6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5,9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2,95</w:t>
            </w:r>
          </w:p>
        </w:tc>
      </w:tr>
      <w:tr w:rsidR="004C42C5" w:rsidTr="004C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42C5" w:rsidRP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rPr>
                <w:b w:val="0"/>
                <w:bCs w:val="0"/>
              </w:rPr>
            </w:pPr>
            <w:r w:rsidRPr="004C42C5">
              <w:rPr>
                <w:b w:val="0"/>
                <w:bCs w:val="0"/>
              </w:rPr>
              <w:t>1,45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842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5,7</w:t>
            </w:r>
          </w:p>
        </w:tc>
        <w:tc>
          <w:tcPr>
            <w:tcW w:w="1843" w:type="dxa"/>
          </w:tcPr>
          <w:p w:rsidR="004C42C5" w:rsidRDefault="004C42C5" w:rsidP="004C42C5">
            <w:pPr>
              <w:tabs>
                <w:tab w:val="left" w:pos="1697"/>
              </w:tabs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2,85</w:t>
            </w:r>
          </w:p>
        </w:tc>
      </w:tr>
    </w:tbl>
    <w:p w:rsidR="004C42C5" w:rsidRDefault="004C42C5" w:rsidP="004C42C5">
      <w:pPr>
        <w:tabs>
          <w:tab w:val="left" w:pos="1697"/>
        </w:tabs>
        <w:spacing w:before="0"/>
        <w:jc w:val="center"/>
      </w:pPr>
      <w:r>
        <w:t xml:space="preserve">5. táblázat: elektron-körpálya sugarának mérése </w:t>
      </w:r>
      <w:r w:rsidRPr="004C42C5">
        <w:rPr>
          <w:b/>
          <w:bCs/>
          <w:u w:val="single"/>
        </w:rPr>
        <w:t>U = 200 V mellett</w:t>
      </w:r>
      <w:r>
        <w:t>, különböző áramerősségek esetén</w:t>
      </w:r>
    </w:p>
    <w:p w:rsidR="00B37BC2" w:rsidRDefault="00B37BC2" w:rsidP="004C42C5">
      <w:pPr>
        <w:tabs>
          <w:tab w:val="left" w:pos="1697"/>
        </w:tabs>
        <w:spacing w:before="0"/>
        <w:jc w:val="center"/>
      </w:pPr>
    </w:p>
    <w:p w:rsidR="00B37BC2" w:rsidRDefault="00B37BC2">
      <w:r>
        <w:br w:type="page"/>
      </w:r>
    </w:p>
    <w:p w:rsidR="00B37BC2" w:rsidRDefault="00B37BC2" w:rsidP="004C42C5">
      <w:pPr>
        <w:tabs>
          <w:tab w:val="left" w:pos="1697"/>
        </w:tabs>
        <w:spacing w:before="0"/>
        <w:jc w:val="center"/>
      </w:pPr>
      <w:r>
        <w:lastRenderedPageBreak/>
        <w:t>120 V-</w:t>
      </w:r>
      <w:proofErr w:type="spellStart"/>
      <w:r>
        <w:t>nál</w:t>
      </w:r>
      <w:proofErr w:type="spellEnd"/>
    </w:p>
    <w:p w:rsidR="00B37BC2" w:rsidRDefault="00307166" w:rsidP="00307166">
      <w:pPr>
        <w:tabs>
          <w:tab w:val="left" w:pos="1697"/>
        </w:tabs>
        <w:spacing w:before="0"/>
        <w:jc w:val="center"/>
      </w:pPr>
      <w:r>
        <w:rPr>
          <w:noProof/>
        </w:rPr>
        <w:drawing>
          <wp:inline distT="0" distB="0" distL="0" distR="0" wp14:anchorId="11672393" wp14:editId="3650708C">
            <wp:extent cx="3959134" cy="1141655"/>
            <wp:effectExtent l="0" t="0" r="381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421" cy="11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8B" w:rsidRDefault="0015338B" w:rsidP="0015338B">
      <w:pPr>
        <w:tabs>
          <w:tab w:val="left" w:pos="1697"/>
        </w:tabs>
        <w:spacing w:before="0"/>
        <w:jc w:val="center"/>
      </w:pPr>
      <w:r>
        <w:t>m1              = 1.68393e+11      +/- 2.779e+10    (16.5%)</w:t>
      </w:r>
    </w:p>
    <w:p w:rsidR="0015338B" w:rsidRDefault="0015338B" w:rsidP="0015338B">
      <w:pPr>
        <w:tabs>
          <w:tab w:val="left" w:pos="1697"/>
        </w:tabs>
        <w:spacing w:before="0"/>
        <w:jc w:val="center"/>
      </w:pPr>
      <w:r>
        <w:t>b1              = 2.02057          +/- 2.913e+05    (1.442e+07%)</w:t>
      </w:r>
    </w:p>
    <w:p w:rsidR="00B37BC2" w:rsidRDefault="00B37BC2" w:rsidP="004C42C5">
      <w:pPr>
        <w:tabs>
          <w:tab w:val="left" w:pos="1697"/>
        </w:tabs>
        <w:spacing w:before="0"/>
        <w:jc w:val="center"/>
      </w:pPr>
      <w:r w:rsidRPr="00B37BC2">
        <w:rPr>
          <w:noProof/>
        </w:rPr>
        <w:drawing>
          <wp:inline distT="0" distB="0" distL="0" distR="0">
            <wp:extent cx="5760720" cy="26536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C2" w:rsidRDefault="00B37BC2" w:rsidP="004C42C5">
      <w:pPr>
        <w:tabs>
          <w:tab w:val="left" w:pos="1697"/>
        </w:tabs>
        <w:spacing w:before="0"/>
        <w:jc w:val="center"/>
      </w:pPr>
    </w:p>
    <w:p w:rsidR="00B37BC2" w:rsidRDefault="00B37BC2" w:rsidP="004C42C5">
      <w:pPr>
        <w:tabs>
          <w:tab w:val="left" w:pos="1697"/>
        </w:tabs>
        <w:spacing w:before="0"/>
        <w:jc w:val="center"/>
      </w:pPr>
      <w:r>
        <w:t>170 V-</w:t>
      </w:r>
      <w:proofErr w:type="spellStart"/>
      <w:r>
        <w:t>nál</w:t>
      </w:r>
      <w:proofErr w:type="spellEnd"/>
    </w:p>
    <w:p w:rsidR="00B37BC2" w:rsidRDefault="00307166" w:rsidP="004C42C5">
      <w:pPr>
        <w:tabs>
          <w:tab w:val="left" w:pos="1697"/>
        </w:tabs>
        <w:spacing w:before="0"/>
        <w:jc w:val="center"/>
      </w:pPr>
      <w:r>
        <w:rPr>
          <w:noProof/>
        </w:rPr>
        <w:drawing>
          <wp:inline distT="0" distB="0" distL="0" distR="0" wp14:anchorId="750C7A3B" wp14:editId="479A6C78">
            <wp:extent cx="4318362" cy="1269042"/>
            <wp:effectExtent l="0" t="0" r="635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359" cy="1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8B" w:rsidRDefault="0015338B" w:rsidP="0015338B">
      <w:pPr>
        <w:tabs>
          <w:tab w:val="left" w:pos="1697"/>
        </w:tabs>
        <w:spacing w:before="0"/>
        <w:jc w:val="center"/>
      </w:pPr>
      <w:r>
        <w:t>m2              = 1.37743e+11      +/- 1.545e+10    (11.22%)</w:t>
      </w:r>
    </w:p>
    <w:p w:rsidR="0015338B" w:rsidRDefault="0015338B" w:rsidP="0015338B">
      <w:pPr>
        <w:tabs>
          <w:tab w:val="left" w:pos="1697"/>
        </w:tabs>
        <w:spacing w:before="0"/>
        <w:jc w:val="center"/>
      </w:pPr>
      <w:r>
        <w:t>b2              = 1.38072          +/- 1.343e+05    (9.725e+06%)</w:t>
      </w:r>
    </w:p>
    <w:p w:rsidR="00307166" w:rsidRDefault="00307166" w:rsidP="004C42C5">
      <w:pPr>
        <w:tabs>
          <w:tab w:val="left" w:pos="1697"/>
        </w:tabs>
        <w:spacing w:before="0"/>
        <w:jc w:val="center"/>
      </w:pPr>
    </w:p>
    <w:p w:rsidR="00307166" w:rsidRDefault="00307166" w:rsidP="004C42C5">
      <w:pPr>
        <w:tabs>
          <w:tab w:val="left" w:pos="1697"/>
        </w:tabs>
        <w:spacing w:before="0"/>
        <w:jc w:val="center"/>
      </w:pPr>
    </w:p>
    <w:p w:rsidR="00307166" w:rsidRDefault="00307166" w:rsidP="004C42C5">
      <w:pPr>
        <w:tabs>
          <w:tab w:val="left" w:pos="1697"/>
        </w:tabs>
        <w:spacing w:before="0"/>
        <w:jc w:val="center"/>
      </w:pPr>
      <w:r>
        <w:t>200 V-</w:t>
      </w:r>
      <w:proofErr w:type="spellStart"/>
      <w:r>
        <w:t>nál</w:t>
      </w:r>
      <w:proofErr w:type="spellEnd"/>
      <w:r>
        <w:t>:</w:t>
      </w:r>
    </w:p>
    <w:p w:rsidR="00307166" w:rsidRDefault="00307166" w:rsidP="004C42C5">
      <w:pPr>
        <w:tabs>
          <w:tab w:val="left" w:pos="1697"/>
        </w:tabs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4D96AE8E" wp14:editId="1D971BFA">
            <wp:extent cx="4253048" cy="131595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815" cy="13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8B" w:rsidRDefault="0015338B" w:rsidP="0015338B">
      <w:pPr>
        <w:tabs>
          <w:tab w:val="left" w:pos="1697"/>
        </w:tabs>
        <w:spacing w:before="0"/>
        <w:jc w:val="center"/>
      </w:pPr>
      <w:r>
        <w:t>m3              = 1.72469e+11      +/- 2.294e+10    (13.3%)</w:t>
      </w:r>
    </w:p>
    <w:p w:rsidR="0015338B" w:rsidRDefault="0015338B" w:rsidP="0015338B">
      <w:pPr>
        <w:tabs>
          <w:tab w:val="left" w:pos="1697"/>
        </w:tabs>
        <w:spacing w:before="0"/>
        <w:jc w:val="center"/>
      </w:pPr>
      <w:r>
        <w:t>b3              = 1.91442          +/- 1.341e+05    (7.003e+06%)</w:t>
      </w:r>
      <w:bookmarkStart w:id="0" w:name="_GoBack"/>
      <w:bookmarkEnd w:id="0"/>
    </w:p>
    <w:p w:rsidR="00307166" w:rsidRPr="00FD33C1" w:rsidRDefault="00307166" w:rsidP="004C42C5">
      <w:pPr>
        <w:tabs>
          <w:tab w:val="left" w:pos="1697"/>
        </w:tabs>
        <w:spacing w:before="0"/>
        <w:jc w:val="center"/>
      </w:pPr>
      <w:r w:rsidRPr="00307166">
        <w:rPr>
          <w:noProof/>
        </w:rPr>
        <w:drawing>
          <wp:inline distT="0" distB="0" distL="0" distR="0">
            <wp:extent cx="5760720" cy="265366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166" w:rsidRPr="00FD3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8F" w:rsidRDefault="0047698F" w:rsidP="00196622">
      <w:pPr>
        <w:spacing w:before="0" w:after="0" w:line="240" w:lineRule="auto"/>
      </w:pPr>
      <w:r>
        <w:separator/>
      </w:r>
    </w:p>
  </w:endnote>
  <w:endnote w:type="continuationSeparator" w:id="0">
    <w:p w:rsidR="0047698F" w:rsidRDefault="0047698F" w:rsidP="001966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8F" w:rsidRDefault="0047698F" w:rsidP="00196622">
      <w:pPr>
        <w:spacing w:before="0" w:after="0" w:line="240" w:lineRule="auto"/>
      </w:pPr>
      <w:r>
        <w:separator/>
      </w:r>
    </w:p>
  </w:footnote>
  <w:footnote w:type="continuationSeparator" w:id="0">
    <w:p w:rsidR="0047698F" w:rsidRDefault="0047698F" w:rsidP="001966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D14A6"/>
    <w:multiLevelType w:val="hybridMultilevel"/>
    <w:tmpl w:val="ACC45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A47"/>
    <w:rsid w:val="00033587"/>
    <w:rsid w:val="0015338B"/>
    <w:rsid w:val="0015570A"/>
    <w:rsid w:val="00164BBE"/>
    <w:rsid w:val="00177152"/>
    <w:rsid w:val="00182718"/>
    <w:rsid w:val="00196622"/>
    <w:rsid w:val="00257EAA"/>
    <w:rsid w:val="002D0C5F"/>
    <w:rsid w:val="002E3213"/>
    <w:rsid w:val="00307166"/>
    <w:rsid w:val="003356AC"/>
    <w:rsid w:val="003C3B54"/>
    <w:rsid w:val="004027D3"/>
    <w:rsid w:val="0047698F"/>
    <w:rsid w:val="004C42C5"/>
    <w:rsid w:val="00522D42"/>
    <w:rsid w:val="005516F4"/>
    <w:rsid w:val="006556B3"/>
    <w:rsid w:val="00827E3E"/>
    <w:rsid w:val="00861116"/>
    <w:rsid w:val="008A0E1E"/>
    <w:rsid w:val="008F627E"/>
    <w:rsid w:val="00973E78"/>
    <w:rsid w:val="00A411FD"/>
    <w:rsid w:val="00AA6A47"/>
    <w:rsid w:val="00AB1C89"/>
    <w:rsid w:val="00B37BC2"/>
    <w:rsid w:val="00BA0751"/>
    <w:rsid w:val="00BA1C5F"/>
    <w:rsid w:val="00BA6B04"/>
    <w:rsid w:val="00BC3E30"/>
    <w:rsid w:val="00C52815"/>
    <w:rsid w:val="00C94210"/>
    <w:rsid w:val="00CE57E7"/>
    <w:rsid w:val="00D82640"/>
    <w:rsid w:val="00E10017"/>
    <w:rsid w:val="00E13A5C"/>
    <w:rsid w:val="00E2063C"/>
    <w:rsid w:val="00EA4761"/>
    <w:rsid w:val="00ED7AD3"/>
    <w:rsid w:val="00F96158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57F3"/>
  <w15:chartTrackingRefBased/>
  <w15:docId w15:val="{EBBB160F-7355-4EFA-8620-2B0FA6B5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0751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BA075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075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075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bidi="en-US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A075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075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075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075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0751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0751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0751"/>
    <w:rPr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BA0751"/>
    <w:rPr>
      <w:caps/>
      <w:spacing w:val="15"/>
      <w:shd w:val="clear" w:color="auto" w:fill="DBE5F1" w:themeFill="accent1" w:themeFillTint="33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rsid w:val="00BA0751"/>
    <w:rPr>
      <w:caps/>
      <w:color w:val="243F60" w:themeColor="accent1" w:themeShade="7F"/>
      <w:spacing w:val="15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0751"/>
    <w:rPr>
      <w:caps/>
      <w:color w:val="365F91" w:themeColor="accent1" w:themeShade="BF"/>
      <w:spacing w:val="10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0751"/>
    <w:rPr>
      <w:caps/>
      <w:spacing w:val="10"/>
      <w:sz w:val="18"/>
      <w:szCs w:val="18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0751"/>
    <w:rPr>
      <w:i/>
      <w:caps/>
      <w:spacing w:val="10"/>
      <w:sz w:val="18"/>
      <w:szCs w:val="18"/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A0751"/>
    <w:rPr>
      <w:b/>
      <w:bCs/>
      <w:color w:val="365F91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BA0751"/>
    <w:pPr>
      <w:spacing w:before="720"/>
    </w:pPr>
    <w:rPr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CmChar">
    <w:name w:val="Cím Char"/>
    <w:basedOn w:val="Bekezdsalapbettpusa"/>
    <w:link w:val="Cm"/>
    <w:uiPriority w:val="10"/>
    <w:rsid w:val="00BA0751"/>
    <w:rPr>
      <w:caps/>
      <w:color w:val="4F81BD" w:themeColor="accent1"/>
      <w:spacing w:val="10"/>
      <w:kern w:val="28"/>
      <w:sz w:val="52"/>
      <w:szCs w:val="52"/>
      <w:lang w:bidi="en-US"/>
    </w:rPr>
  </w:style>
  <w:style w:type="paragraph" w:styleId="Alcm">
    <w:name w:val="Subtitle"/>
    <w:basedOn w:val="Norml"/>
    <w:next w:val="Norml"/>
    <w:link w:val="AlcmChar"/>
    <w:uiPriority w:val="11"/>
    <w:qFormat/>
    <w:rsid w:val="00BA075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AlcmChar">
    <w:name w:val="Alcím Char"/>
    <w:basedOn w:val="Bekezdsalapbettpusa"/>
    <w:link w:val="Alcm"/>
    <w:uiPriority w:val="11"/>
    <w:rsid w:val="00BA0751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Kiemels2">
    <w:name w:val="Strong"/>
    <w:uiPriority w:val="22"/>
    <w:qFormat/>
    <w:rsid w:val="00BA0751"/>
    <w:rPr>
      <w:b/>
      <w:bCs/>
    </w:rPr>
  </w:style>
  <w:style w:type="character" w:styleId="Kiemels">
    <w:name w:val="Emphasis"/>
    <w:uiPriority w:val="20"/>
    <w:qFormat/>
    <w:rsid w:val="00BA0751"/>
    <w:rPr>
      <w:caps/>
      <w:color w:val="243F60" w:themeColor="accent1" w:themeShade="7F"/>
      <w:spacing w:val="5"/>
    </w:rPr>
  </w:style>
  <w:style w:type="paragraph" w:styleId="Nincstrkz">
    <w:name w:val="No Spacing"/>
    <w:basedOn w:val="Norml"/>
    <w:link w:val="NincstrkzChar"/>
    <w:uiPriority w:val="1"/>
    <w:qFormat/>
    <w:rsid w:val="00BA0751"/>
    <w:pPr>
      <w:spacing w:before="0" w:after="0" w:line="240" w:lineRule="auto"/>
    </w:pPr>
    <w:rPr>
      <w:lang w:bidi="en-US"/>
    </w:rPr>
  </w:style>
  <w:style w:type="paragraph" w:styleId="Idzet">
    <w:name w:val="Quote"/>
    <w:basedOn w:val="Norml"/>
    <w:next w:val="Norml"/>
    <w:link w:val="IdzetChar"/>
    <w:uiPriority w:val="29"/>
    <w:qFormat/>
    <w:rsid w:val="00BA0751"/>
    <w:rPr>
      <w:i/>
      <w:iCs/>
      <w:lang w:bidi="en-US"/>
    </w:rPr>
  </w:style>
  <w:style w:type="character" w:customStyle="1" w:styleId="IdzetChar">
    <w:name w:val="Idézet Char"/>
    <w:basedOn w:val="Bekezdsalapbettpusa"/>
    <w:link w:val="Idzet"/>
    <w:uiPriority w:val="29"/>
    <w:rsid w:val="00BA0751"/>
    <w:rPr>
      <w:i/>
      <w:iCs/>
      <w:sz w:val="20"/>
      <w:szCs w:val="20"/>
      <w:lang w:bidi="en-US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075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bidi="en-US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0751"/>
    <w:rPr>
      <w:i/>
      <w:iCs/>
      <w:color w:val="4F81BD" w:themeColor="accent1"/>
      <w:sz w:val="20"/>
      <w:szCs w:val="20"/>
      <w:lang w:bidi="en-US"/>
    </w:rPr>
  </w:style>
  <w:style w:type="character" w:styleId="Finomkiemels">
    <w:name w:val="Subtle Emphasis"/>
    <w:uiPriority w:val="19"/>
    <w:qFormat/>
    <w:rsid w:val="00BA0751"/>
    <w:rPr>
      <w:i/>
      <w:iCs/>
      <w:color w:val="243F60" w:themeColor="accent1" w:themeShade="7F"/>
    </w:rPr>
  </w:style>
  <w:style w:type="character" w:styleId="Erskiemels">
    <w:name w:val="Intense Emphasis"/>
    <w:uiPriority w:val="21"/>
    <w:qFormat/>
    <w:rsid w:val="00BA0751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BA0751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BA0751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BA0751"/>
    <w:rPr>
      <w:b/>
      <w:bCs/>
      <w:i/>
      <w:iCs/>
      <w:spacing w:val="9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A0751"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  <w:rsid w:val="00BA0751"/>
    <w:rPr>
      <w:sz w:val="20"/>
      <w:szCs w:val="20"/>
      <w:lang w:bidi="en-US"/>
    </w:rPr>
  </w:style>
  <w:style w:type="paragraph" w:styleId="Listaszerbekezds">
    <w:name w:val="List Paragraph"/>
    <w:basedOn w:val="Norml"/>
    <w:uiPriority w:val="34"/>
    <w:qFormat/>
    <w:rsid w:val="00BA075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A1C5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6622"/>
    <w:pPr>
      <w:spacing w:before="0"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66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96622"/>
    <w:rPr>
      <w:vertAlign w:val="superscript"/>
    </w:rPr>
  </w:style>
  <w:style w:type="table" w:styleId="Rcsostblzat">
    <w:name w:val="Table Grid"/>
    <w:basedOn w:val="Normltblzat"/>
    <w:uiPriority w:val="59"/>
    <w:unhideWhenUsed/>
    <w:rsid w:val="000335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A411F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9B6B-A9C3-426D-99CF-0E0DEF79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765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20</cp:revision>
  <dcterms:created xsi:type="dcterms:W3CDTF">2020-09-20T09:45:00Z</dcterms:created>
  <dcterms:modified xsi:type="dcterms:W3CDTF">2020-09-20T17:55:00Z</dcterms:modified>
</cp:coreProperties>
</file>