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after="0" w:before="0"/>
      </w:pPr>
      <w:r>
        <w:rPr>
          <w:sz w:val="48"/>
          <w:szCs w:val="48"/>
        </w:rPr>
        <w:t xml:space="preserve"/>
      </w:r>
    </w:p>
    <w:p>
      <w:pPr>
        <w:shd w:fill="1A1A2E" w:val="clear"/>
        <w:spacing w:after="80" w:before="240"/>
        <w:jc w:val="center"/>
      </w:pPr>
      <w:r>
        <w:rPr>
          <w:rFonts w:ascii="Arial" w:cs="Arial" w:eastAsia="Arial" w:hAnsi="Arial"/>
          <w:b/>
          <w:bCs/>
          <w:color w:val="FFFFFF"/>
          <w:sz w:val="48"/>
          <w:szCs w:val="48"/>
        </w:rPr>
        <w:t xml:space="preserve">INVESTOR EVALUATION REPORT</w:t>
      </w:r>
    </w:p>
    <w:p>
      <w:pPr>
        <w:shd w:fill="1A1A2E" w:val="clear"/>
        <w:spacing w:after="80" w:before="0"/>
        <w:jc w:val="center"/>
      </w:pPr>
      <w:r>
        <w:rPr>
          <w:rFonts w:ascii="Arial" w:cs="Arial" w:eastAsia="Arial" w:hAnsi="Arial"/>
          <w:color w:val="AABBEE"/>
          <w:sz w:val="26"/>
          <w:szCs w:val="26"/>
        </w:rPr>
        <w:t xml:space="preserve">CareerAI  ·  Product Roadmap 2026–2027</w:t>
      </w:r>
    </w:p>
    <w:p>
      <w:pPr>
        <w:shd w:fill="1A1A2E" w:val="clear"/>
        <w:spacing w:after="280" w:before="0"/>
        <w:jc w:val="center"/>
      </w:pPr>
      <w:r>
        <w:rPr>
          <w:rFonts w:ascii="Arial" w:cs="Arial" w:eastAsia="Arial" w:hAnsi="Arial"/>
          <w:i/>
          <w:iCs/>
          <w:color w:val="7788BB"/>
          <w:sz w:val="20"/>
          <w:szCs w:val="20"/>
        </w:rPr>
        <w:t xml:space="preserve">Prepared by: AI Venture Advisory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63946" w:sz="1"/>
              <w:left w:val="single" w:color="E63946" w:sz="1"/>
              <w:bottom w:val="single" w:color="E63946" w:sz="1"/>
              <w:right w:val="single" w:color="E63946" w:sz="1"/>
            </w:tcBorders>
            <w:shd w:fill="FDECEA"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OVERALL RATING</w:t>
            </w:r>
          </w:p>
          <w:p>
            <w:pPr>
              <w:jc w:val="center"/>
            </w:pPr>
            <w:r>
              <w:rPr>
                <w:rFonts w:ascii="Arial" w:cs="Arial" w:eastAsia="Arial" w:hAnsi="Arial"/>
                <w:b/>
                <w:bCs/>
                <w:color w:val="E63946"/>
                <w:sz w:val="36"/>
                <w:szCs w:val="36"/>
              </w:rPr>
              <w:t xml:space="preserve">5.5 / 10</w:t>
            </w:r>
          </w:p>
        </w:tc>
        <w:tc>
          <w:tcPr>
            <w:tcW w:type="dxa" w:w="3120"/>
            <w:tcBorders>
              <w:top w:val="single" w:color="1A1A2E" w:sz="1"/>
              <w:left w:val="single" w:color="1A1A2E" w:sz="1"/>
              <w:bottom w:val="single" w:color="1A1A2E" w:sz="1"/>
              <w:right w:val="single" w:color="1A1A2E" w:sz="1"/>
            </w:tcBorders>
            <w:shd w:fill="F0F4FF"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STAGE</w:t>
            </w:r>
          </w:p>
          <w:p>
            <w:pPr>
              <w:jc w:val="center"/>
            </w:pPr>
            <w:r>
              <w:rPr>
                <w:rFonts w:ascii="Arial" w:cs="Arial" w:eastAsia="Arial" w:hAnsi="Arial"/>
                <w:b/>
                <w:bCs/>
                <w:color w:val="1A1A2E"/>
                <w:sz w:val="36"/>
                <w:szCs w:val="36"/>
              </w:rPr>
              <w:t xml:space="preserve">Pre-Seed</w:t>
            </w:r>
          </w:p>
        </w:tc>
        <w:tc>
          <w:tcPr>
            <w:tcW w:type="dxa" w:w="3120"/>
            <w:tcBorders>
              <w:top w:val="single" w:color="CC8800" w:sz="1"/>
              <w:left w:val="single" w:color="CC8800" w:sz="1"/>
              <w:bottom w:val="single" w:color="CC8800" w:sz="1"/>
              <w:right w:val="single" w:color="CC8800" w:sz="1"/>
            </w:tcBorders>
            <w:shd w:fill="F0F4FF"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VERDICT</w:t>
            </w:r>
          </w:p>
          <w:p>
            <w:pPr>
              <w:jc w:val="center"/>
            </w:pPr>
            <w:r>
              <w:rPr>
                <w:rFonts w:ascii="Arial" w:cs="Arial" w:eastAsia="Arial" w:hAnsi="Arial"/>
                <w:b/>
                <w:bCs/>
                <w:color w:val="CC8800"/>
                <w:sz w:val="36"/>
                <w:szCs w:val="36"/>
              </w:rPr>
              <w:t xml:space="preserve">PROMISING
BUT PREMATURE</w:t>
            </w:r>
          </w:p>
        </w:tc>
      </w:tr>
    </w:tbl>
    <w:p>
      <w:pPr>
        <w:spacing w:after="0" w:before="360"/>
      </w:pPr>
    </w:p>
    <w:p>
      <w:pPr>
        <w:pStyle w:val="Heading1"/>
        <w:shd w:fill="1A1A2E" w:val="clear"/>
        <w:spacing w:after="160" w:before="360"/>
        <w:ind w:left="200" w:right="200"/>
      </w:pPr>
      <w:r>
        <w:rPr>
          <w:rFonts w:ascii="Arial" w:cs="Arial" w:eastAsia="Arial" w:hAnsi="Arial"/>
          <w:b/>
          <w:bCs/>
          <w:color w:val="FFFFFF"/>
          <w:sz w:val="36"/>
          <w:szCs w:val="36"/>
        </w:rPr>
        <w:t xml:space="preserve">1.  Executive Summary</w:t>
      </w:r>
    </w:p>
    <w:p>
      <w:pPr>
        <w:spacing w:after="60" w:before="60"/>
      </w:pPr>
      <w:r>
        <w:rPr>
          <w:rFonts w:ascii="Arial" w:cs="Arial" w:eastAsia="Arial" w:hAnsi="Arial"/>
          <w:color w:val="1A1A2E"/>
          <w:sz w:val="22"/>
          <w:szCs w:val="22"/>
        </w:rPr>
        <w:t xml:space="preserve">CareerAI is a pre-seed, pre-revenue, pre-team AI career platform targeting the UK job-search market with an end-to-end automation proposition — AI job matching, auto-apply, CV generation, interview coaching, salary intelligence, and recruiter warm-intros. The opportunity is real and the category is active. However, the roadmap reveals a company that is, at this moment, more idea than execution: the technical co-founder has not been hired, no code has shipped, and the 18-month plan attempts enterprise scale, international expansion, and Series A preparation simultaneously on a £500k–750k seed.</w:t>
      </w:r>
    </w:p>
    <w:p>
      <w:pPr>
        <w:spacing w:after="80" w:before="80"/>
      </w:pPr>
    </w:p>
    <w:p>
      <w:pPr>
        <w:spacing w:after="60" w:before="60"/>
      </w:pPr>
      <w:r>
        <w:rPr>
          <w:rFonts w:ascii="Arial" w:cs="Arial" w:eastAsia="Arial" w:hAnsi="Arial"/>
          <w:color w:val="1A1A2E"/>
          <w:sz w:val="22"/>
          <w:szCs w:val="22"/>
        </w:rPr>
        <w:t xml:space="preserve">From a VC diligence perspective, the strongest signals are market timing (AI-native job search is a validated category), competitive landscape awareness, and a sensible phasing concept. The critical gaps are team incompleteness, an under-capitalised raise for stated ambitions, absence of any user/revenue validation, and a competitive moat that is described entirely through feature parity rather than proprietary data, network effects, or switching costs.</w:t>
      </w:r>
    </w:p>
    <w:p>
      <w:pPr>
        <w:spacing w:after="80" w:before="80"/>
      </w:pPr>
    </w:p>
    <w:p>
      <w:pPr>
        <w:spacing w:after="60" w:before="60"/>
      </w:pPr>
      <w:r>
        <w:rPr>
          <w:rFonts w:ascii="Arial" w:cs="Arial" w:eastAsia="Arial" w:hAnsi="Arial"/>
          <w:color w:val="1A1A2E"/>
          <w:sz w:val="22"/>
          <w:szCs w:val="22"/>
        </w:rPr>
        <w:t xml:space="preserve">Investment readiness is LOW. The roadmap is a credible vision document but not yet a fundable execution plan.</w:t>
      </w:r>
    </w:p>
    <w:p>
      <w:pPr>
        <w:spacing w:after="0" w:before="240"/>
      </w:pPr>
    </w:p>
    <w:p>
      <w:pPr>
        <w:pStyle w:val="Heading1"/>
        <w:shd w:fill="1A1A2E" w:val="clear"/>
        <w:spacing w:after="160" w:before="360"/>
        <w:ind w:left="200" w:right="200"/>
      </w:pPr>
      <w:r>
        <w:rPr>
          <w:rFonts w:ascii="Arial" w:cs="Arial" w:eastAsia="Arial" w:hAnsi="Arial"/>
          <w:b/>
          <w:bCs/>
          <w:color w:val="FFFFFF"/>
          <w:sz w:val="36"/>
          <w:szCs w:val="36"/>
        </w:rPr>
        <w:t xml:space="preserve">2.  Dimension-by-Dimension Evaluation</w:t>
      </w:r>
    </w:p>
    <w:p>
      <w:pPr>
        <w:spacing w:after="120" w:before="120"/>
      </w:pPr>
      <w:r>
        <w:rPr>
          <w:rFonts w:ascii="Arial" w:cs="Arial" w:eastAsia="Arial" w:hAnsi="Arial"/>
          <w:i/>
          <w:iCs/>
          <w:color w:val="555577"/>
          <w:sz w:val="20"/>
          <w:szCs w:val="20"/>
        </w:rPr>
        <w:t xml:space="preserve">Scores are out of 10. Green ≥ 7, Amber 5–6, Red ≤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5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Summary Assessment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Market Opportunity</w:t>
            </w:r>
          </w:p>
        </w:tc>
        <w:tc>
          <w:tcPr>
            <w:tcW w:type="dxa" w:w="1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7/10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Large TAM cited ($28B) but UK-first narrows near-term scope; market timing is genuinely strong.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Product Strategy</w:t>
            </w:r>
          </w:p>
        </w:tc>
        <w:tc>
          <w:tcPr>
            <w:tcW w:type="dxa" w:w="1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6/10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Breadth is ambitious; full-stack approach risks shallow execution across all features pre-PMF.</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Competitive Differentiation</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5/10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Feature parity matrix doesn't constitute a moat. Network effects and data advantages unexplained.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Go-to-Market Execution</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5/10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No CAC channel breakdown, no content/SEO/partnership detail. Growth plan is aspirational.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Technical Feasibility</w:t>
            </w:r>
          </w:p>
        </w:tc>
        <w:tc>
          <w:tcPr>
            <w:tcW w:type="dxa" w:w="1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6/10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Stack is sensible; Playwright-based auto-apply is a known liability with job boards.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Scalability Potential</w:t>
            </w:r>
          </w:p>
        </w:tc>
        <w:tc>
          <w:tcPr>
            <w:tcW w:type="dxa" w:w="1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7/10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B2B and university licence layers are intelligent multipliers if consumer base is established first.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Monetisation Strategy</w:t>
            </w:r>
          </w:p>
        </w:tc>
        <w:tc>
          <w:tcPr>
            <w:tcW w:type="dxa" w:w="1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6/10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Pricing is reasonable but paid tiers launch at Month 10 — too late relative to seed runway.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Hiring &amp; Ops Readiness</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3/10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No CTO/technical co-founder yet. This is the single most critical pre-seed gap.</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Milestone Realism</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4/10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Month 8 break-even alongside product build and growth is extremely optimistic on £500–750k.</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Capital Efficiency</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5/10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Budget allocation is defensible; but the seed ask is likely under-capitalised for stated ambitions.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Risk Exposure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5/10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Job board TOS risk acknowledged but mitigation is vague. Competitive risk from LinkedIn underweighted.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A1A2E"/>
                <w:sz w:val="20"/>
                <w:szCs w:val="20"/>
              </w:rPr>
              <w:t xml:space="preserve">Founder Judgment</w:t>
            </w:r>
          </w:p>
        </w:tc>
        <w:tc>
          <w:tcPr>
            <w:tcW w:type="dxa" w:w="1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color w:val="1A1A2E"/>
                <w:sz w:val="20"/>
                <w:szCs w:val="20"/>
              </w:rPr>
              <w:t xml:space="preserve">6/10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Sequencing logic is present; however, B2B and international before PMF signals premature ambition.</w:t>
            </w:r>
          </w:p>
        </w:tc>
      </w:tr>
    </w:tbl>
    <w:p>
      <w:pPr>
        <w:spacing w:after="0" w:before="360"/>
      </w:pPr>
    </w:p>
    <w:p>
      <w:pPr>
        <w:pStyle w:val="Heading1"/>
        <w:shd w:fill="1A1A2E" w:val="clear"/>
        <w:spacing w:after="160" w:before="360"/>
        <w:ind w:left="200" w:right="200"/>
      </w:pPr>
      <w:r>
        <w:rPr>
          <w:rFonts w:ascii="Arial" w:cs="Arial" w:eastAsia="Arial" w:hAnsi="Arial"/>
          <w:b/>
          <w:bCs/>
          <w:color w:val="FFFFFF"/>
          <w:sz w:val="36"/>
          <w:szCs w:val="36"/>
        </w:rPr>
        <w:t xml:space="preserve">3.  Detailed Strategic Analysis</w:t>
      </w:r>
    </w:p>
    <w:p>
      <w:pPr>
        <w:pStyle w:val="Heading2"/>
        <w:pBdr>
          <w:bottom w:val="single" w:color="E63946" w:sz="4" w:space="4"/>
        </w:pBdr>
        <w:spacing w:after="120" w:before="300"/>
      </w:pPr>
      <w:r>
        <w:rPr>
          <w:rFonts w:ascii="Arial" w:cs="Arial" w:eastAsia="Arial" w:hAnsi="Arial"/>
          <w:b/>
          <w:bCs/>
          <w:color w:val="1A1A2E"/>
          <w:sz w:val="28"/>
          <w:szCs w:val="28"/>
        </w:rPr>
        <w:t xml:space="preserve">3.1  Market Opportunity &amp; Timing</w:t>
      </w:r>
    </w:p>
    <w:p>
      <w:pPr>
        <w:spacing w:after="60" w:before="60"/>
      </w:pPr>
      <w:r>
        <w:rPr>
          <w:rFonts w:ascii="Arial" w:cs="Arial" w:eastAsia="Arial" w:hAnsi="Arial"/>
          <w:color w:val="1A1A2E"/>
          <w:sz w:val="22"/>
          <w:szCs w:val="22"/>
        </w:rPr>
        <w:t xml:space="preserve">The macro narrative is legitimate. A $28B global career services TAM, 250M+ job seekers, and structural inefficiencies in ATS-driven hiring pipelines create real conditions for an AI-native disruptor. Market timing is arguably the strongest element of this deck — the Cambrian explosion of LLM capability has made the core product technically viable at consumer price points for the first time.</w:t>
      </w:r>
    </w:p>
    <w:p>
      <w:pPr>
        <w:spacing w:after="60" w:before="60"/>
      </w:pPr>
      <w:r>
        <w:rPr>
          <w:rFonts w:ascii="Arial" w:cs="Arial" w:eastAsia="Arial" w:hAnsi="Arial"/>
          <w:color w:val="1A1A2E"/>
          <w:sz w:val="22"/>
          <w:szCs w:val="22"/>
        </w:rPr>
        <w:t xml:space="preserve">However, the deck conflates global TAM with serviceable addressable market (SAM). CareerAI's go-to-market is explicitly UK-first; the realistic near-term SAM is closer to £1.5–2B. This doesn't kill the thesis, but conflating $28B TAM with seed-stage projections signals unsophisticated financial framing to experienced VCs.</w:t>
      </w:r>
    </w:p>
    <w:p>
      <w:pPr>
        <w:spacing w:after="60" w:before="60"/>
      </w:pPr>
      <w:r>
        <w:rPr>
          <w:rFonts w:ascii="Arial" w:cs="Arial" w:eastAsia="Arial" w:hAnsi="Arial"/>
          <w:color w:val="1A1A2E"/>
          <w:sz w:val="22"/>
          <w:szCs w:val="22"/>
        </w:rPr>
        <w:t xml:space="preserve">The 'broken job search' framing is also heavily validated by existing players — LinkedIn, Indeed, and a growing cohort of AI-native startups including the two direct competitors named. This means the market signal is strong, but the window for differentiation is closing.</w:t>
      </w:r>
    </w:p>
    <w:p>
      <w:pPr>
        <w:pStyle w:val="Heading2"/>
        <w:pBdr>
          <w:bottom w:val="single" w:color="E63946" w:sz="4" w:space="4"/>
        </w:pBdr>
        <w:spacing w:after="120" w:before="300"/>
      </w:pPr>
      <w:r>
        <w:rPr>
          <w:rFonts w:ascii="Arial" w:cs="Arial" w:eastAsia="Arial" w:hAnsi="Arial"/>
          <w:b/>
          <w:bCs/>
          <w:color w:val="1A1A2E"/>
          <w:sz w:val="28"/>
          <w:szCs w:val="28"/>
        </w:rPr>
        <w:t xml:space="preserve">3.2  Product Strategy</w:t>
      </w:r>
    </w:p>
    <w:p>
      <w:pPr>
        <w:spacing w:after="60" w:before="60"/>
      </w:pPr>
      <w:r>
        <w:rPr>
          <w:rFonts w:ascii="Arial" w:cs="Arial" w:eastAsia="Arial" w:hAnsi="Arial"/>
          <w:color w:val="1A1A2E"/>
          <w:sz w:val="22"/>
          <w:szCs w:val="22"/>
        </w:rPr>
        <w:t xml:space="preserve">The full-stack vision — matching, auto-apply, CV gen, interview coach, salary intel, recruiter intros — is coherent and consumer-friendly as a narrative. It maps to the complete job-seeker journey, which is intellectually satisfying.</w:t>
      </w:r>
    </w:p>
    <w:p>
      <w:pPr>
        <w:spacing w:after="60" w:before="60"/>
      </w:pPr>
      <w:r>
        <w:rPr>
          <w:rFonts w:ascii="Arial" w:cs="Arial" w:eastAsia="Arial" w:hAnsi="Arial"/>
          <w:color w:val="1A1A2E"/>
          <w:sz w:val="22"/>
          <w:szCs w:val="22"/>
        </w:rPr>
        <w:t xml:space="preserve">The strategic risk is severe feature sprawl at the seed stage. Six core product surfaces must all work well simultaneously for the value proposition to hold. Each individual feature (e.g., auto-apply, interview coaching) is itself a full product with meaningful technical depth. Trying to build all six to production quality on a £500–750k seed with no CTO in place is not credible execution.</w:t>
      </w:r>
    </w:p>
    <w:p>
      <w:pPr>
        <w:spacing w:after="60" w:before="60"/>
      </w:pPr>
      <w:r>
        <w:rPr>
          <w:rFonts w:ascii="Arial" w:cs="Arial" w:eastAsia="Arial" w:hAnsi="Arial"/>
          <w:color w:val="1A1A2E"/>
          <w:sz w:val="22"/>
          <w:szCs w:val="22"/>
        </w:rPr>
        <w:t xml:space="preserve">The smarter pre-PMF strategy would be to pick one killer feature — likely auto-apply or recruiter intros, whichever achieves the strongest measurable outcome (interviews secured) — validate retention around it, then layer adjacent features post-Series A.</w:t>
      </w:r>
    </w:p>
    <w:p>
      <w:pPr>
        <w:pStyle w:val="Heading2"/>
        <w:pBdr>
          <w:bottom w:val="single" w:color="E63946" w:sz="4" w:space="4"/>
        </w:pBdr>
        <w:spacing w:after="120" w:before="300"/>
      </w:pPr>
      <w:r>
        <w:rPr>
          <w:rFonts w:ascii="Arial" w:cs="Arial" w:eastAsia="Arial" w:hAnsi="Arial"/>
          <w:b/>
          <w:bCs/>
          <w:color w:val="1A1A2E"/>
          <w:sz w:val="28"/>
          <w:szCs w:val="28"/>
        </w:rPr>
        <w:t xml:space="preserve">3.3  Competitive Differentiation</w:t>
      </w:r>
    </w:p>
    <w:p>
      <w:pPr>
        <w:spacing w:after="60" w:before="60"/>
      </w:pPr>
      <w:r>
        <w:rPr>
          <w:rFonts w:ascii="Arial" w:cs="Arial" w:eastAsia="Arial" w:hAnsi="Arial"/>
          <w:color w:val="1A1A2E"/>
          <w:sz w:val="22"/>
          <w:szCs w:val="22"/>
        </w:rPr>
        <w:t xml:space="preserve">The competitive matrix on Slide 3 is the weakest analytical section of the deck. Feature parity is not a moat. The claim that CareerAI 'combines the best of both worlds' from Jack &amp; Jill and AIApply describes a copycat synthesis, not differentiation.</w:t>
      </w:r>
    </w:p>
    <w:p>
      <w:pPr>
        <w:spacing w:after="60" w:before="60"/>
      </w:pPr>
      <w:r>
        <w:rPr>
          <w:rFonts w:ascii="Arial" w:cs="Arial" w:eastAsia="Arial" w:hAnsi="Arial"/>
          <w:color w:val="1A1A2E"/>
          <w:sz w:val="22"/>
          <w:szCs w:val="22"/>
        </w:rPr>
        <w:t xml:space="preserve">The four differentiators listed ('Full stack, No app switch, B2B+B2C, UK first') are positioning claims, not structural advantages. The roadmap never explains: why CareerAI's matching data will be better than LinkedIn's after 10 years of graph data; what prevents Jack &amp; Jill from adding auto-apply; or why the recruiter network (10,000+ UK contacts promised by Month 7) is achievable or defensible.</w:t>
      </w:r>
    </w:p>
    <w:p>
      <w:pPr>
        <w:spacing w:after="60" w:before="60"/>
      </w:pPr>
      <w:r>
        <w:rPr>
          <w:rFonts w:ascii="Arial" w:cs="Arial" w:eastAsia="Arial" w:hAnsi="Arial"/>
          <w:color w:val="1A1A2E"/>
          <w:sz w:val="22"/>
          <w:szCs w:val="22"/>
        </w:rPr>
        <w:t xml:space="preserve">Real moats in this space come from proprietary employer-side data, exclusive recruiter relationships, or outcome-based reputation effects (e.g., verified placement rates). None of these are addressed in the roadmap.</w:t>
      </w:r>
    </w:p>
    <w:p>
      <w:pPr>
        <w:pStyle w:val="Heading2"/>
        <w:pBdr>
          <w:bottom w:val="single" w:color="E63946" w:sz="4" w:space="4"/>
        </w:pBdr>
        <w:spacing w:after="120" w:before="300"/>
      </w:pPr>
      <w:r>
        <w:rPr>
          <w:rFonts w:ascii="Arial" w:cs="Arial" w:eastAsia="Arial" w:hAnsi="Arial"/>
          <w:b/>
          <w:bCs/>
          <w:color w:val="1A1A2E"/>
          <w:sz w:val="28"/>
          <w:szCs w:val="28"/>
        </w:rPr>
        <w:t xml:space="preserve">3.4  Go-to-Market Execution</w:t>
      </w:r>
    </w:p>
    <w:p>
      <w:pPr>
        <w:spacing w:after="60" w:before="60"/>
      </w:pPr>
      <w:r>
        <w:rPr>
          <w:rFonts w:ascii="Arial" w:cs="Arial" w:eastAsia="Arial" w:hAnsi="Arial"/>
          <w:color w:val="1A1A2E"/>
          <w:sz w:val="22"/>
          <w:szCs w:val="22"/>
        </w:rPr>
        <w:t xml:space="preserve">The GTM section is dangerously thin. The targets — 500 beta users in Month 4, 10,000 registered users by Month 9 — are stated without a customer acquisition channel strategy. There is no mention of SEO, content marketing, paid social, partnership channels, influencer strategy, or referral mechanics. The £15 target CAC is aspirational but unsubstantiated without channel cost data.</w:t>
      </w:r>
    </w:p>
    <w:p>
      <w:pPr>
        <w:spacing w:after="60" w:before="60"/>
      </w:pPr>
      <w:r>
        <w:rPr>
          <w:rFonts w:ascii="Arial" w:cs="Arial" w:eastAsia="Arial" w:hAnsi="Arial"/>
          <w:color w:val="1A1A2E"/>
          <w:sz w:val="22"/>
          <w:szCs w:val="22"/>
        </w:rPr>
        <w:t xml:space="preserve">For a B2C consumer product targeting job seekers, the most effective organic channels are typically: career content creators on LinkedIn/TikTok, SEO around high-intent job search queries, Reddit communities (e.g., r/cscareerquestions), and university partnerships. None of these appear in the roadmap.</w:t>
      </w:r>
    </w:p>
    <w:p>
      <w:pPr>
        <w:spacing w:after="60" w:before="60"/>
      </w:pPr>
      <w:r>
        <w:rPr>
          <w:rFonts w:ascii="Arial" w:cs="Arial" w:eastAsia="Arial" w:hAnsi="Arial"/>
          <w:color w:val="1A1A2E"/>
          <w:sz w:val="22"/>
          <w:szCs w:val="22"/>
        </w:rPr>
        <w:t xml:space="preserve">The B2B GTM is similarly vague. 'University licences' by Month 12 requires an enterprise sales motion, dedicated headcount, procurement cycles, and compliance vetting — none of which are accounted for in the budget or hiring plan.</w:t>
      </w:r>
    </w:p>
    <w:p>
      <w:pPr>
        <w:pStyle w:val="Heading2"/>
        <w:pBdr>
          <w:bottom w:val="single" w:color="E63946" w:sz="4" w:space="4"/>
        </w:pBdr>
        <w:spacing w:after="120" w:before="300"/>
      </w:pPr>
      <w:r>
        <w:rPr>
          <w:rFonts w:ascii="Arial" w:cs="Arial" w:eastAsia="Arial" w:hAnsi="Arial"/>
          <w:b/>
          <w:bCs/>
          <w:color w:val="1A1A2E"/>
          <w:sz w:val="28"/>
          <w:szCs w:val="28"/>
        </w:rPr>
        <w:t xml:space="preserve">3.5  Technical Feasibility</w:t>
      </w:r>
    </w:p>
    <w:p>
      <w:pPr>
        <w:spacing w:after="60" w:before="60"/>
      </w:pPr>
      <w:r>
        <w:rPr>
          <w:rFonts w:ascii="Arial" w:cs="Arial" w:eastAsia="Arial" w:hAnsi="Arial"/>
          <w:color w:val="1A1A2E"/>
          <w:sz w:val="22"/>
          <w:szCs w:val="22"/>
        </w:rPr>
        <w:t xml:space="preserve">The stated tech stack (Node.js/FastAPI, PostgreSQL, Claude API, Playwright, React/Next.js) is competent and appropriate for an MVP. The choice of Claude API for content generation is sensible and will produce quality output.</w:t>
      </w:r>
    </w:p>
    <w:p>
      <w:pPr>
        <w:spacing w:after="60" w:before="60"/>
      </w:pPr>
      <w:r>
        <w:rPr>
          <w:rFonts w:ascii="Arial" w:cs="Arial" w:eastAsia="Arial" w:hAnsi="Arial"/>
          <w:color w:val="1A1A2E"/>
          <w:sz w:val="22"/>
          <w:szCs w:val="22"/>
        </w:rPr>
        <w:t xml:space="preserve">The existential technical risk is the Playwright-based auto-apply engine. Job boards — particularly LinkedIn and Indeed — actively detect and block automated browser sessions, CAPTCHA-solving bots, and stealth plugins. The history of companies in this space (LazyApply, Apply4Me, and others) shows that job board blocking is not a manageable risk but a near-certainty at scale. The mitigation proposed ('user-consented browser cookies, API partnerships') is insufficient: Indeed and LinkedIn have explicitly restricted API access for auto-apply use cases in their developer agreements.</w:t>
      </w:r>
    </w:p>
    <w:p>
      <w:pPr>
        <w:spacing w:after="60" w:before="60"/>
      </w:pPr>
      <w:r>
        <w:rPr>
          <w:rFonts w:ascii="Arial" w:cs="Arial" w:eastAsia="Arial" w:hAnsi="Arial"/>
          <w:color w:val="1A1A2E"/>
          <w:sz w:val="22"/>
          <w:szCs w:val="22"/>
        </w:rPr>
        <w:t xml:space="preserve">The &gt;80% match precision target within 6 weeks on cold data is optimistic. Preference models trained on swipe signals require thousands of labelled interactions per user to converge meaningfully. At 500 beta users, the training signal will be noisy.</w:t>
      </w:r>
    </w:p>
    <w:p>
      <w:pPr>
        <w:pStyle w:val="Heading2"/>
        <w:pBdr>
          <w:bottom w:val="single" w:color="E63946" w:sz="4" w:space="4"/>
        </w:pBdr>
        <w:spacing w:after="120" w:before="300"/>
      </w:pPr>
      <w:r>
        <w:rPr>
          <w:rFonts w:ascii="Arial" w:cs="Arial" w:eastAsia="Arial" w:hAnsi="Arial"/>
          <w:b/>
          <w:bCs/>
          <w:color w:val="1A1A2E"/>
          <w:sz w:val="28"/>
          <w:szCs w:val="28"/>
        </w:rPr>
        <w:t xml:space="preserve">3.6  Monetisation Strategy</w:t>
      </w:r>
    </w:p>
    <w:p>
      <w:pPr>
        <w:spacing w:after="60" w:before="60"/>
      </w:pPr>
      <w:r>
        <w:rPr>
          <w:rFonts w:ascii="Arial" w:cs="Arial" w:eastAsia="Arial" w:hAnsi="Arial"/>
          <w:color w:val="1A1A2E"/>
          <w:sz w:val="22"/>
          <w:szCs w:val="22"/>
        </w:rPr>
        <w:t xml:space="preserve">The three-tier pricing model (Free / £19 Pro / £49 Premium) is well-structured and market-competitive. The freemium hook (5 matches/day, 1 CV template) is appropriately restrictive to drive conversion. The 'Most Popular' framing on Premium at £49 is aspirational — in practice, B2C SaaS in this category typically sees the majority of paid users at the lowest paid tier.</w:t>
      </w:r>
    </w:p>
    <w:p>
      <w:pPr>
        <w:spacing w:after="60" w:before="60"/>
      </w:pPr>
      <w:r>
        <w:rPr>
          <w:rFonts w:ascii="Arial" w:cs="Arial" w:eastAsia="Arial" w:hAnsi="Arial"/>
          <w:color w:val="1A1A2E"/>
          <w:sz w:val="22"/>
          <w:szCs w:val="22"/>
        </w:rPr>
        <w:t xml:space="preserve">The critical flaw is timing: paid tiers launch at Month 10 per the roadmap. With a seed runway of £500–750k and break-even targeted at Month 8, the company must achieve meaningful MRR from a free product before monetisation is even live. The £25k MRR target by Month 9 (pre-paid tier launch) implies either B2B revenue or some alternative monetisation mechanism that isn't explained.</w:t>
      </w:r>
    </w:p>
    <w:p>
      <w:pPr>
        <w:spacing w:after="60" w:before="60"/>
      </w:pPr>
      <w:r>
        <w:rPr>
          <w:rFonts w:ascii="Arial" w:cs="Arial" w:eastAsia="Arial" w:hAnsi="Arial"/>
          <w:color w:val="1A1A2E"/>
          <w:sz w:val="22"/>
          <w:szCs w:val="22"/>
        </w:rPr>
        <w:t xml:space="preserve">The B2B employer listings and recruiter tools opportunity is strategically sound and higher-margin than B2C subscriptions. However, B2B SaaS has an entirely different GTM motion and will require sales headcount that the budget doesn't support.</w:t>
      </w:r>
    </w:p>
    <w:p>
      <w:pPr>
        <w:pStyle w:val="Heading2"/>
        <w:pBdr>
          <w:bottom w:val="single" w:color="E63946" w:sz="4" w:space="4"/>
        </w:pBdr>
        <w:spacing w:after="120" w:before="300"/>
      </w:pPr>
      <w:r>
        <w:rPr>
          <w:rFonts w:ascii="Arial" w:cs="Arial" w:eastAsia="Arial" w:hAnsi="Arial"/>
          <w:b/>
          <w:bCs/>
          <w:color w:val="1A1A2E"/>
          <w:sz w:val="28"/>
          <w:szCs w:val="28"/>
        </w:rPr>
        <w:t xml:space="preserve">3.7  Hiring &amp; Operational Readiness</w:t>
      </w:r>
    </w:p>
    <w:p>
      <w:pPr>
        <w:spacing w:after="60" w:before="60"/>
      </w:pPr>
      <w:r>
        <w:rPr>
          <w:rFonts w:ascii="Arial" w:cs="Arial" w:eastAsia="Arial" w:hAnsi="Arial"/>
          <w:color w:val="1A1A2E"/>
          <w:sz w:val="22"/>
          <w:szCs w:val="22"/>
        </w:rPr>
        <w:t xml:space="preserve">This is the single most critical red flag in the entire deck. Slide 10 explicitly lists 'Finalise technical co-founder / CTO hire' as the first next step. A company that has not secured its technical lead before raising seed funding — and whose entire value proposition rests on AI/ML infrastructure, browser automation, and a complex multi-surface product — is in a fundamentally precarious position.</w:t>
      </w:r>
    </w:p>
    <w:p>
      <w:pPr>
        <w:spacing w:after="60" w:before="60"/>
      </w:pPr>
      <w:r>
        <w:rPr>
          <w:rFonts w:ascii="Arial" w:cs="Arial" w:eastAsia="Arial" w:hAnsi="Arial"/>
          <w:color w:val="1A1A2E"/>
          <w:sz w:val="22"/>
          <w:szCs w:val="22"/>
        </w:rPr>
        <w:t xml:space="preserve">No budget line for engineering headcount beyond 'Engineering 45%' of seed. On £500k, 45% is £225k — sufficient for one senior engineer in London for approximately 18 months, or two mid-level engineers. Building the described product (matching engine, auto-apply, CV gen, interview coach, mobile apps, B2B tools) with 1–2 engineers is not feasible.</w:t>
      </w:r>
    </w:p>
    <w:p>
      <w:pPr>
        <w:pStyle w:val="Heading2"/>
        <w:pBdr>
          <w:bottom w:val="single" w:color="E63946" w:sz="4" w:space="4"/>
        </w:pBdr>
        <w:spacing w:after="120" w:before="300"/>
      </w:pPr>
      <w:r>
        <w:rPr>
          <w:rFonts w:ascii="Arial" w:cs="Arial" w:eastAsia="Arial" w:hAnsi="Arial"/>
          <w:b/>
          <w:bCs/>
          <w:color w:val="1A1A2E"/>
          <w:sz w:val="28"/>
          <w:szCs w:val="28"/>
        </w:rPr>
        <w:t xml:space="preserve">3.8  Milestone Realism</w:t>
      </w:r>
    </w:p>
    <w:p>
      <w:pPr>
        <w:spacing w:after="60" w:before="60"/>
      </w:pPr>
      <w:r>
        <w:rPr>
          <w:rFonts w:ascii="Arial" w:cs="Arial" w:eastAsia="Arial" w:hAnsi="Arial"/>
          <w:color w:val="1A1A2E"/>
          <w:sz w:val="22"/>
          <w:szCs w:val="22"/>
        </w:rPr>
        <w:t xml:space="preserve">The milestone sequence has logical structure but the timelines are aggressive to the point of being aspirational rather than operational. Key concerns are:</w:t>
      </w:r>
    </w:p>
    <w:p>
      <w:pPr>
        <w:pStyle w:val="ListParagraph"/>
        <w:numPr>
          <w:ilvl w:val="0"/>
          <w:numId w:val="2"/>
        </w:numPr>
        <w:spacing w:after="40" w:before="40"/>
      </w:pPr>
      <w:r>
        <w:rPr>
          <w:rFonts w:ascii="Arial" w:cs="Arial" w:eastAsia="Arial" w:hAnsi="Arial"/>
          <w:color w:val="1A1A2E"/>
          <w:sz w:val="22"/>
          <w:szCs w:val="22"/>
        </w:rPr>
        <w:t xml:space="preserve">Month 8 break-even requires meaningful paying users before paid tiers are live (Month 10) — these two milestones are mutually contradictory as written.</w:t>
      </w:r>
    </w:p>
    <w:p>
      <w:pPr>
        <w:pStyle w:val="ListParagraph"/>
        <w:numPr>
          <w:ilvl w:val="0"/>
          <w:numId w:val="2"/>
        </w:numPr>
        <w:spacing w:after="40" w:before="40"/>
      </w:pPr>
      <w:r>
        <w:rPr>
          <w:rFonts w:ascii="Arial" w:cs="Arial" w:eastAsia="Arial" w:hAnsi="Arial"/>
          <w:color w:val="1A1A2E"/>
          <w:sz w:val="22"/>
          <w:szCs w:val="22"/>
        </w:rPr>
        <w:t xml:space="preserve">Building 6 product surfaces + mobile apps + B2B tools + recruiter network + Series A prep in 18 months with a sub-£1M raise and no CTO is not a plan — it is a wish list.</w:t>
      </w:r>
    </w:p>
    <w:p>
      <w:pPr>
        <w:pStyle w:val="ListParagraph"/>
        <w:numPr>
          <w:ilvl w:val="0"/>
          <w:numId w:val="2"/>
        </w:numPr>
        <w:spacing w:after="40" w:before="40"/>
      </w:pPr>
      <w:r>
        <w:rPr>
          <w:rFonts w:ascii="Arial" w:cs="Arial" w:eastAsia="Arial" w:hAnsi="Arial"/>
          <w:color w:val="1A1A2E"/>
          <w:sz w:val="22"/>
          <w:szCs w:val="22"/>
        </w:rPr>
        <w:t xml:space="preserve">The 10,000-recruiter network by Month 7 is a significant business development task that implies a dedicated BD hire with a pre-existing relationship base. This person doesn't appear in the budget.</w:t>
      </w:r>
    </w:p>
    <w:p>
      <w:pPr>
        <w:pStyle w:val="ListParagraph"/>
        <w:numPr>
          <w:ilvl w:val="0"/>
          <w:numId w:val="2"/>
        </w:numPr>
        <w:spacing w:after="40" w:before="40"/>
      </w:pPr>
      <w:r>
        <w:rPr>
          <w:rFonts w:ascii="Arial" w:cs="Arial" w:eastAsia="Arial" w:hAnsi="Arial"/>
          <w:color w:val="1A1A2E"/>
          <w:sz w:val="22"/>
          <w:szCs w:val="22"/>
        </w:rPr>
        <w:t xml:space="preserve">The 35% weekly active rate target is high for a job-search tool (which is inherently episodic). Users are active during job searches, not continuously. This metric may be misleading even if achieved.</w:t>
      </w:r>
    </w:p>
    <w:p>
      <w:pPr>
        <w:pStyle w:val="Heading2"/>
        <w:pBdr>
          <w:bottom w:val="single" w:color="E63946" w:sz="4" w:space="4"/>
        </w:pBdr>
        <w:spacing w:after="120" w:before="300"/>
      </w:pPr>
      <w:r>
        <w:rPr>
          <w:rFonts w:ascii="Arial" w:cs="Arial" w:eastAsia="Arial" w:hAnsi="Arial"/>
          <w:b/>
          <w:bCs/>
          <w:color w:val="1A1A2E"/>
          <w:sz w:val="28"/>
          <w:szCs w:val="28"/>
        </w:rPr>
        <w:t xml:space="preserve">3.9  Capital Efficiency &amp; Fundraising</w:t>
      </w:r>
    </w:p>
    <w:p>
      <w:pPr>
        <w:spacing w:after="60" w:before="60"/>
      </w:pPr>
      <w:r>
        <w:rPr>
          <w:rFonts w:ascii="Arial" w:cs="Arial" w:eastAsia="Arial" w:hAnsi="Arial"/>
          <w:color w:val="1A1A2E"/>
          <w:sz w:val="22"/>
          <w:szCs w:val="22"/>
        </w:rPr>
        <w:t xml:space="preserve">The £500k–750k seed ask is the most confusing element of the financial plan. The roadmap describes:</w:t>
      </w:r>
    </w:p>
    <w:p>
      <w:pPr>
        <w:pStyle w:val="ListParagraph"/>
        <w:numPr>
          <w:ilvl w:val="0"/>
          <w:numId w:val="2"/>
        </w:numPr>
        <w:spacing w:after="40" w:before="40"/>
      </w:pPr>
      <w:r>
        <w:rPr>
          <w:rFonts w:ascii="Arial" w:cs="Arial" w:eastAsia="Arial" w:hAnsi="Arial"/>
          <w:color w:val="1A1A2E"/>
          <w:sz w:val="22"/>
          <w:szCs w:val="22"/>
        </w:rPr>
        <w:t xml:space="preserve">6 distinct product surfaces built to production quality</w:t>
      </w:r>
    </w:p>
    <w:p>
      <w:pPr>
        <w:pStyle w:val="ListParagraph"/>
        <w:numPr>
          <w:ilvl w:val="0"/>
          <w:numId w:val="2"/>
        </w:numPr>
        <w:spacing w:after="40" w:before="40"/>
      </w:pPr>
      <w:r>
        <w:rPr>
          <w:rFonts w:ascii="Arial" w:cs="Arial" w:eastAsia="Arial" w:hAnsi="Arial"/>
          <w:color w:val="1A1A2E"/>
          <w:sz w:val="22"/>
          <w:szCs w:val="22"/>
        </w:rPr>
        <w:t xml:space="preserve">iOS and Android mobile apps</w:t>
      </w:r>
    </w:p>
    <w:p>
      <w:pPr>
        <w:pStyle w:val="ListParagraph"/>
        <w:numPr>
          <w:ilvl w:val="0"/>
          <w:numId w:val="2"/>
        </w:numPr>
        <w:spacing w:after="40" w:before="40"/>
      </w:pPr>
      <w:r>
        <w:rPr>
          <w:rFonts w:ascii="Arial" w:cs="Arial" w:eastAsia="Arial" w:hAnsi="Arial"/>
          <w:color w:val="1A1A2E"/>
          <w:sz w:val="22"/>
          <w:szCs w:val="22"/>
        </w:rPr>
        <w:t xml:space="preserve">10,000+ recruiter network development</w:t>
      </w:r>
    </w:p>
    <w:p>
      <w:pPr>
        <w:pStyle w:val="ListParagraph"/>
        <w:numPr>
          <w:ilvl w:val="0"/>
          <w:numId w:val="2"/>
        </w:numPr>
        <w:spacing w:after="40" w:before="40"/>
      </w:pPr>
      <w:r>
        <w:rPr>
          <w:rFonts w:ascii="Arial" w:cs="Arial" w:eastAsia="Arial" w:hAnsi="Arial"/>
          <w:color w:val="1A1A2E"/>
          <w:sz w:val="22"/>
          <w:szCs w:val="22"/>
        </w:rPr>
        <w:t xml:space="preserve">10,000 registered users acquired at £15 CAC (implying £150k in marketing alone)</w:t>
      </w:r>
    </w:p>
    <w:p>
      <w:pPr>
        <w:pStyle w:val="ListParagraph"/>
        <w:numPr>
          <w:ilvl w:val="0"/>
          <w:numId w:val="2"/>
        </w:numPr>
        <w:spacing w:after="40" w:before="40"/>
      </w:pPr>
      <w:r>
        <w:rPr>
          <w:rFonts w:ascii="Arial" w:cs="Arial" w:eastAsia="Arial" w:hAnsi="Arial"/>
          <w:color w:val="1A1A2E"/>
          <w:sz w:val="22"/>
          <w:szCs w:val="22"/>
        </w:rPr>
        <w:t xml:space="preserve">B2B product development and university partnership sales</w:t>
      </w:r>
    </w:p>
    <w:p>
      <w:pPr>
        <w:pStyle w:val="ListParagraph"/>
        <w:numPr>
          <w:ilvl w:val="0"/>
          <w:numId w:val="2"/>
        </w:numPr>
        <w:spacing w:after="40" w:before="40"/>
      </w:pPr>
      <w:r>
        <w:rPr>
          <w:rFonts w:ascii="Arial" w:cs="Arial" w:eastAsia="Arial" w:hAnsi="Arial"/>
          <w:color w:val="1A1A2E"/>
          <w:sz w:val="22"/>
          <w:szCs w:val="22"/>
        </w:rPr>
        <w:t xml:space="preserve">Series A preparation by Month 18</w:t>
      </w:r>
    </w:p>
    <w:p>
      <w:pPr>
        <w:spacing w:after="60" w:before="60"/>
      </w:pPr>
      <w:r>
        <w:rPr>
          <w:rFonts w:ascii="Arial" w:cs="Arial" w:eastAsia="Arial" w:hAnsi="Arial"/>
          <w:color w:val="1A1A2E"/>
          <w:sz w:val="22"/>
          <w:szCs w:val="22"/>
        </w:rPr>
        <w:t xml:space="preserve">Taken together, these ambitions require £2–4M, not £500–750k. The deck's financial projections suggest either the founders have not stress-tested their cost model, or they are planning a bridge/pre-seed round before the full seed — which should be made explicit.</w:t>
      </w:r>
    </w:p>
    <w:p>
      <w:pPr>
        <w:spacing w:after="60" w:before="60"/>
      </w:pPr>
      <w:r>
        <w:rPr>
          <w:rFonts w:ascii="Arial" w:cs="Arial" w:eastAsia="Arial" w:hAnsi="Arial"/>
          <w:color w:val="1A1A2E"/>
          <w:sz w:val="22"/>
          <w:szCs w:val="22"/>
        </w:rPr>
        <w:t xml:space="preserve">The 8:1 LTV:CAC ratio is healthy if achievable, but depends entirely on the assumed LTV (presumably based on 6–12 month subscription durations) for which no churn data exists.</w:t>
      </w:r>
    </w:p>
    <w:p>
      <w:pPr>
        <w:spacing w:after="0" w:before="240"/>
      </w:pPr>
    </w:p>
    <w:p>
      <w:pPr>
        <w:pStyle w:val="Heading1"/>
        <w:shd w:fill="1A1A2E" w:val="clear"/>
        <w:spacing w:after="160" w:before="360"/>
        <w:ind w:left="200" w:right="200"/>
      </w:pPr>
      <w:r>
        <w:rPr>
          <w:rFonts w:ascii="Arial" w:cs="Arial" w:eastAsia="Arial" w:hAnsi="Arial"/>
          <w:b/>
          <w:bCs/>
          <w:color w:val="FFFFFF"/>
          <w:sz w:val="36"/>
          <w:szCs w:val="36"/>
        </w:rPr>
        <w:t xml:space="preserve">4.  Red Flags</w:t>
      </w:r>
    </w:p>
    <w:p>
      <w:pPr>
        <w:shd w:fill="FDECEA" w:val="clear"/>
        <w:spacing w:after="80" w:before="80"/>
        <w:ind w:left="200" w:right="200"/>
      </w:pPr>
      <w:r>
        <w:rPr>
          <w:rFonts w:ascii="Arial" w:cs="Arial" w:eastAsia="Arial" w:hAnsi="Arial"/>
          <w:color w:val="990000"/>
          <w:sz w:val="21"/>
          <w:szCs w:val="21"/>
        </w:rPr>
        <w:t xml:space="preserve">⚠  CRITICAL: No technical co-founder or CTO. The entire product thesis is technical. This is a pre-seed dealbreaker for most institutional investors.</w:t>
      </w:r>
    </w:p>
    <w:p>
      <w:pPr>
        <w:spacing w:after="0" w:before="60"/>
      </w:pPr>
    </w:p>
    <w:p>
      <w:pPr>
        <w:shd w:fill="FDECEA" w:val="clear"/>
        <w:spacing w:after="80" w:before="80"/>
        <w:ind w:left="200" w:right="200"/>
      </w:pPr>
      <w:r>
        <w:rPr>
          <w:rFonts w:ascii="Arial" w:cs="Arial" w:eastAsia="Arial" w:hAnsi="Arial"/>
          <w:color w:val="990000"/>
          <w:sz w:val="21"/>
          <w:szCs w:val="21"/>
        </w:rPr>
        <w:t xml:space="preserve">⚠  CRITICAL: Auto-apply via Playwright violates LinkedIn and Indeed ToS and is near-certain to be blocked at scale. No credible mitigation is presented.</w:t>
      </w:r>
    </w:p>
    <w:p>
      <w:pPr>
        <w:spacing w:after="0" w:before="60"/>
      </w:pPr>
    </w:p>
    <w:p>
      <w:pPr>
        <w:shd w:fill="FDECEA" w:val="clear"/>
        <w:spacing w:after="80" w:before="80"/>
        <w:ind w:left="200" w:right="200"/>
      </w:pPr>
      <w:r>
        <w:rPr>
          <w:rFonts w:ascii="Arial" w:cs="Arial" w:eastAsia="Arial" w:hAnsi="Arial"/>
          <w:color w:val="990000"/>
          <w:sz w:val="21"/>
          <w:szCs w:val="21"/>
        </w:rPr>
        <w:t xml:space="preserve">⚠  HIGH: Break-even at Month 8 is contradicted by paid tier launch at Month 10. The financial model is internally inconsistent.</w:t>
      </w:r>
    </w:p>
    <w:p>
      <w:pPr>
        <w:spacing w:after="0" w:before="60"/>
      </w:pPr>
    </w:p>
    <w:p>
      <w:pPr>
        <w:shd w:fill="FDECEA" w:val="clear"/>
        <w:spacing w:after="80" w:before="80"/>
        <w:ind w:left="200" w:right="200"/>
      </w:pPr>
      <w:r>
        <w:rPr>
          <w:rFonts w:ascii="Arial" w:cs="Arial" w:eastAsia="Arial" w:hAnsi="Arial"/>
          <w:color w:val="990000"/>
          <w:sz w:val="21"/>
          <w:szCs w:val="21"/>
        </w:rPr>
        <w:t xml:space="preserve">⚠  HIGH: Seed ask of £500–750k is materially under-capitalised for the described 18-month plan. This signals either unrealistic scope or an unmodelled cost structure.</w:t>
      </w:r>
    </w:p>
    <w:p>
      <w:pPr>
        <w:spacing w:after="0" w:before="60"/>
      </w:pPr>
    </w:p>
    <w:p>
      <w:pPr>
        <w:shd w:fill="FDECEA" w:val="clear"/>
        <w:spacing w:after="80" w:before="80"/>
        <w:ind w:left="200" w:right="200"/>
      </w:pPr>
      <w:r>
        <w:rPr>
          <w:rFonts w:ascii="Arial" w:cs="Arial" w:eastAsia="Arial" w:hAnsi="Arial"/>
          <w:color w:val="990000"/>
          <w:sz w:val="21"/>
          <w:szCs w:val="21"/>
        </w:rPr>
        <w:t xml:space="preserve">⚠  HIGH: No moat. The competitive differentiation section describes feature parity, not structural advantage. A feature can be copied; a data network cannot.</w:t>
      </w:r>
    </w:p>
    <w:p>
      <w:pPr>
        <w:spacing w:after="0" w:before="60"/>
      </w:pPr>
    </w:p>
    <w:p>
      <w:pPr>
        <w:shd w:fill="FDECEA" w:val="clear"/>
        <w:spacing w:after="80" w:before="80"/>
        <w:ind w:left="200" w:right="200"/>
      </w:pPr>
      <w:r>
        <w:rPr>
          <w:rFonts w:ascii="Arial" w:cs="Arial" w:eastAsia="Arial" w:hAnsi="Arial"/>
          <w:color w:val="AA4400"/>
          <w:sz w:val="21"/>
          <w:szCs w:val="21"/>
        </w:rPr>
        <w:t xml:space="preserve">⚠  MEDIUM: Zero user validation. No waitlist, no beta signups, no letters of intent from employers or universities. There is no evidence of demand beyond macro market statistics.</w:t>
      </w:r>
    </w:p>
    <w:p>
      <w:pPr>
        <w:spacing w:after="0" w:before="60"/>
      </w:pPr>
    </w:p>
    <w:p>
      <w:pPr>
        <w:shd w:fill="FDECEA" w:val="clear"/>
        <w:spacing w:after="80" w:before="80"/>
        <w:ind w:left="200" w:right="200"/>
      </w:pPr>
      <w:r>
        <w:rPr>
          <w:rFonts w:ascii="Arial" w:cs="Arial" w:eastAsia="Arial" w:hAnsi="Arial"/>
          <w:color w:val="AA4400"/>
          <w:sz w:val="21"/>
          <w:szCs w:val="21"/>
        </w:rPr>
        <w:t xml:space="preserve">⚠  MEDIUM: No GTM channel strategy. 10,000 users by Month 9 with no CAC channel detail is not a growth plan — it is a growth target.</w:t>
      </w:r>
    </w:p>
    <w:p>
      <w:pPr>
        <w:spacing w:after="0" w:before="60"/>
      </w:pPr>
    </w:p>
    <w:p>
      <w:pPr>
        <w:shd w:fill="FDECEA" w:val="clear"/>
        <w:spacing w:after="80" w:before="80"/>
        <w:ind w:left="200" w:right="200"/>
      </w:pPr>
      <w:r>
        <w:rPr>
          <w:rFonts w:ascii="Arial" w:cs="Arial" w:eastAsia="Arial" w:hAnsi="Arial"/>
          <w:color w:val="AA4400"/>
          <w:sz w:val="21"/>
          <w:szCs w:val="21"/>
        </w:rPr>
        <w:t xml:space="preserve">⚠  MEDIUM: The competitive risk from LinkedIn is rated 'Low' — this is a significant misjudgement. LinkedIn has 900M+ users, job board data, recruiter relationships, and is investing heavily in AI-native features.</w:t>
      </w:r>
    </w:p>
    <w:p>
      <w:pPr>
        <w:spacing w:after="0" w:before="240"/>
      </w:pPr>
    </w:p>
    <w:p>
      <w:pPr>
        <w:pStyle w:val="Heading1"/>
        <w:shd w:fill="1A1A2E" w:val="clear"/>
        <w:spacing w:after="160" w:before="360"/>
        <w:ind w:left="200" w:right="200"/>
      </w:pPr>
      <w:r>
        <w:rPr>
          <w:rFonts w:ascii="Arial" w:cs="Arial" w:eastAsia="Arial" w:hAnsi="Arial"/>
          <w:b/>
          <w:bCs/>
          <w:color w:val="FFFFFF"/>
          <w:sz w:val="36"/>
          <w:szCs w:val="36"/>
        </w:rPr>
        <w:t xml:space="preserve">5.  Green Flags</w:t>
      </w:r>
    </w:p>
    <w:p>
      <w:pPr>
        <w:shd w:fill="E6F4EA" w:val="clear"/>
        <w:spacing w:after="80" w:before="80"/>
        <w:ind w:left="200" w:right="200"/>
      </w:pPr>
      <w:r>
        <w:rPr>
          <w:rFonts w:ascii="Arial" w:cs="Arial" w:eastAsia="Arial" w:hAnsi="Arial"/>
          <w:color w:val="1A5C1A"/>
          <w:sz w:val="21"/>
          <w:szCs w:val="21"/>
        </w:rPr>
        <w:t xml:space="preserve">✓  STRONG: Market timing is genuinely excellent. AI-native job search is a proven category (Jack &amp; Jill, AIApply, Panna AI), the consumer pain point is acute and universal, and LLM capability makes the core product viable today.</w:t>
      </w:r>
    </w:p>
    <w:p>
      <w:pPr>
        <w:spacing w:after="0" w:before="60"/>
      </w:pPr>
    </w:p>
    <w:p>
      <w:pPr>
        <w:shd w:fill="E6F4EA" w:val="clear"/>
        <w:spacing w:after="80" w:before="80"/>
        <w:ind w:left="200" w:right="200"/>
      </w:pPr>
      <w:r>
        <w:rPr>
          <w:rFonts w:ascii="Arial" w:cs="Arial" w:eastAsia="Arial" w:hAnsi="Arial"/>
          <w:color w:val="1A5C1A"/>
          <w:sz w:val="21"/>
          <w:szCs w:val="21"/>
        </w:rPr>
        <w:t xml:space="preserve">✓  STRONG: The B2B revenue layer (employer listings, recruiter tools, university licences) is a sophisticated strategic addition that could meaningfully de-risk the B2C freemium model if sequenced correctly.</w:t>
      </w:r>
    </w:p>
    <w:p>
      <w:pPr>
        <w:spacing w:after="0" w:before="60"/>
      </w:pPr>
    </w:p>
    <w:p>
      <w:pPr>
        <w:shd w:fill="E6F4EA" w:val="clear"/>
        <w:spacing w:after="80" w:before="80"/>
        <w:ind w:left="200" w:right="200"/>
      </w:pPr>
      <w:r>
        <w:rPr>
          <w:rFonts w:ascii="Arial" w:cs="Arial" w:eastAsia="Arial" w:hAnsi="Arial"/>
          <w:color w:val="1A5C1A"/>
          <w:sz w:val="21"/>
          <w:szCs w:val="21"/>
        </w:rPr>
        <w:t xml:space="preserve">✓  STRONG: UK-first strategy is smart. It reduces regulatory complexity, focuses BD efforts, and creates a defensible beachhead before international expansion.</w:t>
      </w:r>
    </w:p>
    <w:p>
      <w:pPr>
        <w:spacing w:after="0" w:before="60"/>
      </w:pPr>
    </w:p>
    <w:p>
      <w:pPr>
        <w:shd w:fill="E6F4EA" w:val="clear"/>
        <w:spacing w:after="80" w:before="80"/>
        <w:ind w:left="200" w:right="200"/>
      </w:pPr>
      <w:r>
        <w:rPr>
          <w:rFonts w:ascii="Arial" w:cs="Arial" w:eastAsia="Arial" w:hAnsi="Arial"/>
          <w:color w:val="1A5C1A"/>
          <w:sz w:val="21"/>
          <w:szCs w:val="21"/>
        </w:rPr>
        <w:t xml:space="preserve">✓  GOOD: Recruiter warm-intro feature is genuinely differentiated if the network can be built. Replacing cold applications with warm intros addresses the core frustration of the modern job search.</w:t>
      </w:r>
    </w:p>
    <w:p>
      <w:pPr>
        <w:spacing w:after="0" w:before="60"/>
      </w:pPr>
    </w:p>
    <w:p>
      <w:pPr>
        <w:shd w:fill="E6F4EA" w:val="clear"/>
        <w:spacing w:after="80" w:before="80"/>
        <w:ind w:left="200" w:right="200"/>
      </w:pPr>
      <w:r>
        <w:rPr>
          <w:rFonts w:ascii="Arial" w:cs="Arial" w:eastAsia="Arial" w:hAnsi="Arial"/>
          <w:color w:val="1A5C1A"/>
          <w:sz w:val="21"/>
          <w:szCs w:val="21"/>
        </w:rPr>
        <w:t xml:space="preserve">✓  GOOD: Phase sequencing concept (Foundation → Launch → Scale) is logical and reflects awareness of startup-stage priorities. The founders understand that a product must exist before it can grow.</w:t>
      </w:r>
    </w:p>
    <w:p>
      <w:pPr>
        <w:spacing w:after="0" w:before="60"/>
      </w:pPr>
    </w:p>
    <w:p>
      <w:pPr>
        <w:shd w:fill="E6F4EA" w:val="clear"/>
        <w:spacing w:after="80" w:before="80"/>
        <w:ind w:left="200" w:right="200"/>
      </w:pPr>
      <w:r>
        <w:rPr>
          <w:rFonts w:ascii="Arial" w:cs="Arial" w:eastAsia="Arial" w:hAnsi="Arial"/>
          <w:color w:val="1A5C1A"/>
          <w:sz w:val="21"/>
          <w:szCs w:val="21"/>
        </w:rPr>
        <w:t xml:space="preserve">✓  GOOD: Accelerator pathway noted (YC, EF, Antler) — this is the correct next step. These programmes provide the team-building support, validation, and initial capital that the current plan needs.</w:t>
      </w:r>
    </w:p>
    <w:p>
      <w:pPr>
        <w:spacing w:after="0" w:before="60"/>
      </w:pPr>
    </w:p>
    <w:p>
      <w:pPr>
        <w:shd w:fill="E6F4EA" w:val="clear"/>
        <w:spacing w:after="80" w:before="80"/>
        <w:ind w:left="200" w:right="200"/>
      </w:pPr>
      <w:r>
        <w:rPr>
          <w:rFonts w:ascii="Arial" w:cs="Arial" w:eastAsia="Arial" w:hAnsi="Arial"/>
          <w:color w:val="1A5C1A"/>
          <w:sz w:val="21"/>
          <w:szCs w:val="21"/>
        </w:rPr>
        <w:t xml:space="preserve">✓  GOOD: Risk register exists. Many pre-seed decks omit risk entirely. The founders have identified the right categories even if mitigations are underdeveloped.</w:t>
      </w:r>
    </w:p>
    <w:p>
      <w:pPr>
        <w:spacing w:after="0" w:before="240"/>
      </w:pPr>
    </w:p>
    <w:p>
      <w:pPr>
        <w:pStyle w:val="Heading1"/>
        <w:shd w:fill="1A1A2E" w:val="clear"/>
        <w:spacing w:after="160" w:before="360"/>
        <w:ind w:left="200" w:right="200"/>
      </w:pPr>
      <w:r>
        <w:rPr>
          <w:rFonts w:ascii="Arial" w:cs="Arial" w:eastAsia="Arial" w:hAnsi="Arial"/>
          <w:b/>
          <w:bCs/>
          <w:color w:val="FFFFFF"/>
          <w:sz w:val="36"/>
          <w:szCs w:val="36"/>
        </w:rPr>
        <w:t xml:space="preserve">6.  Roadmap Optimisation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260"/>
      </w:tblGrid>
      <w:tr>
        <w:trPr>
          <w:tblHeader/>
        </w:trPr>
        <w:tc>
          <w:tcPr>
            <w:tcW w:type="dxa" w:w="3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Optimisation Goal</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42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Product-Market Fit</w:t>
            </w:r>
          </w:p>
        </w:tc>
        <w:tc>
          <w:tcPr>
            <w:tcW w:type="dxa" w:w="1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sz w:val="19"/>
                <w:szCs w:val="19"/>
              </w:rPr>
              <w:t xml:space="preserve">⚠ WEAK</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No single killer feature prioritised. Full-stack risks PMF on no surface.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Revenue Growth</w:t>
            </w:r>
          </w:p>
        </w:tc>
        <w:tc>
          <w:tcPr>
            <w:tcW w:type="dxa" w:w="1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sz w:val="19"/>
                <w:szCs w:val="19"/>
              </w:rPr>
              <w:t xml:space="preserve">⚠ WEAK</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Paid tiers post-Month 10 creates dangerous runway gap.</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Investor Fundraising</w:t>
            </w:r>
          </w:p>
        </w:tc>
        <w:tc>
          <w:tcPr>
            <w:tcW w:type="dxa" w:w="16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pPr>
              <w:jc w:val="center"/>
            </w:pPr>
            <w:r>
              <w:rPr>
                <w:rFonts w:ascii="Arial" w:cs="Arial" w:eastAsia="Arial" w:hAnsi="Arial"/>
                <w:b/>
                <w:bCs/>
                <w:sz w:val="19"/>
                <w:szCs w:val="19"/>
              </w:rPr>
              <w:t xml:space="preserve">⚠ MODERATE</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Narrative is fundable; team gap and financial inconsistency will kill most VC meetings.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Defensibility</w:t>
            </w:r>
          </w:p>
        </w:tc>
        <w:tc>
          <w:tcPr>
            <w:tcW w:type="dxa" w:w="16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sz w:val="19"/>
                <w:szCs w:val="19"/>
              </w:rPr>
              <w:t xml:space="preserve">✗ ABSENT</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No data moat, no network effects, no switching costs articulated.</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Long-term Enterprise Value</w:t>
            </w:r>
          </w:p>
        </w:tc>
        <w:tc>
          <w:tcPr>
            <w:tcW w:type="dxa" w:w="1600"/>
            <w:tcBorders>
              <w:top w:val="single" w:color="CCCCCC" w:sz="1"/>
              <w:left w:val="single" w:color="CCCCCC" w:sz="1"/>
              <w:bottom w:val="single" w:color="CCCCCC" w:sz="1"/>
              <w:right w:val="single" w:color="CCCCCC" w:sz="1"/>
            </w:tcBorders>
            <w:shd w:fill="E6F4EA" w:val="clear"/>
            <w:tcMar>
              <w:top w:type="dxa" w:w="60"/>
              <w:left w:type="dxa" w:w="120"/>
              <w:bottom w:type="dxa" w:w="60"/>
              <w:right w:type="dxa" w:w="120"/>
            </w:tcMar>
          </w:tcPr>
          <w:p>
            <w:pPr>
              <w:jc w:val="center"/>
            </w:pPr>
            <w:r>
              <w:rPr>
                <w:rFonts w:ascii="Arial" w:cs="Arial" w:eastAsia="Arial" w:hAnsi="Arial"/>
                <w:b/>
                <w:bCs/>
                <w:sz w:val="19"/>
                <w:szCs w:val="19"/>
              </w:rPr>
              <w:t xml:space="preserve">✓ PRESENT</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77"/>
                <w:sz w:val="20"/>
                <w:szCs w:val="20"/>
              </w:rPr>
              <w:t xml:space="preserve">B2B + B2C multi-sided model has legitimate 10-year enterprise value potential.</w:t>
            </w:r>
          </w:p>
        </w:tc>
      </w:tr>
    </w:tbl>
    <w:p>
      <w:pPr>
        <w:spacing w:after="0" w:before="240"/>
      </w:pPr>
    </w:p>
    <w:p>
      <w:pPr>
        <w:pStyle w:val="Heading1"/>
        <w:shd w:fill="1A1A2E" w:val="clear"/>
        <w:spacing w:after="160" w:before="360"/>
        <w:ind w:left="200" w:right="200"/>
      </w:pPr>
      <w:r>
        <w:rPr>
          <w:rFonts w:ascii="Arial" w:cs="Arial" w:eastAsia="Arial" w:hAnsi="Arial"/>
          <w:b/>
          <w:bCs/>
          <w:color w:val="FFFFFF"/>
          <w:sz w:val="36"/>
          <w:szCs w:val="36"/>
        </w:rPr>
        <w:t xml:space="preserve">7.  Missing Roadmap Components</w:t>
      </w:r>
    </w:p>
    <w:p>
      <w:pPr>
        <w:spacing w:after="60" w:before="60"/>
      </w:pPr>
      <w:r>
        <w:rPr>
          <w:rFonts w:ascii="Arial" w:cs="Arial" w:eastAsia="Arial" w:hAnsi="Arial"/>
          <w:color w:val="1A1A2E"/>
          <w:sz w:val="22"/>
          <w:szCs w:val="22"/>
        </w:rPr>
        <w:t xml:space="preserve">The following elements — expected as standard in institutional due diligence — are absent from the roadmap:</w:t>
      </w:r>
    </w:p>
    <w:p>
      <w:pPr>
        <w:pStyle w:val="ListParagraph"/>
        <w:numPr>
          <w:ilvl w:val="0"/>
          <w:numId w:val="2"/>
        </w:numPr>
        <w:spacing w:after="40" w:before="40"/>
      </w:pPr>
      <w:r>
        <w:rPr>
          <w:rFonts w:ascii="Arial" w:cs="Arial" w:eastAsia="Arial" w:hAnsi="Arial"/>
          <w:color w:val="1A1A2E"/>
          <w:sz w:val="22"/>
          <w:szCs w:val="22"/>
        </w:rPr>
        <w:t xml:space="preserve">Founder bios / team credentials. Who are the founders? Relevant domain expertise is the first question every investor asks.</w:t>
      </w:r>
    </w:p>
    <w:p>
      <w:pPr>
        <w:pStyle w:val="ListParagraph"/>
        <w:numPr>
          <w:ilvl w:val="0"/>
          <w:numId w:val="2"/>
        </w:numPr>
        <w:spacing w:after="40" w:before="40"/>
      </w:pPr>
      <w:r>
        <w:rPr>
          <w:rFonts w:ascii="Arial" w:cs="Arial" w:eastAsia="Arial" w:hAnsi="Arial"/>
          <w:color w:val="1A1A2E"/>
          <w:sz w:val="22"/>
          <w:szCs w:val="22"/>
        </w:rPr>
        <w:t xml:space="preserve">Customer discovery evidence. Interviews, surveys, waitlist size, or any evidence that real job seekers want this specific product.</w:t>
      </w:r>
    </w:p>
    <w:p>
      <w:pPr>
        <w:pStyle w:val="ListParagraph"/>
        <w:numPr>
          <w:ilvl w:val="0"/>
          <w:numId w:val="2"/>
        </w:numPr>
        <w:spacing w:after="40" w:before="40"/>
      </w:pPr>
      <w:r>
        <w:rPr>
          <w:rFonts w:ascii="Arial" w:cs="Arial" w:eastAsia="Arial" w:hAnsi="Arial"/>
          <w:color w:val="1A1A2E"/>
          <w:sz w:val="22"/>
          <w:szCs w:val="22"/>
        </w:rPr>
        <w:t xml:space="preserve">Unit economics derivation. The £15 CAC and 8:1 LTV:CAC are stated without the underlying assumptions (average subscription length, churn rate, CAC by channel).</w:t>
      </w:r>
    </w:p>
    <w:p>
      <w:pPr>
        <w:pStyle w:val="ListParagraph"/>
        <w:numPr>
          <w:ilvl w:val="0"/>
          <w:numId w:val="2"/>
        </w:numPr>
        <w:spacing w:after="40" w:before="40"/>
      </w:pPr>
      <w:r>
        <w:rPr>
          <w:rFonts w:ascii="Arial" w:cs="Arial" w:eastAsia="Arial" w:hAnsi="Arial"/>
          <w:color w:val="1A1A2E"/>
          <w:sz w:val="22"/>
          <w:szCs w:val="22"/>
        </w:rPr>
        <w:t xml:space="preserve">Churn model. Job search is episodic by nature — users churn when they find a job. What is the assumed average subscription duration? Replacement demand dynamics?</w:t>
      </w:r>
    </w:p>
    <w:p>
      <w:pPr>
        <w:pStyle w:val="ListParagraph"/>
        <w:numPr>
          <w:ilvl w:val="0"/>
          <w:numId w:val="2"/>
        </w:numPr>
        <w:spacing w:after="40" w:before="40"/>
      </w:pPr>
      <w:r>
        <w:rPr>
          <w:rFonts w:ascii="Arial" w:cs="Arial" w:eastAsia="Arial" w:hAnsi="Arial"/>
          <w:color w:val="1A1A2E"/>
          <w:sz w:val="22"/>
          <w:szCs w:val="22"/>
        </w:rPr>
        <w:t xml:space="preserve">Regulatory / data privacy plan. Processing CVs, auto-submitting applications, and storing job-seeker PII in the UK requires GDPR compliance infrastructure. Cost and timeline unaddressed.</w:t>
      </w:r>
    </w:p>
    <w:p>
      <w:pPr>
        <w:pStyle w:val="ListParagraph"/>
        <w:numPr>
          <w:ilvl w:val="0"/>
          <w:numId w:val="2"/>
        </w:numPr>
        <w:spacing w:after="40" w:before="40"/>
      </w:pPr>
      <w:r>
        <w:rPr>
          <w:rFonts w:ascii="Arial" w:cs="Arial" w:eastAsia="Arial" w:hAnsi="Arial"/>
          <w:color w:val="1A1A2E"/>
          <w:sz w:val="22"/>
          <w:szCs w:val="22"/>
        </w:rPr>
        <w:t xml:space="preserve">API agreement status. Do Adzuna, Reed, and Greenhouse APIs permit the described commercial use? Has outreach occurred?</w:t>
      </w:r>
    </w:p>
    <w:p>
      <w:pPr>
        <w:pStyle w:val="ListParagraph"/>
        <w:numPr>
          <w:ilvl w:val="0"/>
          <w:numId w:val="2"/>
        </w:numPr>
        <w:spacing w:after="40" w:before="40"/>
      </w:pPr>
      <w:r>
        <w:rPr>
          <w:rFonts w:ascii="Arial" w:cs="Arial" w:eastAsia="Arial" w:hAnsi="Arial"/>
          <w:color w:val="1A1A2E"/>
          <w:sz w:val="22"/>
          <w:szCs w:val="22"/>
        </w:rPr>
        <w:t xml:space="preserve">Recruiter network acquisition plan. 10,000 UK recruiter relationships by Month 7 is a major business development task. Who builds this, and how?</w:t>
      </w:r>
    </w:p>
    <w:p>
      <w:pPr>
        <w:pStyle w:val="ListParagraph"/>
        <w:numPr>
          <w:ilvl w:val="0"/>
          <w:numId w:val="2"/>
        </w:numPr>
        <w:spacing w:after="40" w:before="40"/>
      </w:pPr>
      <w:r>
        <w:rPr>
          <w:rFonts w:ascii="Arial" w:cs="Arial" w:eastAsia="Arial" w:hAnsi="Arial"/>
          <w:color w:val="1A1A2E"/>
          <w:sz w:val="22"/>
          <w:szCs w:val="22"/>
        </w:rPr>
        <w:t xml:space="preserve">Placement / outcome data strategy. The most powerful long-term moat in this space is verified 'X applied → Y interviews → Z offers' outcome data. No mention of how this is captured or used.</w:t>
      </w:r>
    </w:p>
    <w:p>
      <w:pPr>
        <w:pStyle w:val="ListParagraph"/>
        <w:numPr>
          <w:ilvl w:val="0"/>
          <w:numId w:val="2"/>
        </w:numPr>
        <w:spacing w:after="40" w:before="40"/>
      </w:pPr>
      <w:r>
        <w:rPr>
          <w:rFonts w:ascii="Arial" w:cs="Arial" w:eastAsia="Arial" w:hAnsi="Arial"/>
          <w:color w:val="1A1A2E"/>
          <w:sz w:val="22"/>
          <w:szCs w:val="22"/>
        </w:rPr>
        <w:t xml:space="preserve">Competitive response scenario planning. What happens if LinkedIn launches an equivalent feature in 12 months?</w:t>
      </w:r>
    </w:p>
    <w:p>
      <w:pPr>
        <w:spacing w:after="0" w:before="240"/>
      </w:pPr>
    </w:p>
    <w:p>
      <w:pPr>
        <w:pStyle w:val="Heading1"/>
        <w:shd w:fill="1A1A2E" w:val="clear"/>
        <w:spacing w:after="160" w:before="360"/>
        <w:ind w:left="200" w:right="200"/>
      </w:pPr>
      <w:r>
        <w:rPr>
          <w:rFonts w:ascii="Arial" w:cs="Arial" w:eastAsia="Arial" w:hAnsi="Arial"/>
          <w:b/>
          <w:bCs/>
          <w:color w:val="FFFFFF"/>
          <w:sz w:val="36"/>
          <w:szCs w:val="36"/>
        </w:rPr>
        <w:t xml:space="preserve">8.  Venture Capital Investment Verdict</w:t>
      </w:r>
    </w:p>
    <w:p>
      <w:pPr>
        <w:shd w:fill="FFF3CC" w:val="clear"/>
        <w:spacing w:after="80" w:before="160"/>
        <w:jc w:val="center"/>
      </w:pPr>
      <w:r>
        <w:rPr>
          <w:rFonts w:ascii="Arial" w:cs="Arial" w:eastAsia="Arial" w:hAnsi="Arial"/>
          <w:b/>
          <w:bCs/>
          <w:color w:val="AA6600"/>
          <w:sz w:val="44"/>
          <w:szCs w:val="44"/>
        </w:rPr>
        <w:t xml:space="preserve">🟡  PROMISING BUT PREMATURE</w:t>
      </w:r>
    </w:p>
    <w:p>
      <w:pPr>
        <w:spacing w:after="80" w:before="80"/>
      </w:pPr>
    </w:p>
    <w:p>
      <w:pPr>
        <w:spacing w:after="60" w:before="60"/>
      </w:pPr>
      <w:r>
        <w:rPr>
          <w:rFonts w:ascii="Arial" w:cs="Arial" w:eastAsia="Arial" w:hAnsi="Arial"/>
          <w:color w:val="1A1A2E"/>
          <w:sz w:val="22"/>
          <w:szCs w:val="22"/>
        </w:rPr>
        <w:t xml:space="preserve">CareerAI addresses a genuine market problem with a plausible AI-native solution. The category is proven, the timing is right, and the multi-sided B2B+B2C model has real long-term potential. In the hands of a complete team with an operating CTO, domain expertise in HR tech or recruitment, and a sharper pre-PMF product thesis, this could be a compelling seed investment.</w:t>
      </w:r>
    </w:p>
    <w:p>
      <w:pPr>
        <w:spacing w:after="80" w:before="80"/>
      </w:pPr>
    </w:p>
    <w:p>
      <w:pPr>
        <w:spacing w:after="60" w:before="60"/>
      </w:pPr>
      <w:r>
        <w:rPr>
          <w:rFonts w:ascii="Arial" w:cs="Arial" w:eastAsia="Arial" w:hAnsi="Arial"/>
          <w:color w:val="1A1A2E"/>
          <w:sz w:val="22"/>
          <w:szCs w:val="22"/>
        </w:rPr>
        <w:t xml:space="preserve">In its current state, we would not invest. The combination of a missing technical co-founder, an internally inconsistent financial model, no customer validation, an existential technical risk in the core automation engine, and an under-capitalised raise for the described ambition creates too many binary risks simultaneously. We would take a meeting, but we would need to see significant gap closure before issuing a term sheet.</w:t>
      </w:r>
    </w:p>
    <w:p>
      <w:pPr>
        <w:spacing w:after="0" w:before="240"/>
      </w:pPr>
    </w:p>
    <w:p>
      <w:pPr>
        <w:pStyle w:val="Heading1"/>
        <w:shd w:fill="1A1A2E" w:val="clear"/>
        <w:spacing w:after="160" w:before="360"/>
        <w:ind w:left="200" w:right="200"/>
      </w:pPr>
      <w:r>
        <w:rPr>
          <w:rFonts w:ascii="Arial" w:cs="Arial" w:eastAsia="Arial" w:hAnsi="Arial"/>
          <w:b/>
          <w:bCs/>
          <w:color w:val="FFFFFF"/>
          <w:sz w:val="36"/>
          <w:szCs w:val="36"/>
        </w:rPr>
        <w:t xml:space="preserve">9.  Specific Recommendations to Increase Investor Confidence</w:t>
      </w:r>
    </w:p>
    <w:p>
      <w:pPr>
        <w:spacing w:after="80" w:before="200"/>
      </w:pPr>
      <w:r>
        <w:rPr>
          <w:rFonts w:ascii="Arial" w:cs="Arial" w:eastAsia="Arial" w:hAnsi="Arial"/>
          <w:b/>
          <w:bCs/>
          <w:color w:val="1A1A2E"/>
          <w:sz w:val="24"/>
          <w:szCs w:val="24"/>
        </w:rPr>
        <w:t xml:space="preserve">Immediate (Pre-Fundraise)</w:t>
      </w:r>
    </w:p>
    <w:p>
      <w:pPr>
        <w:pStyle w:val="ListParagraph"/>
        <w:numPr>
          <w:ilvl w:val="0"/>
          <w:numId w:val="2"/>
        </w:numPr>
        <w:spacing w:after="40" w:before="40"/>
      </w:pPr>
      <w:r>
        <w:rPr>
          <w:rFonts w:ascii="Arial" w:cs="Arial" w:eastAsia="Arial" w:hAnsi="Arial"/>
          <w:color w:val="1A1A2E"/>
          <w:sz w:val="22"/>
          <w:szCs w:val="22"/>
        </w:rPr>
        <w:t xml:space="preserve">Hire a technical co-founder before fundraising. No serious seed investor will fund an AI product company without a CTO in place. This is not negotiable. The accelerator route (EF, Antler) is the right path to solve this simultaneously with capital.</w:t>
      </w:r>
    </w:p>
    <w:p>
      <w:pPr>
        <w:pStyle w:val="ListParagraph"/>
        <w:numPr>
          <w:ilvl w:val="0"/>
          <w:numId w:val="2"/>
        </w:numPr>
        <w:spacing w:after="40" w:before="40"/>
      </w:pPr>
      <w:r>
        <w:rPr>
          <w:rFonts w:ascii="Arial" w:cs="Arial" w:eastAsia="Arial" w:hAnsi="Arial"/>
          <w:color w:val="1A1A2E"/>
          <w:sz w:val="22"/>
          <w:szCs w:val="22"/>
        </w:rPr>
        <w:t xml:space="preserve">Validate auto-apply viability before making it the core mechanic. Build a proof-of-concept on 2–3 job boards, measure block rates, and explore whether a user-side browser extension model (where the user's own session is used) is more defensible than a centralised automation approach.</w:t>
      </w:r>
    </w:p>
    <w:p>
      <w:pPr>
        <w:pStyle w:val="ListParagraph"/>
        <w:numPr>
          <w:ilvl w:val="0"/>
          <w:numId w:val="2"/>
        </w:numPr>
        <w:spacing w:after="40" w:before="40"/>
      </w:pPr>
      <w:r>
        <w:rPr>
          <w:rFonts w:ascii="Arial" w:cs="Arial" w:eastAsia="Arial" w:hAnsi="Arial"/>
          <w:color w:val="1A1A2E"/>
          <w:sz w:val="22"/>
          <w:szCs w:val="22"/>
        </w:rPr>
        <w:t xml:space="preserve">Build a waitlist immediately. 1,000+ waitlist signups at a low CAC demonstrates demand and gives you training data. Launch a simple landing page with a referral loop today.</w:t>
      </w:r>
    </w:p>
    <w:p>
      <w:pPr>
        <w:pStyle w:val="ListParagraph"/>
        <w:numPr>
          <w:ilvl w:val="0"/>
          <w:numId w:val="2"/>
        </w:numPr>
        <w:spacing w:after="40" w:before="40"/>
      </w:pPr>
      <w:r>
        <w:rPr>
          <w:rFonts w:ascii="Arial" w:cs="Arial" w:eastAsia="Arial" w:hAnsi="Arial"/>
          <w:color w:val="1A1A2E"/>
          <w:sz w:val="22"/>
          <w:szCs w:val="22"/>
        </w:rPr>
        <w:t xml:space="preserve">Conduct 50+ structured customer discovery interviews with active UK job seekers. Identify the single highest-pain moment in their search journey. That is your MVP feature.</w:t>
      </w:r>
    </w:p>
    <w:p>
      <w:pPr>
        <w:spacing w:after="80" w:before="200"/>
      </w:pPr>
      <w:r>
        <w:rPr>
          <w:rFonts w:ascii="Arial" w:cs="Arial" w:eastAsia="Arial" w:hAnsi="Arial"/>
          <w:b/>
          <w:bCs/>
          <w:color w:val="1A1A2E"/>
          <w:sz w:val="24"/>
          <w:szCs w:val="24"/>
        </w:rPr>
        <w:t xml:space="preserve">Roadmap Restructuring</w:t>
      </w:r>
    </w:p>
    <w:p>
      <w:pPr>
        <w:pStyle w:val="ListParagraph"/>
        <w:numPr>
          <w:ilvl w:val="0"/>
          <w:numId w:val="2"/>
        </w:numPr>
        <w:spacing w:after="40" w:before="40"/>
      </w:pPr>
      <w:r>
        <w:rPr>
          <w:rFonts w:ascii="Arial" w:cs="Arial" w:eastAsia="Arial" w:hAnsi="Arial"/>
          <w:color w:val="1A1A2E"/>
          <w:sz w:val="22"/>
          <w:szCs w:val="22"/>
        </w:rPr>
        <w:t xml:space="preserve">Narrow Phase 1 to ONE killer feature. Pick either auto-apply or recruiter warm-intros — whichever is more technically defensible — and build it to excellence. Resist the temptation to launch six features simultaneously.</w:t>
      </w:r>
    </w:p>
    <w:p>
      <w:pPr>
        <w:pStyle w:val="ListParagraph"/>
        <w:numPr>
          <w:ilvl w:val="0"/>
          <w:numId w:val="2"/>
        </w:numPr>
        <w:spacing w:after="40" w:before="40"/>
      </w:pPr>
      <w:r>
        <w:rPr>
          <w:rFonts w:ascii="Arial" w:cs="Arial" w:eastAsia="Arial" w:hAnsi="Arial"/>
          <w:color w:val="1A1A2E"/>
          <w:sz w:val="22"/>
          <w:szCs w:val="22"/>
        </w:rPr>
        <w:t xml:space="preserve">Move paid tiers earlier. Launch a simple paid tier at Month 4–5 with the MVP feature. Even £5–10k MRR by Month 6 dramatically changes the investor narrative.</w:t>
      </w:r>
    </w:p>
    <w:p>
      <w:pPr>
        <w:pStyle w:val="ListParagraph"/>
        <w:numPr>
          <w:ilvl w:val="0"/>
          <w:numId w:val="2"/>
        </w:numPr>
        <w:spacing w:after="40" w:before="40"/>
      </w:pPr>
      <w:r>
        <w:rPr>
          <w:rFonts w:ascii="Arial" w:cs="Arial" w:eastAsia="Arial" w:hAnsi="Arial"/>
          <w:color w:val="1A1A2E"/>
          <w:sz w:val="22"/>
          <w:szCs w:val="22"/>
        </w:rPr>
        <w:t xml:space="preserve">Separate the B2B product into a distinct stream. Do not conflate consumer product development with enterprise sales in the same Phase 3 sprint. These require fundamentally different team skills and GTM motions.</w:t>
      </w:r>
    </w:p>
    <w:p>
      <w:pPr>
        <w:pStyle w:val="ListParagraph"/>
        <w:numPr>
          <w:ilvl w:val="0"/>
          <w:numId w:val="2"/>
        </w:numPr>
        <w:spacing w:after="40" w:before="40"/>
      </w:pPr>
      <w:r>
        <w:rPr>
          <w:rFonts w:ascii="Arial" w:cs="Arial" w:eastAsia="Arial" w:hAnsi="Arial"/>
          <w:color w:val="1A1A2E"/>
          <w:sz w:val="22"/>
          <w:szCs w:val="22"/>
        </w:rPr>
        <w:t xml:space="preserve">Remove 'international expansion' from the 18-month roadmap. International is a Series A story. Keep it in the vision deck but remove it from the operational roadmap.</w:t>
      </w:r>
    </w:p>
    <w:p>
      <w:pPr>
        <w:spacing w:after="80" w:before="200"/>
      </w:pPr>
      <w:r>
        <w:rPr>
          <w:rFonts w:ascii="Arial" w:cs="Arial" w:eastAsia="Arial" w:hAnsi="Arial"/>
          <w:b/>
          <w:bCs/>
          <w:color w:val="1A1A2E"/>
          <w:sz w:val="24"/>
          <w:szCs w:val="24"/>
        </w:rPr>
        <w:t xml:space="preserve">Financial Model</w:t>
      </w:r>
    </w:p>
    <w:p>
      <w:pPr>
        <w:pStyle w:val="ListParagraph"/>
        <w:numPr>
          <w:ilvl w:val="0"/>
          <w:numId w:val="2"/>
        </w:numPr>
        <w:spacing w:after="40" w:before="40"/>
      </w:pPr>
      <w:r>
        <w:rPr>
          <w:rFonts w:ascii="Arial" w:cs="Arial" w:eastAsia="Arial" w:hAnsi="Arial"/>
          <w:color w:val="1A1A2E"/>
          <w:sz w:val="22"/>
          <w:szCs w:val="22"/>
        </w:rPr>
        <w:t xml:space="preserve">Remodel the seed around a realistic scope. Either raise £1.5–2M for the full described plan, or scope the 18-month plan to what £750k can credibly achieve (MVP + PMF validation on one surface + £10–15k MRR). Do not present a £750k plan that requires £2M.</w:t>
      </w:r>
    </w:p>
    <w:p>
      <w:pPr>
        <w:pStyle w:val="ListParagraph"/>
        <w:numPr>
          <w:ilvl w:val="0"/>
          <w:numId w:val="2"/>
        </w:numPr>
        <w:spacing w:after="40" w:before="40"/>
      </w:pPr>
      <w:r>
        <w:rPr>
          <w:rFonts w:ascii="Arial" w:cs="Arial" w:eastAsia="Arial" w:hAnsi="Arial"/>
          <w:color w:val="1A1A2E"/>
          <w:sz w:val="22"/>
          <w:szCs w:val="22"/>
        </w:rPr>
        <w:t xml:space="preserve">Explicitly model churn. Job-search SaaS has unique churn dynamics (users churn upon getting hired). Model this honestly — it may require a higher CAC budget or a retention hook (e.g., career health tracking for employed users).</w:t>
      </w:r>
    </w:p>
    <w:p>
      <w:pPr>
        <w:pStyle w:val="ListParagraph"/>
        <w:numPr>
          <w:ilvl w:val="0"/>
          <w:numId w:val="2"/>
        </w:numPr>
        <w:spacing w:after="40" w:before="40"/>
      </w:pPr>
      <w:r>
        <w:rPr>
          <w:rFonts w:ascii="Arial" w:cs="Arial" w:eastAsia="Arial" w:hAnsi="Arial"/>
          <w:color w:val="1A1A2E"/>
          <w:sz w:val="22"/>
          <w:szCs w:val="22"/>
        </w:rPr>
        <w:t xml:space="preserve">Add a pre-seed bridge option. Consider raising a £100–200k pre-seed from angels/accelerators to de-risk team and technical assumptions before a full seed round.</w:t>
      </w:r>
    </w:p>
    <w:p>
      <w:pPr>
        <w:spacing w:after="80" w:before="200"/>
      </w:pPr>
      <w:r>
        <w:rPr>
          <w:rFonts w:ascii="Arial" w:cs="Arial" w:eastAsia="Arial" w:hAnsi="Arial"/>
          <w:b/>
          <w:bCs/>
          <w:color w:val="1A1A2E"/>
          <w:sz w:val="24"/>
          <w:szCs w:val="24"/>
        </w:rPr>
        <w:t xml:space="preserve">Competitive &amp; Moat Strategy</w:t>
      </w:r>
    </w:p>
    <w:p>
      <w:pPr>
        <w:pStyle w:val="ListParagraph"/>
        <w:numPr>
          <w:ilvl w:val="0"/>
          <w:numId w:val="2"/>
        </w:numPr>
        <w:spacing w:after="40" w:before="40"/>
      </w:pPr>
      <w:r>
        <w:rPr>
          <w:rFonts w:ascii="Arial" w:cs="Arial" w:eastAsia="Arial" w:hAnsi="Arial"/>
          <w:color w:val="1A1A2E"/>
          <w:sz w:val="22"/>
          <w:szCs w:val="22"/>
        </w:rPr>
        <w:t xml:space="preserve">Define your data flywheel explicitly. The most defensible version of CareerAI is one where every application, every interview outcome, and every offer accepted creates a data asset no competitor can replicate. Map this flywheel and put it in the deck.</w:t>
      </w:r>
    </w:p>
    <w:p>
      <w:pPr>
        <w:pStyle w:val="ListParagraph"/>
        <w:numPr>
          <w:ilvl w:val="0"/>
          <w:numId w:val="2"/>
        </w:numPr>
        <w:spacing w:after="40" w:before="40"/>
      </w:pPr>
      <w:r>
        <w:rPr>
          <w:rFonts w:ascii="Arial" w:cs="Arial" w:eastAsia="Arial" w:hAnsi="Arial"/>
          <w:color w:val="1A1A2E"/>
          <w:sz w:val="22"/>
          <w:szCs w:val="22"/>
        </w:rPr>
        <w:t xml:space="preserve">Rewrite the competitive slide around outcomes, not features. 'CareerAI users secure interviews 3x faster' (if true) is a moat. 'CareerAI has all 7 features' is not.</w:t>
      </w:r>
    </w:p>
    <w:p>
      <w:pPr>
        <w:pStyle w:val="ListParagraph"/>
        <w:numPr>
          <w:ilvl w:val="0"/>
          <w:numId w:val="2"/>
        </w:numPr>
        <w:spacing w:after="40" w:before="40"/>
      </w:pPr>
      <w:r>
        <w:rPr>
          <w:rFonts w:ascii="Arial" w:cs="Arial" w:eastAsia="Arial" w:hAnsi="Arial"/>
          <w:color w:val="1A1A2E"/>
          <w:sz w:val="22"/>
          <w:szCs w:val="22"/>
        </w:rPr>
        <w:t xml:space="preserve">Address the LinkedIn threat directly. Investors will ask. Prepare a specific, non-dismissive answer about why LinkedIn's scale is a weakness (bloat, commoditisation) rather than treating it as a 'low' risk.</w:t>
      </w:r>
    </w:p>
    <w:p>
      <w:pPr>
        <w:spacing w:after="0" w:before="360"/>
      </w:pPr>
    </w:p>
    <w:p>
      <w:pPr>
        <w:pBdr>
          <w:top w:val="single" w:color="E63946" w:sz="4" w:space="8"/>
        </w:pBdr>
        <w:spacing w:after="80" w:before="160"/>
      </w:pPr>
      <w:r>
        <w:rPr>
          <w:rFonts w:ascii="Arial" w:cs="Arial" w:eastAsia="Arial" w:hAnsi="Arial"/>
          <w:i/>
          <w:iCs/>
          <w:color w:val="555577"/>
          <w:sz w:val="18"/>
          <w:szCs w:val="18"/>
        </w:rPr>
        <w:t xml:space="preserve">This evaluation was produced by AI Venture Advisory using the CareerAI Product Roadmap 2026–2027 deck as the sole input. All assessments reflect analysis of the roadmap document only and do not constitute financial advice. Scores and verdicts are relative to pre-seed stage startup benchmarks.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77"/>
        <w:sz w:val="18"/>
        <w:szCs w:val="18"/>
      </w:rPr>
      <w:t xml:space="preserve">CareerAI Investor Evaluation  ·  Confidential  ·  Page </w:t>
    </w:r>
    <w:r>
      <w:rPr>
        <w:rFonts w:ascii="Arial" w:cs="Arial" w:eastAsia="Arial" w:hAnsi="Arial"/>
        <w:color w:val="5555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2026-05-07T16:11:50.690Z</dcterms:created>
  <dcterms:modified xsi:type="dcterms:W3CDTF">2026-05-07T16:11:50.690Z</dcterms:modified>
</cp:coreProperties>
</file>

<file path=docProps/custom.xml><?xml version="1.0" encoding="utf-8"?>
<Properties xmlns="http://schemas.openxmlformats.org/officeDocument/2006/custom-properties" xmlns:vt="http://schemas.openxmlformats.org/officeDocument/2006/docPropsVTypes"/>
</file>