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61E611" w14:textId="77777777" w:rsidR="001477F4" w:rsidRDefault="00000000" w:rsidP="008E1BBB">
      <w:pPr>
        <w:pStyle w:val="Title"/>
        <w:jc w:val="left"/>
        <w:rPr>
          <w:rFonts w:ascii="Times New Roman" w:hAnsi="Times New Roman" w:cs="Times New Roman"/>
          <w:b/>
          <w:bCs/>
          <w:sz w:val="24"/>
          <w:szCs w:val="24"/>
        </w:rPr>
      </w:pPr>
      <w:r>
        <w:rPr>
          <w:rFonts w:ascii="Times New Roman" w:hAnsi="Times New Roman" w:cs="Times New Roman"/>
          <w:b/>
          <w:bCs/>
          <w:sz w:val="24"/>
          <w:szCs w:val="24"/>
        </w:rPr>
        <w:t>Criterion validity of heel-mounted inertial sensors for stride-length estimation during single- and dual-task walking in older adults with and without cognitive impairment</w:t>
      </w:r>
    </w:p>
    <w:p w14:paraId="6BC418A7" w14:textId="77777777" w:rsidR="00EB3CDB" w:rsidRPr="00EB3CDB" w:rsidRDefault="00EB3CDB" w:rsidP="00EB3CDB">
      <w:pPr>
        <w:pStyle w:val="BodyText"/>
      </w:pPr>
    </w:p>
    <w:p w14:paraId="5CF2AFE2" w14:textId="77777777" w:rsidR="001477F4" w:rsidRDefault="00000000">
      <w:pPr>
        <w:pStyle w:val="Author"/>
        <w:jc w:val="left"/>
      </w:pPr>
      <w:r>
        <w:t>Pawel Kudzia* [1]</w:t>
      </w:r>
    </w:p>
    <w:p w14:paraId="65525C9F" w14:textId="77777777" w:rsidR="001477F4" w:rsidRDefault="00000000">
      <w:pPr>
        <w:pStyle w:val="Author"/>
        <w:jc w:val="left"/>
      </w:pPr>
      <w:r>
        <w:t>Markus von Hacht [1]</w:t>
      </w:r>
    </w:p>
    <w:p w14:paraId="23B832B4" w14:textId="77777777" w:rsidR="001477F4" w:rsidRDefault="00000000">
      <w:pPr>
        <w:pStyle w:val="Author"/>
        <w:jc w:val="left"/>
      </w:pPr>
      <w:r>
        <w:t>Maryam Sheikhi [1]</w:t>
      </w:r>
    </w:p>
    <w:p w14:paraId="6C7DEF4A" w14:textId="77777777" w:rsidR="001477F4" w:rsidRDefault="00000000">
      <w:pPr>
        <w:pStyle w:val="Author"/>
        <w:jc w:val="left"/>
      </w:pPr>
      <w:r>
        <w:t>Drew Commandeur [1]</w:t>
      </w:r>
    </w:p>
    <w:p w14:paraId="3651EA29" w14:textId="77777777" w:rsidR="001477F4" w:rsidRDefault="00000000">
      <w:pPr>
        <w:pStyle w:val="Author"/>
        <w:jc w:val="left"/>
      </w:pPr>
      <w:r>
        <w:t>Marc Klimstra [1,2]</w:t>
      </w:r>
    </w:p>
    <w:p w14:paraId="7F90FF88" w14:textId="77777777" w:rsidR="001477F4" w:rsidRDefault="00000000">
      <w:pPr>
        <w:pStyle w:val="Author"/>
        <w:jc w:val="left"/>
      </w:pPr>
      <w:r>
        <w:t>Sandra Hundza [1,3]</w:t>
      </w:r>
    </w:p>
    <w:p w14:paraId="78A80009" w14:textId="77777777" w:rsidR="001477F4" w:rsidRDefault="00000000">
      <w:r>
        <w:rPr>
          <w:sz w:val="20"/>
        </w:rPr>
        <w:t>1 Motion, Mobility and Rehabilitation Lab, School of Exercise Science, Physical and Health Education, University of Victoria, PO Box 1700 STN CSC, Victoria, BC V8W 2Y2, Canada</w:t>
      </w:r>
    </w:p>
    <w:p w14:paraId="60164E3B" w14:textId="77777777" w:rsidR="001477F4" w:rsidRDefault="00000000">
      <w:r>
        <w:rPr>
          <w:sz w:val="20"/>
        </w:rPr>
        <w:t>2 Canadian Sport Institute-Pacific, Victoria, BC, Canada</w:t>
      </w:r>
    </w:p>
    <w:p w14:paraId="52C41C1A" w14:textId="77777777" w:rsidR="001477F4" w:rsidRDefault="00000000">
      <w:r>
        <w:rPr>
          <w:sz w:val="20"/>
        </w:rPr>
        <w:t>3 Institute on Aging and Lifelong Health, Victoria, BC</w:t>
      </w:r>
    </w:p>
    <w:p w14:paraId="4876F626" w14:textId="77777777" w:rsidR="001477F4" w:rsidRDefault="00000000">
      <w:r>
        <w:rPr>
          <w:sz w:val="20"/>
        </w:rPr>
        <w:t>Corresponding Author:</w:t>
      </w:r>
    </w:p>
    <w:p w14:paraId="16CDEE71" w14:textId="77777777" w:rsidR="001477F4" w:rsidRDefault="008E1BBB">
      <w:r>
        <w:rPr>
          <w:sz w:val="20"/>
        </w:rPr>
        <w:t>*Pawel Kudzia [1]</w:t>
      </w:r>
    </w:p>
    <w:p w14:paraId="75412855" w14:textId="77777777" w:rsidR="001477F4" w:rsidRDefault="00000000">
      <w:r>
        <w:rPr>
          <w:sz w:val="20"/>
        </w:rPr>
        <w:t>Email address: pawel.kudzia5@gmail.com</w:t>
      </w:r>
      <w:r>
        <w:rPr>
          <w:sz w:val="20"/>
        </w:rPr>
        <w:br w:type="page"/>
      </w:r>
    </w:p>
    <w:p w14:paraId="5FB5496D" w14:textId="77777777" w:rsidR="001477F4" w:rsidRDefault="00000000" w:rsidP="008E1BBB">
      <w:pPr>
        <w:pStyle w:val="Heading1"/>
      </w:pPr>
      <w:bookmarkStart w:id="0" w:name="abstract"/>
      <w:r>
        <w:lastRenderedPageBreak/>
        <w:t>Abstract</w:t>
      </w:r>
    </w:p>
    <w:p w14:paraId="48CEC0E0" w14:textId="77777777" w:rsidR="001477F4" w:rsidRDefault="00000000" w:rsidP="008E1BBB">
      <w:pPr>
        <w:pStyle w:val="FirstParagraph"/>
        <w:spacing w:after="120" w:line="360" w:lineRule="auto"/>
        <w:jc w:val="both"/>
      </w:pPr>
      <w:r>
        <w:rPr>
          <w:b/>
          <w:bCs/>
        </w:rPr>
        <w:t>Background.</w:t>
      </w:r>
      <w:r>
        <w:t xml:space="preserve"> 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14:paraId="3ECA28E4" w14:textId="77777777" w:rsidR="001477F4" w:rsidRDefault="00000000" w:rsidP="008E1BBB">
      <w:pPr>
        <w:pStyle w:val="BodyText"/>
        <w:spacing w:after="120" w:line="360" w:lineRule="auto"/>
        <w:jc w:val="both"/>
      </w:pPr>
      <w:r>
        <w:rPr>
          <w:b/>
          <w:bCs/>
        </w:rPr>
        <w:t>Methods.</w:t>
      </w:r>
      <w:r>
        <w:t xml:space="preserve"> 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14:paraId="6C8F92A9" w14:textId="77777777" w:rsidR="001477F4" w:rsidRDefault="00000000" w:rsidP="008E1BBB">
      <w:pPr>
        <w:pStyle w:val="BodyText"/>
        <w:spacing w:after="120" w:line="360" w:lineRule="auto"/>
        <w:jc w:val="both"/>
      </w:pPr>
      <w:r>
        <w:rPr>
          <w:b/>
          <w:bCs/>
        </w:rPr>
        <w:t>Results.</w:t>
      </w:r>
      <w:r>
        <w:t xml:space="preserve"> Across 10,472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14:paraId="5AFA4372" w14:textId="77777777" w:rsidR="001477F4" w:rsidRDefault="00000000" w:rsidP="008E1BBB">
      <w:pPr>
        <w:pStyle w:val="BodyText"/>
        <w:spacing w:after="120" w:line="360" w:lineRule="auto"/>
        <w:jc w:val="both"/>
      </w:pPr>
      <w:r>
        <w:rPr>
          <w:b/>
          <w:bCs/>
        </w:rPr>
        <w:t>Conclusions.</w:t>
      </w:r>
      <w:r>
        <w:t xml:space="preserve"> 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p w14:paraId="4DFA5563" w14:textId="77777777" w:rsidR="008E1BBB" w:rsidRDefault="008E1BBB">
      <w:r>
        <w:br w:type="page"/>
      </w:r>
    </w:p>
    <w:p w14:paraId="17AAA32A" w14:textId="77777777" w:rsidR="001477F4" w:rsidRDefault="00000000" w:rsidP="008E1BBB">
      <w:pPr>
        <w:pStyle w:val="Heading1"/>
        <w:jc w:val="both"/>
      </w:pPr>
      <w:bookmarkStart w:id="1" w:name="introduction"/>
      <w:bookmarkEnd w:id="0"/>
      <w:r>
        <w:lastRenderedPageBreak/>
        <w:t>Introduction</w:t>
      </w:r>
    </w:p>
    <w:p w14:paraId="084240D4" w14:textId="77777777" w:rsidR="001477F4" w:rsidRDefault="00000000" w:rsidP="008E1BBB">
      <w:pPr>
        <w:pStyle w:val="FirstParagraph"/>
        <w:spacing w:after="120" w:line="480" w:lineRule="auto"/>
        <w:jc w:val="both"/>
      </w:pPr>
      <w:r>
        <w:rPr>
          <w:b/>
          <w:bCs/>
        </w:rPr>
        <w:t>Gait metrics provide clinically relevant measures of mobility in older adults.</w:t>
      </w:r>
      <w:r>
        <w:t xml:space="preserve"> Greater stride-to-stride variability is a strong predictor of incident falls in older adults (Maki 1997; Verghese et al. 2009). Slower gait also predicts falls and cognitive decline (Verghese et al. 2009; Montero-Odasso et al. 2012). A meta-analysis reported that a baseline stride-length threshold of 0.64 m or less predicted adverse clinical events and mortality in older adults (Bytyçi and Henein 2021). Instrumented walkways and optical motion capture provide criterion measurements during short, controlled laboratory walks (Webster et al. 2005; Arens et al. 2021). Wearable inertial measurement units (IMUs) can extend stride-length measurement beyond these settings, but the quality of these estimates depends on both the measurement setup and the processing method.</w:t>
      </w:r>
    </w:p>
    <w:p w14:paraId="70BDABD3" w14:textId="77777777" w:rsidR="001477F4" w:rsidRDefault="00000000" w:rsidP="008E1BBB">
      <w:pPr>
        <w:pStyle w:val="BodyText"/>
        <w:spacing w:after="120" w:line="480" w:lineRule="auto"/>
        <w:jc w:val="both"/>
      </w:pPr>
      <w:r>
        <w:rPr>
          <w:b/>
          <w:bCs/>
        </w:rPr>
        <w:t>Sensor error, placement, and algorithm design all affect stride-length accuracy with foot-mounted IMUs.</w:t>
      </w:r>
      <w:r>
        <w:t xml:space="preserve"> A common approach estimates stride length by integrating acceleration twice. Noise and small sensor errors accumulate during this process and cause the estimated position to drift (Wahlström and Skog 2021). Sensor position and attachment influence the recorded signal and the resulting stride-length error (Küderle et al. 2022). Zero-velocity updates (ZUPTs) limit drift by correcting the velocity estimate during stance, when the foot is stationary (Foxlin 2005; Wahlström and Skog 2021). These stationary anchors can bound each integrated stride. Adaptive thresholds can improve zero-velocity detection across walking speeds compared with a single fixed threshold (Li et al. 2023).</w:t>
      </w:r>
    </w:p>
    <w:p w14:paraId="3775C14D" w14:textId="77777777" w:rsidR="001477F4" w:rsidRDefault="00000000" w:rsidP="008E1BBB">
      <w:pPr>
        <w:pStyle w:val="BodyText"/>
        <w:spacing w:after="120" w:line="480" w:lineRule="auto"/>
        <w:jc w:val="both"/>
      </w:pPr>
      <w:r>
        <w:rPr>
          <w:b/>
          <w:bCs/>
        </w:rPr>
        <w:t>Fixed amplitude thresholds can miss genuine stance phases and misclassify other stationary periods.</w:t>
      </w:r>
      <w:r>
        <w:t xml:space="preserve"> During mid-stance the foot is still. Both the sensor’s rotational speed (the gyroscope norm, the combined magnitude of triaxial angular velocity) and the moment-to-moment variation in its acceleration then drop close to zero. A threshold detector labels a sample as stance </w:t>
      </w:r>
      <w:r>
        <w:lastRenderedPageBreak/>
        <w:t>whenever both signals fall below fixed cutoffs (Skog et al. 2010). Fixed detector settings can fail when movement patterns differ from those used for tuning (Foxlin 2005). Poor tuning can miss a true stance or label a non-walking stationary period as stance. A missed stance merges two adjacent integration intervals, while a false stance divides one interval.</w:t>
      </w:r>
    </w:p>
    <w:p w14:paraId="3B85865B" w14:textId="77777777" w:rsidR="001477F4" w:rsidRDefault="00000000" w:rsidP="008E1BBB">
      <w:pPr>
        <w:pStyle w:val="BodyText"/>
        <w:spacing w:after="120" w:line="480" w:lineRule="auto"/>
        <w:jc w:val="both"/>
      </w:pPr>
      <w:r>
        <w:rPr>
          <w:b/>
          <w:bCs/>
        </w:rPr>
        <w:t>Bilateral ZUPT checks each candidate stance against movement of the opposite foot.</w:t>
      </w:r>
      <w:r>
        <w:t xml:space="preserve"> During normal walking, one foot lifts from the ground shortly after the opposite foot enters stance. Arens et al. used contralateral toe-off information to identify an ipsilateral ZUPT during post-stroke walking (Arens et al. 2021).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14:paraId="0C8033AB" w14:textId="77777777" w:rsidR="001477F4" w:rsidRDefault="00000000" w:rsidP="008E1BBB">
      <w:pPr>
        <w:pStyle w:val="BodyText"/>
        <w:spacing w:after="120" w:line="480" w:lineRule="auto"/>
        <w:jc w:val="both"/>
      </w:pPr>
      <w:r>
        <w:rPr>
          <w:b/>
          <w:bCs/>
        </w:rPr>
        <w:t>Two gaps remain in the evidence for this approach. The first is the lack of validation under cognitive load in older adults.</w:t>
      </w:r>
      <w:r>
        <w:t xml:space="preserve"> One prior validation placed sensors on the foot and shank during straight, single-task walks in 10 healthy adults and 12 people with Parkinson’s disease (Sijobert et al. 2015). Cognitive dual-task walking can slow gait and increase stride-to-stride variability (Beauchet et al. 2005; Yogev-Seligmann et al. 2008; Hausdorff et al. 2008).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 (Boutaayamou et al. 2025). Prior calibration-free validation included pathological cohorts walking at self-selected speed on an instrumented treadmill (Laidig et al. </w:t>
      </w:r>
      <w:r>
        <w:lastRenderedPageBreak/>
        <w:t>2021). These protocols did not test graded cognitive load in older adults. Dual-task gait assessment has clinical relevance for evaluating fall risk and gait–cognition interactions (Montero-Odasso et al. 2012; Commandeur et al. 2018; Springer et al. 2006). To our knowledge, no prior study has validated gait-event detection and stride-length estimation against a criterion walkway in older adults under graded cognitive load across MoCA-defined cognitive status.</w:t>
      </w:r>
    </w:p>
    <w:p w14:paraId="2D4ADC19" w14:textId="77777777" w:rsidR="001477F4" w:rsidRDefault="00000000" w:rsidP="008E1BBB">
      <w:pPr>
        <w:pStyle w:val="BodyText"/>
        <w:spacing w:after="120" w:line="480" w:lineRule="auto"/>
        <w:jc w:val="both"/>
      </w:pPr>
      <w:r>
        <w:rPr>
          <w:b/>
          <w:bCs/>
        </w:rPr>
        <w:t>The second gap concerns heel-mounted accuracy in older adults.</w:t>
      </w:r>
      <w:r>
        <w:t xml:space="preserve"> A multi-position study in 14 healthy young adults found higher single-stride error at the heel than at five other foot-mounted locations, particularly during fast walking (Küderle et al. 2022). Arens et al. used bilateral foot-mounted sensors and contralateral toe-off information in people post-stroke (</w:t>
      </w:r>
      <m:oMath>
        <m:r>
          <w:rPr>
            <w:rFonts w:ascii="Cambria Math" w:hAnsi="Cambria Math"/>
          </w:rPr>
          <m:t>n</m:t>
        </m:r>
        <m:r>
          <m:rPr>
            <m:sty m:val="p"/>
          </m:rPr>
          <w:rPr>
            <w:rFonts w:ascii="Cambria Math" w:hAnsi="Cambria Math"/>
          </w:rPr>
          <m:t>=</m:t>
        </m:r>
        <m:r>
          <w:rPr>
            <w:rFonts w:ascii="Cambria Math" w:hAnsi="Cambria Math"/>
          </w:rPr>
          <m:t>8</m:t>
        </m:r>
      </m:oMath>
      <w:r>
        <w:t>), with optical motion capture as the reference (Arens et al. 2021). A heel-mounted bilateral ZUPT stance-detection and stride-length pipeline has not been validated against a criterion walkway in older adults walking under graded cognitive load.</w:t>
      </w:r>
    </w:p>
    <w:p w14:paraId="2BEA6EAB" w14:textId="77777777" w:rsidR="001477F4" w:rsidRDefault="00000000" w:rsidP="008E1BBB">
      <w:pPr>
        <w:pStyle w:val="BodyText"/>
        <w:spacing w:after="120" w:line="480" w:lineRule="auto"/>
        <w:jc w:val="both"/>
      </w:pPr>
      <w:r>
        <w:rPr>
          <w:b/>
          <w:bCs/>
        </w:rPr>
        <w:t>Our central contribution is validating two modifications to a calibration-free heel-mounted ZUPT pipeline under graded cognitive load.</w:t>
      </w:r>
      <w:r>
        <w:t xml:space="preserve"> 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p w14:paraId="5BA469D1" w14:textId="77777777" w:rsidR="008E1BBB" w:rsidRDefault="008E1BBB">
      <w:r>
        <w:br w:type="page"/>
      </w:r>
    </w:p>
    <w:p w14:paraId="4D7C4CA5" w14:textId="77777777" w:rsidR="001477F4" w:rsidRDefault="00000000" w:rsidP="0012267C">
      <w:pPr>
        <w:pStyle w:val="Heading1"/>
        <w:jc w:val="both"/>
      </w:pPr>
      <w:bookmarkStart w:id="2" w:name="materials-methods"/>
      <w:bookmarkEnd w:id="1"/>
      <w:r>
        <w:lastRenderedPageBreak/>
        <w:t>Materials &amp; Methods</w:t>
      </w:r>
    </w:p>
    <w:p w14:paraId="349527FD" w14:textId="77777777" w:rsidR="001477F4" w:rsidRDefault="00000000" w:rsidP="0012267C">
      <w:pPr>
        <w:pStyle w:val="Heading2"/>
        <w:jc w:val="both"/>
      </w:pPr>
      <w:bookmarkStart w:id="3" w:name="participants"/>
      <w:r>
        <w:t>Participants</w:t>
      </w:r>
    </w:p>
    <w:p w14:paraId="592BEAC7" w14:textId="77777777" w:rsidR="001477F4" w:rsidRDefault="00000000" w:rsidP="0012267C">
      <w:pPr>
        <w:pStyle w:val="FirstParagraph"/>
        <w:spacing w:after="120" w:line="480" w:lineRule="auto"/>
        <w:jc w:val="both"/>
      </w:pPr>
      <w:r>
        <w:rPr>
          <w:b/>
          <w:bCs/>
        </w:rPr>
        <w:t>Thirty-two community-dwelling older adults completed the protocol after exclusions.</w:t>
      </w:r>
      <w:r>
        <w:t xml:space="preserve"> We recruited 33 community-dwelling older adults aged 60 years or older, of whom 32 contributed to the analysis. The analysed cohort comprised 8 male and 24 female participants, with mean age </w:t>
      </w:r>
      <m:oMath>
        <m:r>
          <w:rPr>
            <w:rFonts w:ascii="Cambria Math" w:hAnsi="Cambria Math"/>
          </w:rPr>
          <m:t>70.8</m:t>
        </m:r>
        <m:r>
          <m:rPr>
            <m:sty m:val="p"/>
          </m:rPr>
          <w:rPr>
            <w:rFonts w:ascii="Cambria Math" w:hAnsi="Cambria Math"/>
          </w:rPr>
          <m:t>±</m:t>
        </m:r>
        <m:r>
          <w:rPr>
            <w:rFonts w:ascii="Cambria Math" w:hAnsi="Cambria Math"/>
          </w:rPr>
          <m:t>7.8</m:t>
        </m:r>
      </m:oMath>
      <w:r>
        <w:t xml:space="preserve"> years (range 60–83), mean height </w:t>
      </w:r>
      <m:oMath>
        <m:r>
          <w:rPr>
            <w:rFonts w:ascii="Cambria Math" w:hAnsi="Cambria Math"/>
          </w:rPr>
          <m:t>167.4</m:t>
        </m:r>
        <m:r>
          <m:rPr>
            <m:sty m:val="p"/>
          </m:rPr>
          <w:rPr>
            <w:rFonts w:ascii="Cambria Math" w:hAnsi="Cambria Math"/>
          </w:rPr>
          <m:t>±</m:t>
        </m:r>
        <m:r>
          <w:rPr>
            <w:rFonts w:ascii="Cambria Math" w:hAnsi="Cambria Math"/>
          </w:rPr>
          <m:t>7.6</m:t>
        </m:r>
      </m:oMath>
      <w:r>
        <w:t xml:space="preserve"> cm, and mean body mass </w:t>
      </w:r>
      <m:oMath>
        <m:r>
          <w:rPr>
            <w:rFonts w:ascii="Cambria Math" w:hAnsi="Cambria Math"/>
          </w:rPr>
          <m:t>73.0</m:t>
        </m:r>
        <m:r>
          <m:rPr>
            <m:sty m:val="p"/>
          </m:rPr>
          <w:rPr>
            <w:rFonts w:ascii="Cambria Math" w:hAnsi="Cambria Math"/>
          </w:rPr>
          <m:t>±</m:t>
        </m:r>
        <m:r>
          <w:rPr>
            <w:rFonts w:ascii="Cambria Math" w:hAnsi="Cambria Math"/>
          </w:rPr>
          <m:t>13.2</m:t>
        </m:r>
      </m:oMath>
      <w:r>
        <w:t xml:space="preserve"> kg (per-participant values in Supplementary Table S1). Supplementary Table S2 reports the two participant-condition records whose paired source data were unavailable. We formed two screening groups using the Montreal Cognitive Assessment (MoCA) (Nasreddine et al. 2005). The groups included 19 cognitively normal participants (CN, MoCA </w:t>
      </w:r>
      <m:oMath>
        <m:r>
          <m:rPr>
            <m:sty m:val="p"/>
          </m:rPr>
          <w:rPr>
            <w:rFonts w:ascii="Cambria Math" w:hAnsi="Cambria Math"/>
          </w:rPr>
          <m:t>≥</m:t>
        </m:r>
      </m:oMath>
      <w:r>
        <w:t xml:space="preserve"> 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p w14:paraId="04DAB448" w14:textId="77777777" w:rsidR="001477F4" w:rsidRDefault="00000000" w:rsidP="0012267C">
      <w:pPr>
        <w:pStyle w:val="Heading2"/>
        <w:jc w:val="both"/>
      </w:pPr>
      <w:bookmarkStart w:id="4" w:name="instrumentation"/>
      <w:bookmarkEnd w:id="3"/>
      <w:r>
        <w:t>Instrumentation</w:t>
      </w:r>
    </w:p>
    <w:p w14:paraId="5542D56B" w14:textId="77777777" w:rsidR="001477F4" w:rsidRDefault="00000000" w:rsidP="0012267C">
      <w:pPr>
        <w:pStyle w:val="FirstParagraph"/>
        <w:spacing w:after="120" w:line="480" w:lineRule="auto"/>
        <w:jc w:val="both"/>
      </w:pPr>
      <w:r>
        <w:rPr>
          <w:b/>
          <w:bCs/>
        </w:rPr>
        <w:t>Heel-mounted IMUs and a pressure-sensitive walkway provided the data analysed in this study.</w:t>
      </w:r>
      <w:r>
        <w:t xml:space="preserve"> 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w:t>
      </w:r>
      <w:r>
        <w:lastRenderedPageBreak/>
        <w:t>and older adults (Washabaugh et al. 2017; Morris et al. 2019). Each heel IMU recorded triaxial accelerometer (</w:t>
      </w:r>
      <m:oMath>
        <m:r>
          <m:rPr>
            <m:sty m:val="p"/>
          </m:rPr>
          <w:rPr>
            <w:rFonts w:ascii="Cambria Math" w:hAnsi="Cambria Math"/>
          </w:rPr>
          <m:t>±</m:t>
        </m:r>
      </m:oMath>
      <w:r>
        <w:t>16 g) and gyroscope (</w:t>
      </w:r>
      <m:oMath>
        <m:r>
          <m:rPr>
            <m:sty m:val="p"/>
          </m:rPr>
          <w:rPr>
            <w:rFonts w:ascii="Cambria Math" w:hAnsi="Cambria Math"/>
          </w:rPr>
          <m:t>±</m:t>
        </m:r>
      </m:oMath>
      <w:r>
        <w:t>2000°/s) data at 256 Hz.</w:t>
      </w:r>
    </w:p>
    <w:p w14:paraId="00024A9C" w14:textId="77777777" w:rsidR="001477F4" w:rsidRDefault="00000000" w:rsidP="0012267C">
      <w:pPr>
        <w:pStyle w:val="BodyText"/>
        <w:spacing w:after="120" w:line="480" w:lineRule="auto"/>
        <w:jc w:val="both"/>
      </w:pPr>
      <w:r>
        <w:t xml:space="preserve">A pressure-sensitive electronic walkway (GaitRite, model Platinum, CIR Systems Inc., Franklin, NJ) served as the criterion reference. The walkway has an active sensing area of 594 cm </w:t>
      </w:r>
      <m:oMath>
        <m:r>
          <m:rPr>
            <m:sty m:val="p"/>
          </m:rPr>
          <w:rPr>
            <w:rFonts w:ascii="Cambria Math" w:hAnsi="Cambria Math"/>
          </w:rPr>
          <m:t>×</m:t>
        </m:r>
      </m:oMath>
      <w:r>
        <w:t xml:space="preserve"> 61 cm with 1.27 cm square sensors that record heel-on to toe-off stance events for each foot at 120 Hz. GaitRite gait parameters show excellent concurrent validity against three-dimensional motion capture, with ICC 0.92–0.99 across walking speed, cadence, step length, and step time (Webster et al. 2005).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p w14:paraId="72F4E2E3" w14:textId="77777777" w:rsidR="001477F4" w:rsidRDefault="00000000" w:rsidP="0012267C">
      <w:pPr>
        <w:pStyle w:val="Heading2"/>
        <w:jc w:val="both"/>
      </w:pPr>
      <w:bookmarkStart w:id="5" w:name="protocol"/>
      <w:bookmarkEnd w:id="4"/>
      <w:r>
        <w:t>Protocol</w:t>
      </w:r>
    </w:p>
    <w:p w14:paraId="37B122B7" w14:textId="77777777" w:rsidR="001477F4" w:rsidRDefault="00000000" w:rsidP="0012267C">
      <w:pPr>
        <w:pStyle w:val="FirstParagraph"/>
        <w:spacing w:after="120" w:line="480" w:lineRule="auto"/>
        <w:jc w:val="both"/>
      </w:pPr>
      <w:r>
        <w:rPr>
          <w:b/>
          <w:bCs/>
        </w:rPr>
        <w:t>Each participant completed four walking conditions, one single-task and three graded dual-task conditions.</w:t>
      </w:r>
      <w:r>
        <w:t xml:space="preserve"> 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p w14:paraId="218D9EAC" w14:textId="77777777" w:rsidR="001477F4" w:rsidRDefault="00000000" w:rsidP="0012267C">
      <w:pPr>
        <w:pStyle w:val="Heading2"/>
        <w:jc w:val="both"/>
      </w:pPr>
      <w:bookmarkStart w:id="6" w:name="signal-preprocessing"/>
      <w:bookmarkEnd w:id="5"/>
      <w:r>
        <w:lastRenderedPageBreak/>
        <w:t>Signal preprocessing</w:t>
      </w:r>
    </w:p>
    <w:p w14:paraId="510CFE4E" w14:textId="77777777" w:rsidR="001477F4" w:rsidRDefault="00000000" w:rsidP="0012267C">
      <w:pPr>
        <w:pStyle w:val="FirstParagraph"/>
        <w:spacing w:after="120" w:line="480" w:lineRule="auto"/>
        <w:jc w:val="both"/>
      </w:pPr>
      <w:r>
        <w:rPr>
          <w:b/>
          <w:bCs/>
        </w:rPr>
        <w:t>We bandpass-filtered the gyroscope signal and aligned the left-right sign convention before further processing.</w:t>
      </w:r>
      <w:r>
        <w:t xml:space="preserve"> 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14:paraId="7A84DDA9" w14:textId="77777777" w:rsidR="0012267C" w:rsidRPr="0012267C" w:rsidRDefault="0012267C" w:rsidP="0012267C">
      <w:pPr>
        <w:pStyle w:val="BodyText"/>
      </w:pPr>
    </w:p>
    <w:p>
      <w:pPr>
        <w:pStyle w:val="BlockText"/>
        <w:jc w:val="left"/>
      </w:pPr>
      <w:r>
        <w:rPr>
          <w:b/>
        </w:rPr>
        <w:t>[FIGURE 1: uploaded separately as Figure1_Methods.png]</w:t>
      </w:r>
    </w:p>
    <w:p w14:paraId="51E2AD86" w14:textId="77777777" w:rsidR="001477F4" w:rsidRDefault="00000000" w:rsidP="0012267C">
      <w:pPr>
        <w:pStyle w:val="BlockText"/>
        <w:keepLines/>
        <w:jc w:val="both"/>
        <w:rPr>
          <w:i/>
          <w:iCs/>
        </w:rPr>
      </w:pPr>
      <w:r>
        <w:rPr>
          <w:i/>
          <w:iCs/>
        </w:rPr>
        <w:t xml:space="preserve">Figure 1.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 </w:t>
      </w:r>
      <m:oMath>
        <m:r>
          <m:rPr>
            <m:sty m:val="p"/>
          </m:rPr>
          <w:rPr>
            <w:rFonts w:ascii="Cambria Math" w:hAnsi="Cambria Math"/>
          </w:rPr>
          <m:t>±</m:t>
        </m:r>
        <m:r>
          <w:rPr>
            <w:rFonts w:ascii="Cambria Math" w:hAnsi="Cambria Math"/>
          </w:rPr>
          <m:t>1</m:t>
        </m:r>
      </m:oMath>
      <w:r>
        <w:rPr>
          <w:i/>
          <w:iCs/>
        </w:rPr>
        <w:t xml:space="preserve"> SD, dashed lines mark heel strike and toe off, and labels identify swing and stance.</w:t>
      </w:r>
    </w:p>
    <w:p w14:paraId="0027D8FB" w14:textId="77777777" w:rsidR="0012267C" w:rsidRPr="0012267C" w:rsidRDefault="0012267C" w:rsidP="0012267C">
      <w:pPr>
        <w:pStyle w:val="BodyText"/>
      </w:pPr>
    </w:p>
    <w:p w14:paraId="13BBCCDC" w14:textId="77777777" w:rsidR="001477F4" w:rsidRDefault="00000000" w:rsidP="0012267C">
      <w:pPr>
        <w:pStyle w:val="Heading2"/>
        <w:jc w:val="both"/>
      </w:pPr>
      <w:bookmarkStart w:id="7" w:name="sec:events"/>
      <w:bookmarkEnd w:id="6"/>
      <w:r>
        <w:t>Gait event detection</w:t>
      </w:r>
    </w:p>
    <w:p w14:paraId="26AEC5D4" w14:textId="77777777" w:rsidR="001477F4" w:rsidRDefault="00000000" w:rsidP="0012267C">
      <w:pPr>
        <w:pStyle w:val="FirstParagraph"/>
        <w:spacing w:after="120" w:line="480" w:lineRule="auto"/>
        <w:jc w:val="both"/>
      </w:pPr>
      <w:r>
        <w:rPr>
          <w:b/>
          <w:bCs/>
        </w:rPr>
        <w:t>We detected heel strikes and toe-offs on each foot using thresholds that adapted to the participant’s walking pattern.</w:t>
      </w:r>
      <w:r>
        <w:t xml:space="preserve"> A fixed cutoff can miss events when stride amplitudes change with walking pace. We therefore adapted an established sagittal-plane gyroscope detector (Salarian et al. 2004) using signal-derived thresholds (Greene et al. 2010). The detector estimated stride frequency from the repeating pattern of the filtered gyroscope signal. Heel-strike and toe-</w:t>
      </w:r>
      <w:r>
        <w:lastRenderedPageBreak/>
        <w:t>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p w14:paraId="19E816D0" w14:textId="77777777" w:rsidR="001477F4" w:rsidRDefault="00000000" w:rsidP="0012267C">
      <w:pPr>
        <w:pStyle w:val="Heading2"/>
        <w:jc w:val="both"/>
      </w:pPr>
      <w:bookmarkStart w:id="8" w:name="sec:stance"/>
      <w:bookmarkEnd w:id="7"/>
      <w:r>
        <w:t>Ipsilateral stance phase detection with contralateral validation</w:t>
      </w:r>
    </w:p>
    <w:p w14:paraId="77BFE979" w14:textId="77777777" w:rsidR="001477F4" w:rsidRDefault="00000000" w:rsidP="0012267C">
      <w:pPr>
        <w:pStyle w:val="FirstParagraph"/>
        <w:spacing w:after="120" w:line="480" w:lineRule="auto"/>
        <w:jc w:val="both"/>
      </w:pPr>
      <w:r>
        <w:rPr>
          <w:b/>
          <w:bCs/>
        </w:rPr>
        <w:t>Stance-phase detection runs in two steps.</w:t>
      </w:r>
      <w:r>
        <w:t xml:space="preserve"> 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14:paraId="186CC4D7" w14:textId="77777777" w:rsidR="001477F4" w:rsidRDefault="00000000" w:rsidP="0012267C">
      <w:pPr>
        <w:pStyle w:val="BodyText"/>
        <w:spacing w:after="120" w:line="480" w:lineRule="auto"/>
        <w:jc w:val="both"/>
      </w:pPr>
      <w:r>
        <w:rPr>
          <w:i/>
          <w:iCs/>
        </w:rPr>
        <w:t>Step 1. Ipsilateral low-motion detection.</w:t>
      </w:r>
      <w:r>
        <w:t xml:space="preserve"> The detector evaluated gyroscope magnitude and accelerometer variability from the same heel sensor, following established fixed-threshold approaches (Skog et al. 2010; Foxlin 2005). We used a sliding 40 ms window. A sample qualified as a stance candidate when both signals fell below adaptive thresholds calculated for each participant and walking condition. The gyroscope criterion identified low rotation during </w:t>
      </w:r>
      <w:r>
        <w:lastRenderedPageBreak/>
        <w:t>foot-flat contact, while the accelerometer criterion rejected brief low-rotation periods during swing. Algorithm 1 lists the thresholds, limits, and recovery window used in the analysis.</w:t>
      </w:r>
    </w:p>
    <w:p w14:paraId="1FC82594" w14:textId="77777777" w:rsidR="001477F4" w:rsidRDefault="00000000" w:rsidP="0012267C">
      <w:pPr>
        <w:pStyle w:val="BodyText"/>
        <w:spacing w:after="120" w:line="480" w:lineRule="auto"/>
        <w:jc w:val="both"/>
      </w:pPr>
      <w:r>
        <w:rPr>
          <w:i/>
          <w:iCs/>
        </w:rPr>
        <w:t>Step 2. Opposite-foot confirmation.</w:t>
      </w:r>
      <w:r>
        <w:t xml:space="preserve"> The detector used opposite-foot toe-off information to confirm stance candidates, following the bilateral approach of Arens et al. (2021).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14:paraId="5C565E74" w14:textId="77777777" w:rsidR="001477F4" w:rsidRDefault="00000000" w:rsidP="0012267C">
      <w:pPr>
        <w:pStyle w:val="BodyText"/>
        <w:spacing w:after="120" w:line="480" w:lineRule="auto"/>
        <w:jc w:val="both"/>
      </w:pPr>
      <w:r>
        <w:rPr>
          <w:i/>
          <w:iCs/>
        </w:rPr>
        <w:t>Fallback to threshold-only detection.</w:t>
      </w:r>
      <w:r>
        <w:t xml:space="preserve"> 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p w14:paraId="7872711D" w14:textId="77777777" w:rsidR="001477F4" w:rsidRDefault="00000000" w:rsidP="0012267C">
      <w:pPr>
        <w:pStyle w:val="Heading2"/>
        <w:jc w:val="both"/>
      </w:pPr>
      <w:bookmarkStart w:id="9" w:name="zupt-stride-length-integration"/>
      <w:bookmarkEnd w:id="8"/>
      <w:r>
        <w:t>ZUPT stride length integration</w:t>
      </w:r>
    </w:p>
    <w:p w14:paraId="596A51BB" w14:textId="77777777" w:rsidR="001477F4" w:rsidRDefault="00000000" w:rsidP="0012267C">
      <w:pPr>
        <w:pStyle w:val="FirstParagraph"/>
        <w:spacing w:after="120" w:line="480" w:lineRule="auto"/>
        <w:jc w:val="both"/>
      </w:pPr>
      <w:r>
        <w:rPr>
          <w:b/>
          <w:bCs/>
        </w:rPr>
        <w:t>We estimated stride length by double-integrating the accelerometer signal between consecutive stance midpoints.</w:t>
      </w:r>
      <w:r>
        <w:t xml:space="preserve"> During each stance phase the foot rests on the ground at zero velocity. The stance mask from Section </w:t>
      </w:r>
      <w:hyperlink w:anchor="sec:stance">
        <w:r w:rsidR="001477F4">
          <w:rPr>
            <w:rStyle w:val="Hyperlink"/>
          </w:rPr>
          <w:t>2.6</w:t>
        </w:r>
      </w:hyperlink>
      <w:r>
        <w:t xml:space="preserve"> flags these zero-velocity intervals, which are used to correct the drift that double integration would otherwise produce (Foxlin 2005; Skog et al. 2010). </w:t>
      </w:r>
      <w:r>
        <w:lastRenderedPageBreak/>
        <w:t>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p w14:paraId="5ECE57DC" w14:textId="77777777" w:rsidR="001477F4" w:rsidRDefault="00000000" w:rsidP="0012267C">
      <w:pPr>
        <w:pStyle w:val="Heading3"/>
        <w:jc w:val="both"/>
      </w:pPr>
      <w:bookmarkStart w:id="10" w:name="orientation-tracking"/>
      <w:r>
        <w:t>Orientation tracking</w:t>
      </w:r>
    </w:p>
    <w:p w14:paraId="2D0D8676" w14:textId="77777777" w:rsidR="00036F30" w:rsidRDefault="00000000" w:rsidP="00036F30">
      <w:pPr>
        <w:pStyle w:val="FirstParagraph"/>
        <w:spacing w:after="120" w:line="480" w:lineRule="auto"/>
        <w:jc w:val="both"/>
      </w:pPr>
      <w:r>
        <w:rPr>
          <w:b/>
          <w:bCs/>
        </w:rPr>
        <w:t>We tracked sensor orientation with a Mahony attitude-and-heading reference system.</w:t>
      </w:r>
      <w:r>
        <w:t xml:space="preserve"> This filter combines gyroscope and accelerometer measurements to estimate how the sensor is oriented relative to gravity (Mahony et al. 2008). We used a higher correction gain during stance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m:t>
        </m:r>
      </m:oMath>
      <w:r>
        <w:t>), when the stationary foot provides a reliable gravity reference, and a lower gain during swing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0.05</m:t>
        </m:r>
      </m:oMath>
      <w:r>
        <w:t xml:space="preserve">), when movement affects the accelerometer signal. The integral gain remained at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0.02</m:t>
        </m:r>
      </m:oMath>
      <w:r>
        <w:t>. We reduced the proportional accelerometer correction gain during swing to limit contamination by dynamic acceleration. This follows the movement-gating rationale of foot-mounted filters that disable accelerometer-based orientation updates during swing (Hannink et al. 2017).</w:t>
      </w:r>
    </w:p>
    <w:p w14:paraId="7AEC3A26" w14:textId="77777777" w:rsidR="001477F4" w:rsidRDefault="00000000" w:rsidP="0012267C">
      <w:pPr>
        <w:pStyle w:val="Heading3"/>
        <w:jc w:val="both"/>
      </w:pPr>
      <w:bookmarkStart w:id="11" w:name="X2fb5b7dfecd7ae0fb648b723dd4b486fcaafee1"/>
      <w:bookmarkEnd w:id="10"/>
      <w:r>
        <w:t>Gravity removal, double integration, and stride length extraction</w:t>
      </w:r>
    </w:p>
    <w:p w14:paraId="537FC97A" w14:textId="77777777" w:rsidR="001477F4" w:rsidRDefault="00000000" w:rsidP="0012267C">
      <w:pPr>
        <w:pStyle w:val="FirstParagraph"/>
        <w:spacing w:after="120" w:line="480" w:lineRule="auto"/>
        <w:jc w:val="both"/>
      </w:pPr>
      <w:r>
        <w:rPr>
          <w:b/>
          <w:bCs/>
        </w:rPr>
        <w:t>We integrated the gravity-removed acceleration twice between consecutive stance midpoints to estimate stride length.</w:t>
      </w:r>
      <w:r>
        <w:t xml:space="preserve"> We rotated the bias-corrected accelerometer signal into the navigation frame using the Mahony-estimated orientation, subtracted gravity, and double-integrated to obtain velocity and position (Foxlin 2005).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w:t>
      </w:r>
      <w:r>
        <w:lastRenderedPageBreak/>
        <w:t>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p w14:paraId="686128F5" w14:textId="77777777" w:rsidR="001477F4" w:rsidRDefault="00000000" w:rsidP="0012267C">
      <w:pPr>
        <w:pStyle w:val="Heading3"/>
        <w:jc w:val="both"/>
      </w:pPr>
      <w:bookmarkStart w:id="12" w:name="retroactive-gravity-residual-correction"/>
      <w:bookmarkEnd w:id="11"/>
      <w:r>
        <w:t>Retroactive gravity-residual correction</w:t>
      </w:r>
    </w:p>
    <w:p w14:paraId="726D1E76" w14:textId="77777777" w:rsidR="001477F4" w:rsidRDefault="00000000" w:rsidP="0012267C">
      <w:pPr>
        <w:pStyle w:val="FirstParagraph"/>
        <w:spacing w:after="120" w:line="480" w:lineRule="auto"/>
        <w:jc w:val="both"/>
      </w:pPr>
      <w:r>
        <w:rPr>
          <w:b/>
          <w:bCs/>
        </w:rPr>
        <w:t>We corrected the acceleration residual that remained after orientation tracking and gravity removal.</w:t>
      </w:r>
      <w:r>
        <w:t xml:space="preserve"> The code refers to this step as bidirectional smoothing. Small orientation errors during swing leave a horizontal acceleration residual after gravity removal, which can bias the integrated stride length (Foxlin 2005; Hannink et al. 2017). The correction reduced this positive offset in the current cohort (Supplementary Table S4).</w:t>
      </w:r>
    </w:p>
    <w:p w14:paraId="5F367E71" w14:textId="77777777" w:rsidR="001477F4" w:rsidRDefault="00000000" w:rsidP="0012267C">
      <w:pPr>
        <w:pStyle w:val="BodyText"/>
        <w:spacing w:after="120" w:line="480" w:lineRule="auto"/>
        <w:jc w:val="both"/>
      </w:pPr>
      <w:r>
        <w:t>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14:paraId="489D8C58" w14:textId="77777777" w:rsidR="001477F4" w:rsidRDefault="00000000" w:rsidP="00036F30">
      <w:pPr>
        <w:pStyle w:val="BodyText"/>
        <w:spacing w:after="120" w:line="480" w:lineRule="auto"/>
        <w:jc w:val="both"/>
      </w:pPr>
      <m:oMathPara>
        <m:oMathParaPr>
          <m:jc m:val="center"/>
        </m:oMathParaPr>
        <m:oMath>
          <m:sSub>
            <m:sSubPr>
              <m:ctrlPr>
                <w:rPr>
                  <w:rFonts w:ascii="Cambria Math" w:hAnsi="Cambria Math"/>
                </w:rPr>
              </m:ctrlPr>
            </m:sSubPr>
            <m:e>
              <m:r>
                <m:rPr>
                  <m:sty m:val="bi"/>
                </m:rPr>
                <w:rPr>
                  <w:rFonts w:ascii="Cambria Math" w:hAnsi="Cambria Math"/>
                </w:rPr>
                <m:t>a</m:t>
              </m:r>
            </m:e>
            <m:sub>
              <m:r>
                <m:rPr>
                  <m:nor/>
                </m:rPr>
                <m:t>corrected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nor/>
                </m:rPr>
                <m:t>nav</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0.5</m:t>
          </m:r>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swing</m:t>
                  </m:r>
                </m:sub>
              </m:sSub>
            </m:den>
          </m:f>
          <m:r>
            <m:rPr>
              <m:sty m:val="p"/>
            </m:rPr>
            <w:rPr>
              <w:rFonts w:ascii="Cambria Math" w:hAnsi="Cambria Math"/>
            </w:rPr>
            <m:t>⋅</m:t>
          </m:r>
          <m:r>
            <m:rPr>
              <m:sty m:val="bi"/>
            </m:rPr>
            <w:rPr>
              <w:rFonts w:ascii="Cambria Math" w:hAnsi="Cambria Math"/>
            </w:rPr>
            <m:t>r</m:t>
          </m:r>
        </m:oMath>
      </m:oMathPara>
    </w:p>
    <w:p w14:paraId="5F1DD6E5" w14:textId="77777777" w:rsidR="001477F4" w:rsidRDefault="00000000" w:rsidP="00036F30">
      <w:pPr>
        <w:pStyle w:val="FirstParagraph"/>
        <w:spacing w:after="120" w:line="480" w:lineRule="auto"/>
        <w:jc w:val="both"/>
      </w:pPr>
      <w:r>
        <w:t xml:space="preserve">where </w:t>
      </w:r>
      <m:oMath>
        <m:r>
          <w:rPr>
            <w:rFonts w:ascii="Cambria Math" w:hAnsi="Cambria Math"/>
          </w:rPr>
          <m:t>t</m:t>
        </m:r>
      </m:oMath>
      <w:r>
        <w:t xml:space="preserve"> is time from swing onset, </w:t>
      </w:r>
      <m:oMath>
        <m:sSub>
          <m:sSubPr>
            <m:ctrlPr>
              <w:rPr>
                <w:rFonts w:ascii="Cambria Math" w:hAnsi="Cambria Math"/>
              </w:rPr>
            </m:ctrlPr>
          </m:sSubPr>
          <m:e>
            <m:r>
              <w:rPr>
                <w:rFonts w:ascii="Cambria Math" w:hAnsi="Cambria Math"/>
              </w:rPr>
              <m:t>T</m:t>
            </m:r>
          </m:e>
          <m:sub>
            <m:r>
              <m:rPr>
                <m:nor/>
              </m:rPr>
              <m:t>swing</m:t>
            </m:r>
          </m:sub>
        </m:sSub>
      </m:oMath>
      <w:r>
        <w:t xml:space="preserve"> is swing duration, and </w:t>
      </w:r>
      <m:oMath>
        <m:r>
          <m:rPr>
            <m:sty m:val="bi"/>
          </m:rPr>
          <w:rPr>
            <w:rFonts w:ascii="Cambria Math" w:hAnsi="Cambria Math"/>
          </w:rPr>
          <m:t>r</m:t>
        </m:r>
      </m:oMath>
      <w:r>
        <w:t xml:space="preserve"> 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p w14:paraId="16CA019C" w14:textId="77777777" w:rsidR="001477F4" w:rsidRDefault="00000000" w:rsidP="00036F30">
      <w:pPr>
        <w:pStyle w:val="Heading3"/>
        <w:jc w:val="both"/>
      </w:pPr>
      <w:bookmarkStart w:id="13" w:name="algorithm-summary"/>
      <w:bookmarkEnd w:id="12"/>
      <w:r>
        <w:lastRenderedPageBreak/>
        <w:t>Algorithm summary</w:t>
      </w:r>
    </w:p>
    <w:p w14:paraId="5EAC7F28" w14:textId="77777777" w:rsidR="00036F30" w:rsidRDefault="00000000" w:rsidP="00036F30">
      <w:pPr>
        <w:pStyle w:val="FirstParagraph"/>
        <w:spacing w:after="120" w:line="480" w:lineRule="auto"/>
        <w:jc w:val="both"/>
      </w:pPr>
      <w:r>
        <w:rPr>
          <w:b/>
          <w:bCs/>
        </w:rPr>
        <w:t>Algorithm 1 summarises the complete processing sequence.</w:t>
      </w:r>
      <w:r>
        <w:t xml:space="preserve"> 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 (Foxlin 2005; Skog et al. 2010).</w:t>
      </w:r>
    </w:p>
    <w:p w14:paraId="1A97184C" w14:textId="77777777" w:rsidR="00036F30" w:rsidRPr="00036F30" w:rsidRDefault="00036F30" w:rsidP="00036F30">
      <w:pPr>
        <w:pStyle w:val="BodyText"/>
      </w:pPr>
    </w:p>
    <w:p w14:paraId="7564BF28" w14:textId="77777777" w:rsidR="0058399F" w:rsidRDefault="00000000">
      <w:pPr>
        <w:pStyle w:val="BlockText"/>
        <w:keepNext/>
        <w:keepLines/>
        <w:rPr>
          <w:b/>
          <w:bCs/>
        </w:rPr>
      </w:pPr>
      <w:r>
        <w:rPr>
          <w:b/>
          <w:bCs/>
        </w:rPr>
        <w:t xml:space="preserve">[ALGORITHM 1: </w:t>
      </w:r>
    </w:p>
    <w:p w14:paraId="318BCB44" w14:textId="50089C65" w:rsidR="001477F4" w:rsidRDefault="00000000">
      <w:pPr>
        <w:pStyle w:val="BlockText"/>
        <w:keepNext/>
        <w:keepLines/>
      </w:pPr>
      <w:r>
        <w:rPr>
          <w:b/>
          <w:bCs/>
        </w:rPr>
        <w:t>placeholder. Bilateral ZUPT stride-length estimation pseudocode]</w:t>
      </w:r>
    </w:p>
    <w:p w14:paraId="5B01B742" w14:textId="77777777" w:rsidR="00036F30" w:rsidRPr="00036F30" w:rsidRDefault="00036F30" w:rsidP="00036F30">
      <w:pPr>
        <w:pStyle w:val="BodyText"/>
      </w:pPr>
    </w:p>
    <w:p w14:paraId="6BE04AB9" w14:textId="77777777" w:rsidR="001477F4" w:rsidRDefault="00000000" w:rsidP="00036F30">
      <w:pPr>
        <w:pStyle w:val="Heading2"/>
        <w:jc w:val="both"/>
      </w:pPr>
      <w:bookmarkStart w:id="14" w:name="sec:matching"/>
      <w:bookmarkEnd w:id="9"/>
      <w:bookmarkEnd w:id="13"/>
      <w:r>
        <w:t>GaitRite stride matching</w:t>
      </w:r>
    </w:p>
    <w:p w14:paraId="169F7CB1" w14:textId="77777777" w:rsidR="001477F4" w:rsidRDefault="00000000" w:rsidP="00036F30">
      <w:pPr>
        <w:pStyle w:val="FirstParagraph"/>
        <w:spacing w:after="120" w:line="480" w:lineRule="auto"/>
        <w:jc w:val="both"/>
      </w:pPr>
      <w:r>
        <w:rPr>
          <w:b/>
          <w:bCs/>
        </w:rPr>
        <w:t>We paired each ZUPT stride with its GaitRite counterpart using clock alignment and stride-level checks.</w:t>
      </w:r>
      <w:r>
        <w:t xml:space="preserve"> 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14:paraId="7F7F51E9" w14:textId="77777777" w:rsidR="001477F4" w:rsidRDefault="00000000" w:rsidP="00036F30">
      <w:pPr>
        <w:pStyle w:val="BodyText"/>
        <w:spacing w:after="120" w:line="480" w:lineRule="auto"/>
        <w:jc w:val="both"/>
      </w:pPr>
      <w:r>
        <w:lastRenderedPageBreak/>
        <w:t>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14:paraId="52766003" w14:textId="77777777" w:rsidR="001477F4" w:rsidRDefault="00000000" w:rsidP="00036F30">
      <w:pPr>
        <w:pStyle w:val="BodyText"/>
        <w:spacing w:after="120" w:line="480" w:lineRule="auto"/>
        <w:jc w:val="both"/>
      </w:pPr>
      <w:r>
        <w:rPr>
          <w:b/>
          <w:bCs/>
        </w:rPr>
        <w:t>The final analysis included 10,472 paired strides from 32 participants.</w:t>
      </w:r>
      <w:r>
        <w:t xml:space="preserve"> 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1,764 available walks, 1,669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2,544 single-task, 2,618 serial-2, 2,770 serial-3, and 2,540 serial-7 strides. The conditions included 32, 30, 32, and 32 participants, respectively.</w:t>
      </w:r>
    </w:p>
    <w:p w14:paraId="224E4369" w14:textId="77777777" w:rsidR="001477F4" w:rsidRDefault="00000000" w:rsidP="00036F30">
      <w:pPr>
        <w:pStyle w:val="Heading2"/>
        <w:jc w:val="both"/>
      </w:pPr>
      <w:bookmarkStart w:id="15" w:name="sec:outcomes"/>
      <w:bookmarkEnd w:id="14"/>
      <w:r>
        <w:t>Outcome measures and statistical analysis</w:t>
      </w:r>
    </w:p>
    <w:p w14:paraId="2F7CD156" w14:textId="77777777" w:rsidR="001477F4" w:rsidRDefault="00000000" w:rsidP="00036F30">
      <w:pPr>
        <w:pStyle w:val="FirstParagraph"/>
        <w:spacing w:after="120" w:line="480" w:lineRule="auto"/>
        <w:jc w:val="both"/>
      </w:pPr>
      <w:r>
        <w:rPr>
          <w:b/>
          <w:bCs/>
        </w:rPr>
        <w:t>The primary outcome was pooled stride-level RMSE between IMU and GaitRite stride length.</w:t>
      </w:r>
      <w:r>
        <w:t xml:space="preserve"> Agreement outcomes included signed bias, SD of the error, 95% limits of agreement, MAE, ICC(2,1), and proportional bias. We calculated bias and limits of agreement following Bland and Altman (1986) and ICC(2,1) following Shrout and Fleiss (1979). We also reported the percentage of strides within 5 and 10 cm and calculated RMSE and MAE at the participant level. Event-detection outcomes were miss rate, timing bias, and RMSE against GaitRite heel strikes </w:t>
      </w:r>
      <w:r>
        <w:lastRenderedPageBreak/>
        <w:t>and toe-offs. A missed event had no IMU match within 150 ms. To assess stride-to-stride consistency, we calculated stride-length coefficient of variation for each participant and condition and compared the IMU and GaitRite values using bias, RMSE, and ICC(2,1).</w:t>
      </w:r>
    </w:p>
    <w:p w14:paraId="6277A0F0" w14:textId="77777777" w:rsidR="001477F4" w:rsidRDefault="00000000" w:rsidP="00036F30">
      <w:pPr>
        <w:pStyle w:val="BodyText"/>
        <w:spacing w:after="120" w:line="480" w:lineRule="auto"/>
        <w:jc w:val="both"/>
      </w:pPr>
      <w:r>
        <w:t>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14:paraId="22660915" w14:textId="77777777" w:rsidR="001477F4" w:rsidRDefault="00000000" w:rsidP="00036F30">
      <w:pPr>
        <w:pStyle w:val="BodyText"/>
        <w:spacing w:after="120" w:line="480" w:lineRule="auto"/>
        <w:jc w:val="both"/>
      </w:pPr>
      <w:r>
        <w:t>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without using the regression for participant-level inference. Participant MAE confidence intervals in Fig. 3 used 2,000 walk-cluster resamples. We ran all analyses in Python 3.13 with pingouin 0.6.1, statsmodels 0.14.6, and scipy 1.17. We </w:t>
      </w:r>
      <w:r>
        <w:lastRenderedPageBreak/>
        <w:t>selected and reported reliability and agreement measures following the Guidelines for Reporting Reliability and Agreement Studies (GRRAS) (Kottner et al. 2011).</w:t>
      </w:r>
    </w:p>
    <w:p w14:paraId="3F7721B4" w14:textId="77777777" w:rsidR="001477F4" w:rsidRDefault="00000000" w:rsidP="00036F30">
      <w:pPr>
        <w:pStyle w:val="BodyText"/>
        <w:spacing w:after="120" w:line="480" w:lineRule="auto"/>
        <w:jc w:val="both"/>
      </w:pPr>
      <w:r>
        <w:rPr>
          <w:b/>
          <w:bCs/>
        </w:rPr>
        <w:t>We assessed cohort-level accuracy with a participant-clustered bootstrap.</w:t>
      </w:r>
      <w:r>
        <w:t xml:space="preserve"> We resampled the 32 participants with replacement and recomputed RMSE, MAE, bias, and ICC on the resulting stride pool. We repeated this process 10,000 times to obtain 95% percentile confidence intervals. The sample size was based on participant availability rather than a prospective power calculation.</w:t>
      </w:r>
    </w:p>
    <w:p w14:paraId="5854BD46" w14:textId="77777777" w:rsidR="001477F4" w:rsidRDefault="00000000" w:rsidP="00036F30">
      <w:pPr>
        <w:pStyle w:val="BodyText"/>
        <w:spacing w:after="120" w:line="480" w:lineRule="auto"/>
        <w:jc w:val="both"/>
      </w:pPr>
      <w:r>
        <w:rPr>
          <w:b/>
          <w:bCs/>
        </w:rPr>
        <w:t>We ran two sensitivity analyses.</w:t>
      </w:r>
      <w:r>
        <w:t xml:space="preserve"> 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p w14:paraId="45EDF9D3" w14:textId="77777777" w:rsidR="00036F30" w:rsidRDefault="00036F30">
      <w:r>
        <w:br w:type="page"/>
      </w:r>
    </w:p>
    <w:p w14:paraId="5595F3DC" w14:textId="77777777" w:rsidR="001477F4" w:rsidRDefault="00000000">
      <w:pPr>
        <w:pStyle w:val="Heading1"/>
      </w:pPr>
      <w:bookmarkStart w:id="16" w:name="results"/>
      <w:bookmarkEnd w:id="2"/>
      <w:bookmarkEnd w:id="15"/>
      <w:r>
        <w:lastRenderedPageBreak/>
        <w:t>Results</w:t>
      </w:r>
    </w:p>
    <w:p w14:paraId="74B92173" w14:textId="77777777" w:rsidR="001477F4" w:rsidRDefault="00000000" w:rsidP="00036F30">
      <w:pPr>
        <w:pStyle w:val="Heading2"/>
        <w:jc w:val="both"/>
      </w:pPr>
      <w:bookmarkStart w:id="17" w:name="gait-event-detection-accuracy"/>
      <w:r>
        <w:t>Gait event detection accuracy</w:t>
      </w:r>
    </w:p>
    <w:p w14:paraId="7D453382" w14:textId="77777777" w:rsidR="001477F4" w:rsidRDefault="00000000" w:rsidP="00036F30">
      <w:pPr>
        <w:pStyle w:val="FirstParagraph"/>
        <w:spacing w:after="120" w:line="480" w:lineRule="auto"/>
        <w:jc w:val="both"/>
      </w:pPr>
      <w:r>
        <w:rPr>
          <w:b/>
          <w:bCs/>
        </w:rPr>
        <w:t>The adaptive-threshold detector matched GaitRite heel strikes within 33 ms RMSE and toe-offs within 39 ms RMSE.</w:t>
      </w:r>
      <w:r>
        <w:t xml:space="preserve"> 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14:paraId="62D5F04B" w14:textId="77777777" w:rsidR="00036F30" w:rsidRPr="00036F30" w:rsidRDefault="00036F30" w:rsidP="00036F30">
      <w:pPr>
        <w:pStyle w:val="BodyText"/>
      </w:pPr>
    </w:p>
    <w:p w14:paraId="44706701" w14:textId="77777777" w:rsidR="001477F4" w:rsidRDefault="00000000" w:rsidP="00036F30">
      <w:pPr>
        <w:pStyle w:val="BlockText"/>
        <w:keepNext/>
        <w:keepLines/>
        <w:jc w:val="both"/>
      </w:pPr>
      <w:r>
        <w:rPr>
          <w:b/>
          <w:bCs/>
        </w:rPr>
        <w:t xml:space="preserve">[TABLE 1: placeholder. Label: </w:t>
      </w:r>
      <w:r>
        <w:rPr>
          <w:rStyle w:val="VerbatimChar"/>
          <w:b/>
          <w:bCs/>
        </w:rPr>
        <w:t>tab:events</w:t>
      </w:r>
      <w:r>
        <w:rPr>
          <w:b/>
          <w:bCs/>
        </w:rPr>
        <w:t>]</w:t>
      </w:r>
    </w:p>
    <w:p w14:paraId="272C7193" w14:textId="77777777" w:rsidR="001477F4" w:rsidRDefault="00000000" w:rsidP="00036F30">
      <w:pPr>
        <w:pStyle w:val="BlockText"/>
        <w:keepLines/>
        <w:jc w:val="both"/>
        <w:rPr>
          <w:i/>
          <w:iCs/>
        </w:rPr>
      </w:pPr>
      <w:r>
        <w:rPr>
          <w:i/>
          <w:iCs/>
        </w:rPr>
        <w:t>Caption: Adaptive-threshold gait-event accuracy. HS = heel strike; TO = toe off. Miss rate is the percentage of GaitRite events unmatched within 150 ms. Bias = mean IMU-minus-GaitRite timing error.</w:t>
      </w:r>
    </w:p>
    <w:p w14:paraId="6F0DD091" w14:textId="77777777" w:rsidR="00036F30" w:rsidRPr="00036F30" w:rsidRDefault="00036F30" w:rsidP="00036F30">
      <w:pPr>
        <w:pStyle w:val="BodyText"/>
      </w:pPr>
    </w:p>
    <w:p w14:paraId="0007456A" w14:textId="77777777" w:rsidR="001477F4" w:rsidRDefault="00000000" w:rsidP="00036F30">
      <w:pPr>
        <w:pStyle w:val="Heading2"/>
        <w:jc w:val="both"/>
      </w:pPr>
      <w:bookmarkStart w:id="18" w:name="Xd86e64a745c46e2bf38b636da7693d2091dbbe3"/>
      <w:bookmarkEnd w:id="17"/>
      <w:r>
        <w:t>Stance detection and event-timing comparisons</w:t>
      </w:r>
    </w:p>
    <w:p w14:paraId="31FE94DA" w14:textId="77777777" w:rsidR="001477F4" w:rsidRDefault="00000000" w:rsidP="00036F30">
      <w:pPr>
        <w:pStyle w:val="FirstParagraph"/>
        <w:spacing w:after="120" w:line="480" w:lineRule="auto"/>
        <w:jc w:val="both"/>
      </w:pPr>
      <w:r>
        <w:rPr>
          <w:b/>
          <w:bCs/>
        </w:rPr>
        <w:t>Bilateral validation recovered more reference strides with similar accuracy.</w:t>
      </w:r>
      <w:r>
        <w:t xml:space="preserve"> On the GaitRite-labelled strides, bilateral validation recovered 10,472 matched pairs compared with 9,708 for threshold-only detection (Table 2). The two methods differed by 0.1 cm RMSE and both returned an ICC of 0.976.</w:t>
      </w:r>
    </w:p>
    <w:p w14:paraId="0EA14285" w14:textId="77777777" w:rsidR="001477F4" w:rsidRDefault="00000000" w:rsidP="00036F30">
      <w:pPr>
        <w:pStyle w:val="BodyText"/>
        <w:spacing w:after="120" w:line="480" w:lineRule="auto"/>
        <w:jc w:val="both"/>
      </w:pPr>
      <w:r>
        <w:rPr>
          <w:b/>
          <w:bCs/>
        </w:rPr>
        <w:t>Substituting GaitRite heel-strike timing for the internal mid-stance anchor did not reduce stride-length error.</w:t>
      </w:r>
      <w:r>
        <w:t xml:space="preserve"> We re-ran the ZUPT integrator with GaitRite-derived heel-strike times as displacement endpoints on the 10,459 strides matched in both anchoring schemes. RMSE rose from 3.9 to 4.1 cm and ICC fell from 0.976 to 0.973 (Table 2).</w:t>
      </w:r>
    </w:p>
    <w:p w14:paraId="5B81A8D4" w14:textId="77777777" w:rsidR="00036F30" w:rsidRDefault="00036F30" w:rsidP="00036F30">
      <w:pPr>
        <w:pStyle w:val="BodyText"/>
        <w:spacing w:after="120" w:line="480" w:lineRule="auto"/>
        <w:jc w:val="both"/>
      </w:pPr>
    </w:p>
    <w:p w14:paraId="1836B5EB" w14:textId="77777777" w:rsidR="001477F4" w:rsidRDefault="00000000">
      <w:pPr>
        <w:pStyle w:val="BlockText"/>
        <w:keepNext/>
        <w:keepLines/>
      </w:pPr>
      <w:r>
        <w:rPr>
          <w:b/>
          <w:bCs/>
        </w:rPr>
        <w:lastRenderedPageBreak/>
        <w:t xml:space="preserve">[TABLE 2: placeholder. Label: </w:t>
      </w:r>
      <w:r>
        <w:rPr>
          <w:rStyle w:val="VerbatimChar"/>
          <w:b/>
          <w:bCs/>
        </w:rPr>
        <w:t>tab:design</w:t>
      </w:r>
      <w:r>
        <w:rPr>
          <w:b/>
          <w:bCs/>
        </w:rPr>
        <w:t>]</w:t>
      </w:r>
    </w:p>
    <w:p w14:paraId="05EDB73D" w14:textId="77777777" w:rsidR="001477F4" w:rsidRDefault="00000000" w:rsidP="00036F30">
      <w:pPr>
        <w:pStyle w:val="BlockText"/>
        <w:keepLines/>
        <w:jc w:val="both"/>
        <w:rPr>
          <w:i/>
          <w:iCs/>
        </w:rPr>
      </w:pPr>
      <w:r>
        <w:rPr>
          <w:i/>
          <w:iCs/>
        </w:rPr>
        <w:t xml:space="preserve">Caption: Pipeline design comparisons. The blocks compare stance detection and integration anchors on their respective shared stride sets, so </w:t>
      </w:r>
      <m:oMath>
        <m:r>
          <w:rPr>
            <w:rFonts w:ascii="Cambria Math" w:hAnsi="Cambria Math"/>
          </w:rPr>
          <m:t>N</m:t>
        </m:r>
      </m:oMath>
      <w:r>
        <w:rPr>
          <w:i/>
          <w:iCs/>
        </w:rPr>
        <w:t xml:space="preserve"> differs. All other pipeline steps were held constant. Bias = IMU minus GaitRite.</w:t>
      </w:r>
    </w:p>
    <w:p w14:paraId="0B9B61DA" w14:textId="77777777" w:rsidR="00036F30" w:rsidRPr="00036F30" w:rsidRDefault="00036F30" w:rsidP="00036F30">
      <w:pPr>
        <w:pStyle w:val="BodyText"/>
        <w:jc w:val="both"/>
      </w:pPr>
    </w:p>
    <w:p w14:paraId="63058EA2" w14:textId="77777777" w:rsidR="001477F4" w:rsidRDefault="00000000" w:rsidP="00036F30">
      <w:pPr>
        <w:pStyle w:val="Heading2"/>
        <w:jc w:val="both"/>
      </w:pPr>
      <w:bookmarkStart w:id="19" w:name="sec:results_accuracy"/>
      <w:bookmarkEnd w:id="18"/>
      <w:r>
        <w:t>Stride length accuracy</w:t>
      </w:r>
    </w:p>
    <w:p w14:paraId="673DBDA8" w14:textId="77777777" w:rsidR="001477F4" w:rsidRDefault="00000000" w:rsidP="00036F30">
      <w:pPr>
        <w:pStyle w:val="FirstParagraph"/>
        <w:spacing w:after="120" w:line="480" w:lineRule="auto"/>
        <w:jc w:val="both"/>
      </w:pPr>
      <w:r>
        <w:rPr>
          <w:b/>
          <w:bCs/>
        </w:rPr>
        <w:t>The pipeline measured stride length with 3.9 cm RMSE and 2.5 cm MAE.</w:t>
      </w:r>
      <w:r>
        <w:t xml:space="preserve"> The pooled analysis included 10,472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 </w:t>
      </w:r>
      <m:oMath>
        <m:r>
          <m:rPr>
            <m:sty m:val="p"/>
          </m:rPr>
          <w:rPr>
            <w:rFonts w:ascii="Cambria Math" w:hAnsi="Cambria Math"/>
          </w:rPr>
          <m:t>±</m:t>
        </m:r>
        <m:r>
          <w:rPr>
            <w:rFonts w:ascii="Cambria Math" w:hAnsi="Cambria Math"/>
          </w:rPr>
          <m:t>5</m:t>
        </m:r>
      </m:oMath>
      <w:r>
        <w:t xml:space="preserve"> cm for 87% of stride pairs and within </w:t>
      </w:r>
      <m:oMath>
        <m:r>
          <m:rPr>
            <m:sty m:val="p"/>
          </m:rPr>
          <w:rPr>
            <w:rFonts w:ascii="Cambria Math" w:hAnsi="Cambria Math"/>
          </w:rPr>
          <m:t>±</m:t>
        </m:r>
        <m:r>
          <w:rPr>
            <w:rFonts w:ascii="Cambria Math" w:hAnsi="Cambria Math"/>
          </w:rPr>
          <m:t>10</m:t>
        </m:r>
      </m:oMath>
      <w:r>
        <w:t xml:space="preserve"> cm for 97%. Proportional bias was weak (slope </w:t>
      </w:r>
      <m:oMath>
        <m:r>
          <w:rPr>
            <w:rFonts w:ascii="Cambria Math" w:hAnsi="Cambria Math"/>
          </w:rPr>
          <m:t>0.036</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0.026</m:t>
        </m:r>
      </m:oMath>
      <w:r>
        <w:t>). Relative to the mean GaitRite stride length of 1.20 m, pooled RMSE was 3.2% and MAE was 2.1%.</w:t>
      </w:r>
    </w:p>
    <w:p w14:paraId="46A1C9F2" w14:textId="77777777" w:rsidR="001477F4" w:rsidRDefault="00000000" w:rsidP="00036F30">
      <w:pPr>
        <w:pStyle w:val="BodyText"/>
        <w:spacing w:after="120" w:line="480" w:lineRule="auto"/>
        <w:jc w:val="both"/>
      </w:pPr>
      <w:r>
        <w:t>Bias was positive across all four conditions and error distributions overlapped (Table 3). Participant-level MAE ranged from 1.6 to 4.7 cm, with 31 of 32 participants below 4 cm (Fig. 3). Mean per-participant RMSE was 3.8 cm and ranged from 2.1 to 7.2 cm.</w:t>
      </w:r>
    </w:p>
    <w:p w14:paraId="47CD22AE" w14:textId="77777777" w:rsidR="00036F30" w:rsidRDefault="00000000" w:rsidP="00036F30">
      <w:pPr>
        <w:pStyle w:val="BodyText"/>
        <w:spacing w:after="120" w:line="480" w:lineRule="auto"/>
        <w:jc w:val="both"/>
      </w:pPr>
      <w:r>
        <w:t>When we disabled the retroactive gravity-residual correction on the same matched strides, pooled RMSE and bias increased (Supplementary Table S4).</w:t>
      </w:r>
    </w:p>
    <w:p w14:paraId="23B837EB" w14:textId="77777777" w:rsidR="001477F4" w:rsidRDefault="00000000" w:rsidP="00036F30">
      <w:pPr>
        <w:pStyle w:val="BlockText"/>
        <w:keepNext/>
        <w:keepLines/>
        <w:jc w:val="both"/>
      </w:pPr>
      <w:r>
        <w:rPr>
          <w:b/>
          <w:bCs/>
        </w:rPr>
        <w:t xml:space="preserve">[TABLE 3: placeholder. Label: </w:t>
      </w:r>
      <w:r>
        <w:rPr>
          <w:rStyle w:val="VerbatimChar"/>
          <w:b/>
          <w:bCs/>
        </w:rPr>
        <w:t>tab:accuracy</w:t>
      </w:r>
      <w:r>
        <w:rPr>
          <w:b/>
          <w:bCs/>
        </w:rPr>
        <w:t>]</w:t>
      </w:r>
    </w:p>
    <w:p w14:paraId="6D45E984" w14:textId="77777777" w:rsidR="001477F4" w:rsidRDefault="00000000" w:rsidP="00036F30">
      <w:pPr>
        <w:pStyle w:val="BlockText"/>
        <w:keepLines/>
        <w:jc w:val="both"/>
      </w:pPr>
      <w:r>
        <w:rPr>
          <w:i/>
          <w:iCs/>
        </w:rPr>
        <w:t xml:space="preserve">Caption: Bilateral ZUPT stride-length accuracy by condition. </w:t>
      </w:r>
      <m:oMath>
        <m:r>
          <w:rPr>
            <w:rFonts w:ascii="Cambria Math" w:hAnsi="Cambria Math"/>
          </w:rPr>
          <m:t>n</m:t>
        </m:r>
      </m:oMath>
      <w:r>
        <w:rPr>
          <w:i/>
          <w:iCs/>
        </w:rPr>
        <w:t xml:space="preserve"> = participants; </w:t>
      </w:r>
      <m:oMath>
        <m:r>
          <w:rPr>
            <w:rFonts w:ascii="Cambria Math" w:hAnsi="Cambria Math"/>
          </w:rPr>
          <m:t>N</m:t>
        </m:r>
      </m:oMath>
      <w:r>
        <w:rPr>
          <w:i/>
          <w:iCs/>
        </w:rPr>
        <w:t xml:space="preserve"> = matched stride pairs; bias = mean IMU-minus-GaitRite error; LoA = Bland–Altman 95% limits of agreement.</w:t>
      </w:r>
    </w:p>
    <w:p w14:paraId="2E1C612B" w14:textId="77777777" w:rsidR="00036F30" w:rsidRDefault="00036F30">
      <w:pPr>
        <w:pStyle w:val="BlockText"/>
        <w:keepNext/>
        <w:keepLines/>
        <w:rPr>
          <w:b/>
          <w:bCs/>
        </w:rPr>
      </w:pPr>
    </w:p>
    <w:p w14:paraId="11C87DF9" w14:textId="77777777" w:rsidR="001477F4" w:rsidRDefault="00000000">
      <w:pPr>
        <w:pStyle w:val="BlockText"/>
        <w:keepNext/>
        <w:keepLines/>
      </w:pPr>
      <w:r>
        <w:rPr>
          <w:b/>
          <w:bCs/>
        </w:rPr>
        <w:t xml:space="preserve">[FIGURE 2: placeholder. Label: </w:t>
      </w:r>
      <w:r>
        <w:rPr>
          <w:rStyle w:val="VerbatimChar"/>
          <w:b/>
          <w:bCs/>
        </w:rPr>
        <w:t>fig:scatter</w:t>
      </w:r>
      <w:r>
        <w:rPr>
          <w:b/>
          <w:bCs/>
        </w:rPr>
        <w:t>]</w:t>
      </w:r>
    </w:p>
    <w:p w14:paraId="53957AA5" w14:textId="77777777" w:rsidR="001477F4" w:rsidRDefault="00000000">
      <w:pPr>
        <w:pStyle w:val="BlockText"/>
        <w:keepLines/>
        <w:rPr>
          <w:i/>
          <w:iCs/>
        </w:rPr>
      </w:pPr>
      <w:r>
        <w:rPr>
          <w:i/>
          <w:iCs/>
        </w:rPr>
        <w:t xml:space="preserve">Caption: Stride length agreement between IMU and GaitRite. (a) All 10,472 matched strides. The dashed line marks identity, and the contour encloses the densest 97.5% of points. Linear fit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0.954</m:t>
        </m:r>
      </m:oMath>
      <w:r>
        <w:rPr>
          <w:i/>
          <w:iCs/>
        </w:rPr>
        <w:t>, slope = 1.012, and ICC(2,1) = 0.976. (b) Bland–Altman plot. The red line marks mean bias (+0.003 m), dashed lines mark the 95% limits of agreement (-0.073 to +0.078 m), and the dotted line shows proportional bias (slope = 0.036).</w:t>
      </w:r>
    </w:p>
    <w:p w14:paraId="288EE6D5" w14:textId="77777777" w:rsidR="00036F30" w:rsidRPr="00036F30" w:rsidRDefault="00036F30" w:rsidP="00036F30">
      <w:pPr>
        <w:pStyle w:val="BodyText"/>
      </w:pPr>
    </w:p>
    <w:p w14:paraId="0D3A3985" w14:textId="77777777" w:rsidR="001477F4" w:rsidRDefault="00000000">
      <w:pPr>
        <w:pStyle w:val="BlockText"/>
        <w:keepNext/>
        <w:keepLines/>
      </w:pPr>
      <w:r>
        <w:rPr>
          <w:b/>
          <w:bCs/>
        </w:rPr>
        <w:t xml:space="preserve">[FIGURE 3: placeholder. Label: </w:t>
      </w:r>
      <w:r>
        <w:rPr>
          <w:rStyle w:val="VerbatimChar"/>
          <w:b/>
          <w:bCs/>
        </w:rPr>
        <w:t>fig:subject_accuracy</w:t>
      </w:r>
      <w:r>
        <w:rPr>
          <w:b/>
          <w:bCs/>
        </w:rPr>
        <w:t>]</w:t>
      </w:r>
    </w:p>
    <w:p w14:paraId="0DBD6961" w14:textId="77777777" w:rsidR="001477F4" w:rsidRDefault="00000000">
      <w:pPr>
        <w:pStyle w:val="BlockText"/>
        <w:keepLines/>
        <w:rPr>
          <w:i/>
          <w:iCs/>
        </w:rPr>
      </w:pPr>
      <w:r>
        <w:rPr>
          <w:i/>
          <w:iCs/>
        </w:rPr>
        <w:t>Caption: Participant stride-length accuracy across conditions (</w:t>
      </w:r>
      <m:oMath>
        <m:r>
          <w:rPr>
            <w:rFonts w:ascii="Cambria Math" w:hAnsi="Cambria Math"/>
          </w:rPr>
          <m:t>n</m:t>
        </m:r>
        <m:r>
          <m:rPr>
            <m:sty m:val="p"/>
          </m:rPr>
          <w:rPr>
            <w:rFonts w:ascii="Cambria Math" w:hAnsi="Cambria Math"/>
          </w:rPr>
          <m:t>=</m:t>
        </m:r>
        <m:r>
          <w:rPr>
            <w:rFonts w:ascii="Cambria Math" w:hAnsi="Cambria Math"/>
          </w:rPr>
          <m:t>32</m:t>
        </m:r>
      </m:oMath>
      <w:r>
        <w:rPr>
          <w:i/>
          <w:iCs/>
        </w:rPr>
        <w:t>). Dots show participants sorted by MAE with 95% CIs. The solid red and dashed grey lines mark the mean (2.5 cm) and median (2.4 cm), respectively.</w:t>
      </w:r>
    </w:p>
    <w:p w14:paraId="36805B59" w14:textId="77777777" w:rsidR="00036F30" w:rsidRPr="00036F30" w:rsidRDefault="00036F30" w:rsidP="00036F30">
      <w:pPr>
        <w:pStyle w:val="BodyText"/>
      </w:pPr>
    </w:p>
    <w:p w14:paraId="753D2624" w14:textId="77777777" w:rsidR="001477F4" w:rsidRDefault="00000000" w:rsidP="00036F30">
      <w:pPr>
        <w:pStyle w:val="Heading3"/>
        <w:jc w:val="both"/>
      </w:pPr>
      <w:bookmarkStart w:id="20" w:name="X465397551c79621803eb45cea87c617818668d5"/>
      <w:r>
        <w:t>Effect of cognitive load and cognitive status on stride length accuracy</w:t>
      </w:r>
    </w:p>
    <w:p w14:paraId="45ED37DA" w14:textId="77777777" w:rsidR="001477F4" w:rsidRDefault="00000000" w:rsidP="00036F30">
      <w:pPr>
        <w:pStyle w:val="FirstParagraph"/>
        <w:spacing w:after="120" w:line="480" w:lineRule="auto"/>
        <w:jc w:val="both"/>
      </w:pPr>
      <w:r>
        <w:rPr>
          <w:b/>
          <w:bCs/>
        </w:rPr>
        <w:t>Accuracy did not differ across walking conditions, but participant-level error was modestly higher in the MoCA-defined CI group.</w:t>
      </w:r>
      <w:r>
        <w:t xml:space="preserve"> The repeated-measures ANOVA on participant-level MAE included the 30 participants with data in all four conditions. It found no evidence of a condition effect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No comparison between single-task and a dual-task condition was significant after Bonferroni correction. Absolute error was also weakly related to gait speed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0.002</m:t>
        </m:r>
      </m:oMath>
      <w:r>
        <w:t>). Mean signed bias was below 1 cm in every condition (Table 3).</w:t>
      </w:r>
    </w:p>
    <w:p w14:paraId="38847AF1" w14:textId="77777777" w:rsidR="001477F4" w:rsidRDefault="00000000" w:rsidP="00036F30">
      <w:pPr>
        <w:pStyle w:val="BodyText"/>
        <w:spacing w:after="120" w:line="480" w:lineRule="auto"/>
        <w:jc w:val="both"/>
      </w:pPr>
      <w:r>
        <w:t>Stratified by MoCA-defined cognitive status, RMSE was 3.65 cm in CN participants (</w:t>
      </w:r>
      <m:oMath>
        <m:r>
          <w:rPr>
            <w:rFonts w:ascii="Cambria Math" w:hAnsi="Cambria Math"/>
          </w:rPr>
          <m:t>n</m:t>
        </m:r>
        <m:r>
          <m:rPr>
            <m:sty m:val="p"/>
          </m:rPr>
          <w:rPr>
            <w:rFonts w:ascii="Cambria Math" w:hAnsi="Cambria Math"/>
          </w:rPr>
          <m:t>=</m:t>
        </m:r>
        <m:r>
          <w:rPr>
            <w:rFonts w:ascii="Cambria Math" w:hAnsi="Cambria Math"/>
          </w:rPr>
          <m:t>19</m:t>
        </m:r>
      </m:oMath>
      <w:r>
        <w:t>, 6,139 strides) and 4.14 cm in CI participants (</w:t>
      </w:r>
      <m:oMath>
        <m:r>
          <w:rPr>
            <w:rFonts w:ascii="Cambria Math" w:hAnsi="Cambria Math"/>
          </w:rPr>
          <m:t>n</m:t>
        </m:r>
        <m:r>
          <m:rPr>
            <m:sty m:val="p"/>
          </m:rPr>
          <w:rPr>
            <w:rFonts w:ascii="Cambria Math" w:hAnsi="Cambria Math"/>
          </w:rPr>
          <m:t>=</m:t>
        </m:r>
        <m:r>
          <w:rPr>
            <w:rFonts w:ascii="Cambria Math" w:hAnsi="Cambria Math"/>
          </w:rPr>
          <m:t>13</m:t>
        </m:r>
      </m:oMath>
      <w:r>
        <w:t xml:space="preserve">, 4,333 strides). Median per-participant MAE was 2.28 cm in the CN group and 2.84 cm in the CI group (Mann–Whitney </w:t>
      </w:r>
      <m:oMath>
        <m:r>
          <w:rPr>
            <w:rFonts w:ascii="Cambria Math" w:hAnsi="Cambria Math"/>
          </w:rPr>
          <m:t>U</m:t>
        </m:r>
        <m:r>
          <m:rPr>
            <m:sty m:val="p"/>
          </m:rPr>
          <w:rPr>
            <w:rFonts w:ascii="Cambria Math" w:hAnsi="Cambria Math"/>
          </w:rPr>
          <m:t>=</m:t>
        </m:r>
        <m:r>
          <w:rPr>
            <w:rFonts w:ascii="Cambria Math" w:hAnsi="Cambria Math"/>
          </w:rPr>
          <m:t>71</m:t>
        </m:r>
      </m:oMath>
      <w:r>
        <w:t xml:space="preserve">, </w:t>
      </w:r>
      <m:oMath>
        <m:r>
          <w:rPr>
            <w:rFonts w:ascii="Cambria Math" w:hAnsi="Cambria Math"/>
          </w:rPr>
          <m:t>p</m:t>
        </m:r>
      </m:oMath>
      <w:r>
        <w:t xml:space="preserve"> = .046). Error remained low in both screening groups, although participant-level error was modestly higher in the CI group.</w:t>
      </w:r>
    </w:p>
    <w:p w14:paraId="4D6D33BC" w14:textId="77777777" w:rsidR="001477F4" w:rsidRDefault="00000000" w:rsidP="00036F30">
      <w:pPr>
        <w:pStyle w:val="Heading2"/>
        <w:jc w:val="both"/>
      </w:pPr>
      <w:bookmarkStart w:id="21" w:name="sec:robustness"/>
      <w:bookmarkEnd w:id="19"/>
      <w:bookmarkEnd w:id="20"/>
      <w:r>
        <w:lastRenderedPageBreak/>
        <w:t>Robustness of accuracy estimates</w:t>
      </w:r>
    </w:p>
    <w:p w14:paraId="7166985F" w14:textId="77777777" w:rsidR="001477F4" w:rsidRDefault="00000000" w:rsidP="00036F30">
      <w:pPr>
        <w:pStyle w:val="FirstParagraph"/>
        <w:spacing w:after="120" w:line="480" w:lineRule="auto"/>
        <w:jc w:val="both"/>
      </w:pPr>
      <w:r>
        <w:rPr>
          <w:b/>
          <w:bCs/>
        </w:rPr>
        <w:t>Participant-clustered bootstrap confidence intervals show stable cohort-level accuracy under participant resampling.</w:t>
      </w:r>
      <w:r>
        <w:t xml:space="preserve"> We resampled the 32 participants with replacement 10,000 times and recomputed accuracy metrics on each resampled cohort’s stride pool. RMSE was 3.86 cm (95% CI [3.51, 4.23]) and MAE was 2.50 cm (95% CI [2.30, 2.70], Supplementary Table S5). Bias remained small (+0.26 cm, 95% CI [-0.08, +0.63]). ICC was 0.976 (95% CI [0.964, 0.981]).</w:t>
      </w:r>
    </w:p>
    <w:p w14:paraId="07F075FE" w14:textId="77777777" w:rsidR="001477F4" w:rsidRDefault="00000000" w:rsidP="00036F30">
      <w:pPr>
        <w:pStyle w:val="BodyText"/>
        <w:spacing w:after="120" w:line="480" w:lineRule="auto"/>
        <w:jc w:val="both"/>
      </w:pPr>
      <w:r>
        <w:rPr>
          <w:b/>
          <w:bCs/>
        </w:rPr>
        <w:t>Typical absolute error remained similar without the mismatch filter.</w:t>
      </w:r>
      <w:r>
        <w:t xml:space="preserve"> 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p w14:paraId="2EEB3FF5" w14:textId="77777777" w:rsidR="001477F4" w:rsidRDefault="00000000" w:rsidP="00036F30">
      <w:pPr>
        <w:pStyle w:val="Heading2"/>
        <w:jc w:val="both"/>
      </w:pPr>
      <w:bookmarkStart w:id="22" w:name="other-spatiotemporal-gait-parameters"/>
      <w:bookmarkEnd w:id="21"/>
      <w:r>
        <w:t>Other spatiotemporal gait parameters</w:t>
      </w:r>
    </w:p>
    <w:p w14:paraId="120153B4" w14:textId="77777777" w:rsidR="001477F4" w:rsidRDefault="00000000" w:rsidP="00036F30">
      <w:pPr>
        <w:pStyle w:val="FirstParagraph"/>
        <w:spacing w:after="120" w:line="480" w:lineRule="auto"/>
        <w:jc w:val="both"/>
      </w:pPr>
      <w:r>
        <w:rPr>
          <w:b/>
          <w:bCs/>
        </w:rPr>
        <w:t>The IMU reproduced the graded gait changes caused by cognitive load.</w:t>
      </w:r>
      <w:r>
        <w:t xml:space="preserve"> GaitRite gait speed dropped 16.2% from single-task to serial 7s (</w:t>
      </w:r>
      <m:oMath>
        <m:r>
          <w:rPr>
            <w:rFonts w:ascii="Cambria Math" w:hAnsi="Cambria Math"/>
          </w:rPr>
          <m:t>1.19</m:t>
        </m:r>
      </m:oMath>
      <w:r>
        <w:t xml:space="preserve"> to </w:t>
      </w:r>
      <m:oMath>
        <m:r>
          <w:rPr>
            <w:rFonts w:ascii="Cambria Math" w:hAnsi="Cambria Math"/>
          </w:rPr>
          <m:t>0.99</m:t>
        </m:r>
      </m:oMath>
      <w:r>
        <w:t> m/s), stride time lengthened (</w:t>
      </w:r>
      <m:oMath>
        <m:r>
          <w:rPr>
            <w:rFonts w:ascii="Cambria Math" w:hAnsi="Cambria Math"/>
          </w:rPr>
          <m:t>1.09</m:t>
        </m:r>
      </m:oMath>
      <w:r>
        <w:t xml:space="preserve"> to </w:t>
      </w:r>
      <m:oMath>
        <m:r>
          <w:rPr>
            <w:rFonts w:ascii="Cambria Math" w:hAnsi="Cambria Math"/>
          </w:rPr>
          <m:t>1.22</m:t>
        </m:r>
      </m:oMath>
      <w:r>
        <w:t> s), and cadence fell (</w:t>
      </w:r>
      <m:oMath>
        <m:r>
          <w:rPr>
            <w:rFonts w:ascii="Cambria Math" w:hAnsi="Cambria Math"/>
          </w:rPr>
          <m:t>111</m:t>
        </m:r>
      </m:oMath>
      <w:r>
        <w:t xml:space="preserve"> to </w:t>
      </w:r>
      <m:oMath>
        <m:r>
          <w:rPr>
            <w:rFonts w:ascii="Cambria Math" w:hAnsi="Cambria Math"/>
          </w:rPr>
          <m:t>100</m:t>
        </m:r>
      </m:oMath>
      <w:r>
        <w:t xml:space="preserve"> steps/min, Table 4). Mean GaitRite stride length also differed across conditions in the 30 participants with complete data (</w:t>
      </w:r>
      <m:oMath>
        <m:r>
          <w:rPr>
            <w:rFonts w:ascii="Cambria Math" w:hAnsi="Cambria Math"/>
          </w:rPr>
          <m:t>F</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40.17</m:t>
        </m:r>
        <m:r>
          <m:rPr>
            <m:sty m:val="p"/>
          </m:rPr>
          <w:rPr>
            <w:rFonts w:ascii="Cambria Math" w:hAnsi="Cambria Math"/>
          </w:rPr>
          <m:t>)=</m:t>
        </m:r>
        <m:r>
          <w:rPr>
            <w:rFonts w:ascii="Cambria Math" w:hAnsi="Cambria Math"/>
          </w:rPr>
          <m:t>88.99</m:t>
        </m:r>
      </m:oMath>
      <w:r>
        <w:t xml:space="preserve">, Greenhouse–Geisser corrected </w:t>
      </w:r>
      <m:oMath>
        <m:r>
          <w:rPr>
            <w:rFonts w:ascii="Cambria Math" w:hAnsi="Cambria Math"/>
          </w:rPr>
          <m:t>p</m:t>
        </m:r>
        <m:r>
          <m:rPr>
            <m:sty m:val="p"/>
          </m:rPr>
          <w:rPr>
            <w:rFonts w:ascii="Cambria Math" w:hAnsi="Cambria Math"/>
          </w:rPr>
          <m:t>&lt;</m:t>
        </m:r>
        <m:r>
          <w:rPr>
            <w:rFonts w:ascii="Cambria Math" w:hAnsi="Cambria Math"/>
          </w:rPr>
          <m:t>.001</m:t>
        </m:r>
      </m:oMath>
      <w:r>
        <w:t xml:space="preserve">). IMU values tracked the reference values across all four conditions. Pooled ICC(2,1) was </w:t>
      </w:r>
      <m:oMath>
        <m:r>
          <w:rPr>
            <w:rFonts w:ascii="Cambria Math" w:hAnsi="Cambria Math"/>
          </w:rPr>
          <m:t>0.961</m:t>
        </m:r>
      </m:oMath>
      <w:r>
        <w:t xml:space="preserve"> for gait speed, </w:t>
      </w:r>
      <m:oMath>
        <m:r>
          <w:rPr>
            <w:rFonts w:ascii="Cambria Math" w:hAnsi="Cambria Math"/>
          </w:rPr>
          <m:t>0.905</m:t>
        </m:r>
      </m:oMath>
      <w:r>
        <w:t xml:space="preserve"> for stride time, and </w:t>
      </w:r>
      <m:oMath>
        <m:r>
          <w:rPr>
            <w:rFonts w:ascii="Cambria Math" w:hAnsi="Cambria Math"/>
          </w:rPr>
          <m:t>0.902</m:t>
        </m:r>
      </m:oMath>
      <w:r>
        <w:t xml:space="preserve"> for cadence.</w:t>
      </w:r>
    </w:p>
    <w:p w14:paraId="57F4CE9F" w14:textId="77777777" w:rsidR="001477F4" w:rsidRDefault="00000000" w:rsidP="00036F30">
      <w:pPr>
        <w:pStyle w:val="BodyText"/>
        <w:spacing w:after="120" w:line="480" w:lineRule="auto"/>
        <w:jc w:val="both"/>
      </w:pPr>
      <w:r>
        <w:rPr>
          <w:b/>
          <w:bCs/>
        </w:rPr>
        <w:lastRenderedPageBreak/>
        <w:t>Stride-length variability showed only moderate pooled agreement.</w:t>
      </w:r>
      <w:r>
        <w:t xml:space="preserve"> Per-participant stride-length CV was 3.58% for the IMU and 3.08% for GaitRite. The pooled bias was +0.50 percentage points and ICC(2,1) was 0.576 (Table 4).</w:t>
      </w:r>
    </w:p>
    <w:p w14:paraId="65A7865F" w14:textId="77777777" w:rsidR="001477F4" w:rsidRDefault="00000000" w:rsidP="00036F30">
      <w:pPr>
        <w:pStyle w:val="BlockText"/>
        <w:keepNext/>
        <w:keepLines/>
        <w:jc w:val="both"/>
      </w:pPr>
      <w:r>
        <w:rPr>
          <w:b/>
          <w:bCs/>
        </w:rPr>
        <w:t xml:space="preserve">[TABLE 4: placeholder. Label: </w:t>
      </w:r>
      <w:r>
        <w:rPr>
          <w:rStyle w:val="VerbatimChar"/>
          <w:b/>
          <w:bCs/>
        </w:rPr>
        <w:t>tab:spatiotemporal</w:t>
      </w:r>
      <w:r>
        <w:rPr>
          <w:b/>
          <w:bCs/>
        </w:rPr>
        <w:t>]</w:t>
      </w:r>
    </w:p>
    <w:p w14:paraId="66DAD7D4" w14:textId="77777777" w:rsidR="001477F4" w:rsidRDefault="00000000" w:rsidP="00036F30">
      <w:pPr>
        <w:pStyle w:val="BlockText"/>
        <w:keepLines/>
        <w:jc w:val="both"/>
        <w:rPr>
          <w:i/>
          <w:iCs/>
        </w:rPr>
      </w:pPr>
      <w:r>
        <w:rPr>
          <w:i/>
          <w:iCs/>
        </w:rPr>
        <w:t>Caption: Spatiotemporal agreement by condition across 10,472 matched strides. GaitRite and IMU values are mean (SD), and bias = IMU minus GaitRite. Stride-length CV is calculated within participant and reported as the cohort mean.</w:t>
      </w:r>
    </w:p>
    <w:p w14:paraId="7496E0BD" w14:textId="77777777" w:rsidR="00036F30" w:rsidRDefault="00036F30">
      <w:r>
        <w:br w:type="page"/>
      </w:r>
    </w:p>
    <w:p w14:paraId="5B38B51C" w14:textId="77777777" w:rsidR="001477F4" w:rsidRDefault="00000000">
      <w:pPr>
        <w:pStyle w:val="Heading1"/>
      </w:pPr>
      <w:bookmarkStart w:id="23" w:name="discussion"/>
      <w:bookmarkEnd w:id="16"/>
      <w:bookmarkEnd w:id="22"/>
      <w:r>
        <w:lastRenderedPageBreak/>
        <w:t>Discussion</w:t>
      </w:r>
    </w:p>
    <w:p w14:paraId="2988D627" w14:textId="77777777" w:rsidR="001477F4" w:rsidRDefault="00000000" w:rsidP="00097483">
      <w:pPr>
        <w:pStyle w:val="FirstParagraph"/>
        <w:spacing w:after="120" w:line="480" w:lineRule="auto"/>
        <w:jc w:val="both"/>
      </w:pPr>
      <w:r>
        <w:rPr>
          <w:b/>
          <w:bCs/>
        </w:rPr>
        <w:t>This validation of bilateral heel-mounted IMUs across two MoCA-defined cognitive-status groups yielded four main findings.</w:t>
      </w:r>
      <w:r>
        <w:t xml:space="preserve"> First, bilateral heel-mounted IMUs matched GaitRite stride length to within 3.9 cm pooled RMSE with ICC 0.976 across 10,472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14:paraId="018C6DFD" w14:textId="77777777" w:rsidR="001477F4" w:rsidRDefault="00000000" w:rsidP="00097483">
      <w:pPr>
        <w:pStyle w:val="BodyText"/>
        <w:spacing w:after="120" w:line="480" w:lineRule="auto"/>
        <w:jc w:val="both"/>
      </w:pPr>
      <w:r>
        <w:rPr>
          <w:b/>
          <w:bCs/>
        </w:rPr>
        <w:t>Our main advance is criterion validation of a practical heel-mounted system across graded cognitive load in older adults.</w:t>
      </w:r>
      <w:r>
        <w:t xml:space="preserve"> Heel-mounted sensors remain uncommon in gait-validation studies (Lin et al. 2025; Küderle et al. 2022). Previous studies reported low-centimetre errors at other foot and lower-leg locations, but their cohorts, reference systems, and protocols differed from ours (Mariani et al. 2010; Trojaniello et al. 2014; Laidig et al. 2021; Rampp et al. 2015). Direct performance rankings are therefore inappropriate. Our study adds criterion validation in 32 older adults across single-task and graded dual-task walking, with 10,472 paired strides and both RMSE and MAE reported. A multi-position study in younger adults found higher single-stride error at the heel than at other foot locations, especially during fast walking (Küderle et al. 2022). A later heel-mounted validation also found greater spread than a sensor embedded in the shoe, although mean errors remained small (Luo et al. 2024). Embedded sensors may be preferable when footwear modification is practical. We chose a clip-on heel attachment because it requires no shoe modification and can be applied quickly in clinical or home settings.</w:t>
      </w:r>
    </w:p>
    <w:p w14:paraId="036431E5" w14:textId="77777777" w:rsidR="001477F4" w:rsidRDefault="00000000" w:rsidP="00097483">
      <w:pPr>
        <w:pStyle w:val="BodyText"/>
        <w:spacing w:after="120" w:line="480" w:lineRule="auto"/>
        <w:jc w:val="both"/>
      </w:pPr>
      <w:r>
        <w:rPr>
          <w:b/>
          <w:bCs/>
        </w:rPr>
        <w:lastRenderedPageBreak/>
        <w:t>Accuracy remained stable across cognitive load, while cognitive-status results warrant further study.</w:t>
      </w:r>
      <w:r>
        <w:t xml:space="preserve"> Per-condition RMSE stayed between 3.7 and 4.0 cm even as cognitive load slowed gait by 16%. A separate validation used IMUs on both feet, sternum, and lower back in healthy and stroke adults. It found only small changes in method disagreement under irregular stepping (Ensink et al. 2023). We found no evidence of a condition effect on participant-level MAE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The 0.3 cm spread across condition RMSE values was modest, although the study was not designed as an equivalence test. Stride-level RMSE was 3.65 cm in CN participants and 4.14 cm in CI participants. Participant-level MAE was modestly higher in the CI group (</w:t>
      </w:r>
      <m:oMath>
        <m:r>
          <w:rPr>
            <w:rFonts w:ascii="Cambria Math" w:hAnsi="Cambria Math"/>
          </w:rPr>
          <m:t>p</m:t>
        </m:r>
      </m:oMath>
      <w:r>
        <w:t xml:space="preserve"> =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14:paraId="35DACD66" w14:textId="77777777" w:rsidR="001477F4" w:rsidRDefault="00000000" w:rsidP="00097483">
      <w:pPr>
        <w:pStyle w:val="BodyText"/>
        <w:spacing w:after="120" w:line="480" w:lineRule="auto"/>
        <w:jc w:val="both"/>
      </w:pPr>
      <w:r>
        <w:rPr>
          <w:b/>
          <w:bCs/>
        </w:rPr>
        <w:t>The immediate application is supervised gait assessment when an instrumented walkway is impractical.</w:t>
      </w:r>
      <w:r>
        <w:t xml:space="preserve"> 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14:paraId="260691AB" w14:textId="77777777" w:rsidR="001477F4" w:rsidRDefault="00000000" w:rsidP="00097483">
      <w:pPr>
        <w:pStyle w:val="BodyText"/>
        <w:spacing w:after="120" w:line="480" w:lineRule="auto"/>
        <w:jc w:val="both"/>
      </w:pPr>
      <w:r>
        <w:rPr>
          <w:b/>
          <w:bCs/>
        </w:rPr>
        <w:t>The design comparisons supported the retroactive correction and internal mid-stance anchor.</w:t>
      </w:r>
      <w:r>
        <w:t xml:space="preserve"> Disabling the retroactive gravity-residual correction increased bias from +0.3 to +2.2 cm and RMSE from 3.9 to 4.9 cm (Supplementary Table S4). A small horizontal acceleration can remain after gravity removal and accumulate when integrated across the stride. Correcting this </w:t>
      </w:r>
      <w:r>
        <w:lastRenderedPageBreak/>
        <w:t>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 (Mariani et al. 2010). This bilateral detector’s performance during stops and turns remains untested.</w:t>
      </w:r>
    </w:p>
    <w:p w14:paraId="650F138D" w14:textId="77777777" w:rsidR="001477F4" w:rsidRDefault="00000000" w:rsidP="00097483">
      <w:pPr>
        <w:pStyle w:val="BodyText"/>
        <w:spacing w:after="120" w:line="480" w:lineRule="auto"/>
        <w:jc w:val="both"/>
      </w:pPr>
      <w:r>
        <w:rPr>
          <w:b/>
          <w:bCs/>
        </w:rPr>
        <w:t>The pipeline measured mean gait parameters more accurately than stride-to-stride variability.</w:t>
      </w:r>
      <w:r>
        <w:t xml:space="preserve"> Gait speed, stride time, and cadence produced pooled ICC values of 0.90–0.96 (Table 4), consistent with prior IMU studies using sensors on the feet, ankles, and shanks (Trojaniello et al. 2014; Washabaugh et al. 2017).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14:paraId="0E6DFE8A" w14:textId="77777777" w:rsidR="001477F4" w:rsidRDefault="00000000" w:rsidP="00097483">
      <w:pPr>
        <w:pStyle w:val="BodyText"/>
        <w:spacing w:after="120" w:line="480" w:lineRule="auto"/>
        <w:jc w:val="both"/>
      </w:pPr>
      <w:r>
        <w:rPr>
          <w:b/>
          <w:bCs/>
        </w:rPr>
        <w:t>Five design constraints limit generalisation of our results.</w:t>
      </w:r>
      <w:r>
        <w:t xml:space="preserve"> 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Third, cognitive classification relied on MoCA screening rather than formal neuropsychological </w:t>
      </w:r>
      <w:r>
        <w:lastRenderedPageBreak/>
        <w:t>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p w14:paraId="2CCAA058" w14:textId="77777777" w:rsidR="001477F4" w:rsidRDefault="00000000" w:rsidP="00097483">
      <w:pPr>
        <w:pStyle w:val="Heading1"/>
        <w:jc w:val="both"/>
      </w:pPr>
      <w:bookmarkStart w:id="24" w:name="conclusions"/>
      <w:bookmarkEnd w:id="23"/>
      <w:r>
        <w:t>Conclusions</w:t>
      </w:r>
    </w:p>
    <w:p w14:paraId="747609E3" w14:textId="77777777" w:rsidR="001477F4" w:rsidRDefault="00000000" w:rsidP="00097483">
      <w:pPr>
        <w:pStyle w:val="FirstParagraph"/>
        <w:spacing w:after="120" w:line="480" w:lineRule="auto"/>
        <w:jc w:val="both"/>
      </w:pPr>
      <w:r>
        <w:t>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p w14:paraId="6F6632F6" w14:textId="77777777" w:rsidR="00097483" w:rsidRDefault="00097483">
      <w:r>
        <w:br w:type="page"/>
      </w:r>
    </w:p>
    <w:p w14:paraId="3EBDFDFB" w14:textId="77777777" w:rsidR="001477F4" w:rsidRDefault="00000000" w:rsidP="00097483">
      <w:pPr>
        <w:pStyle w:val="Heading1"/>
        <w:jc w:val="both"/>
      </w:pPr>
      <w:bookmarkStart w:id="25" w:name="acknowledgements"/>
      <w:bookmarkEnd w:id="24"/>
      <w:r>
        <w:lastRenderedPageBreak/>
        <w:t>Acknowledgements</w:t>
      </w:r>
    </w:p>
    <w:p w14:paraId="19C54E58" w14:textId="77777777" w:rsidR="001477F4" w:rsidRDefault="00000000" w:rsidP="00097483">
      <w:pPr>
        <w:pStyle w:val="FirstParagraph"/>
        <w:spacing w:after="120" w:line="480" w:lineRule="auto"/>
        <w:jc w:val="both"/>
      </w:pPr>
      <w:r>
        <w:t>The authors thank the research assistants for data collection and participant coordination, and all participants for their time and involvement in this study.</w:t>
      </w:r>
    </w:p>
    <w:p w14:paraId="415B365F" w14:textId="77777777" w:rsidR="001477F4" w:rsidRDefault="00000000" w:rsidP="00097483">
      <w:pPr>
        <w:pStyle w:val="Heading1"/>
        <w:jc w:val="both"/>
      </w:pPr>
      <w:bookmarkStart w:id="26" w:name="funding"/>
      <w:bookmarkEnd w:id="25"/>
      <w:r>
        <w:t>Funding</w:t>
      </w:r>
    </w:p>
    <w:p w14:paraId="6341C163" w14:textId="77777777" w:rsidR="001477F4" w:rsidRDefault="00000000" w:rsidP="00097483">
      <w:pPr>
        <w:pStyle w:val="FirstParagraph"/>
        <w:spacing w:after="120" w:line="480" w:lineRule="auto"/>
        <w:jc w:val="both"/>
      </w:pPr>
      <w:r>
        <w:t>The authors received no specific funding for this work.</w:t>
      </w:r>
    </w:p>
    <w:p w14:paraId="6CA4DBDD" w14:textId="77777777" w:rsidR="001477F4" w:rsidRDefault="00000000" w:rsidP="00097483">
      <w:pPr>
        <w:pStyle w:val="Heading1"/>
        <w:jc w:val="both"/>
      </w:pPr>
      <w:bookmarkStart w:id="27" w:name="competing-interests"/>
      <w:bookmarkEnd w:id="26"/>
      <w:r>
        <w:t>Competing Interests</w:t>
      </w:r>
    </w:p>
    <w:p w14:paraId="0B939284" w14:textId="77777777" w:rsidR="001477F4" w:rsidRDefault="00000000" w:rsidP="00097483">
      <w:pPr>
        <w:pStyle w:val="FirstParagraph"/>
        <w:spacing w:after="120" w:line="480" w:lineRule="auto"/>
        <w:jc w:val="both"/>
      </w:pPr>
      <w:r>
        <w:t>The authors declare that they have no competing interests.</w:t>
      </w:r>
    </w:p>
    <w:p w14:paraId="376894B7" w14:textId="77777777" w:rsidR="001477F4" w:rsidRDefault="00000000" w:rsidP="00097483">
      <w:pPr>
        <w:pStyle w:val="Heading1"/>
        <w:jc w:val="both"/>
      </w:pPr>
      <w:bookmarkStart w:id="28" w:name="author-contributions"/>
      <w:bookmarkEnd w:id="27"/>
      <w:r>
        <w:t>Author Contributions</w:t>
      </w:r>
    </w:p>
    <w:p w14:paraId="421E0440" w14:textId="77777777" w:rsidR="001477F4" w:rsidRDefault="00000000" w:rsidP="00097483">
      <w:pPr>
        <w:pStyle w:val="FirstParagraph"/>
        <w:spacing w:after="120" w:line="480" w:lineRule="auto"/>
        <w:jc w:val="both"/>
      </w:pPr>
      <w:r>
        <w:rPr>
          <w:b/>
          <w:bCs/>
        </w:rPr>
        <w:t>Pawel Kudzia</w:t>
      </w:r>
      <w:r>
        <w:t xml:space="preserve"> conceived the algorithm and analysis approach, designed the data-processing pipeline, performed the data analysis, prepared figures and tables, drafted the manuscript, and approved the final draft.</w:t>
      </w:r>
    </w:p>
    <w:p w14:paraId="1495E7F0" w14:textId="77777777" w:rsidR="001477F4" w:rsidRDefault="00000000" w:rsidP="00097483">
      <w:pPr>
        <w:pStyle w:val="BodyText"/>
        <w:spacing w:after="120" w:line="480" w:lineRule="auto"/>
        <w:jc w:val="both"/>
      </w:pPr>
      <w:r>
        <w:rPr>
          <w:b/>
          <w:bCs/>
        </w:rPr>
        <w:t>Markus von Hacht</w:t>
      </w:r>
      <w:r>
        <w:t xml:space="preserve"> contributed to data collection, reviewed and edited drafts of the article, and approved the final draft.</w:t>
      </w:r>
    </w:p>
    <w:p w14:paraId="55EFB01D" w14:textId="77777777" w:rsidR="001477F4" w:rsidRDefault="00000000" w:rsidP="00097483">
      <w:pPr>
        <w:pStyle w:val="BodyText"/>
        <w:spacing w:after="120" w:line="480" w:lineRule="auto"/>
        <w:jc w:val="both"/>
      </w:pPr>
      <w:r>
        <w:rPr>
          <w:b/>
          <w:bCs/>
        </w:rPr>
        <w:t>Maryam Sheikhi</w:t>
      </w:r>
      <w:r>
        <w:t xml:space="preserve"> contributed to data collection and analysis, reviewed and edited drafts of the article, and approved the final draft.</w:t>
      </w:r>
    </w:p>
    <w:p w14:paraId="67441EC7" w14:textId="77777777" w:rsidR="001477F4" w:rsidRDefault="00000000" w:rsidP="00097483">
      <w:pPr>
        <w:pStyle w:val="BodyText"/>
        <w:spacing w:after="120" w:line="480" w:lineRule="auto"/>
        <w:jc w:val="both"/>
      </w:pPr>
      <w:r>
        <w:rPr>
          <w:b/>
          <w:bCs/>
        </w:rPr>
        <w:t>Drew Commandeur</w:t>
      </w:r>
      <w:r>
        <w:t xml:space="preserve"> contributed to development of the data-collection and synchronisation methods, reviewed and edited drafts of the article, and approved the final draft.</w:t>
      </w:r>
    </w:p>
    <w:p w14:paraId="3B5D94C1" w14:textId="77777777" w:rsidR="001477F4" w:rsidRDefault="00000000" w:rsidP="00097483">
      <w:pPr>
        <w:pStyle w:val="BodyText"/>
        <w:spacing w:after="120" w:line="480" w:lineRule="auto"/>
        <w:jc w:val="both"/>
      </w:pPr>
      <w:r>
        <w:rPr>
          <w:b/>
          <w:bCs/>
        </w:rPr>
        <w:t>Marc Klimstra</w:t>
      </w:r>
      <w:r>
        <w:t xml:space="preserve"> contributed to development of the data-collection and synchronisation methods, reviewed and edited drafts of the article, and approved the final draft.</w:t>
      </w:r>
    </w:p>
    <w:p w14:paraId="10208F80" w14:textId="77777777" w:rsidR="001477F4" w:rsidRDefault="00000000" w:rsidP="00097483">
      <w:pPr>
        <w:pStyle w:val="BodyText"/>
        <w:spacing w:after="120" w:line="480" w:lineRule="auto"/>
        <w:jc w:val="both"/>
      </w:pPr>
      <w:r>
        <w:rPr>
          <w:b/>
          <w:bCs/>
        </w:rPr>
        <w:lastRenderedPageBreak/>
        <w:t>Sandra Hundza</w:t>
      </w:r>
      <w:r>
        <w:t xml:space="preserve"> conceived and designed the experiments, supervised data collection, supervised the analysis, reviewed and edited drafts of the article, and approved the final draft.</w:t>
      </w:r>
    </w:p>
    <w:p w14:paraId="4C2DDDBE" w14:textId="77777777" w:rsidR="001477F4" w:rsidRDefault="00000000" w:rsidP="00097483">
      <w:pPr>
        <w:pStyle w:val="Heading1"/>
        <w:jc w:val="both"/>
      </w:pPr>
      <w:bookmarkStart w:id="29" w:name="human-ethics"/>
      <w:bookmarkEnd w:id="28"/>
      <w:r>
        <w:t>Human Ethics</w:t>
      </w:r>
    </w:p>
    <w:p w14:paraId="16A09D5D" w14:textId="77777777" w:rsidR="001477F4" w:rsidRDefault="00000000" w:rsidP="00097483">
      <w:pPr>
        <w:pStyle w:val="FirstParagraph"/>
        <w:spacing w:after="120" w:line="480" w:lineRule="auto"/>
        <w:jc w:val="both"/>
      </w:pPr>
      <w:r>
        <w:t>The University of Victoria Human Research Ethics Board approved this study (protocol H22-00451). All participants provided written informed consent.</w:t>
      </w:r>
    </w:p>
    <w:p w14:paraId="2AC1BC5F" w14:textId="77777777" w:rsidR="001477F4" w:rsidRDefault="00000000" w:rsidP="00097483">
      <w:pPr>
        <w:pStyle w:val="Heading1"/>
        <w:jc w:val="both"/>
      </w:pPr>
      <w:bookmarkStart w:id="30" w:name="data-availability"/>
      <w:bookmarkEnd w:id="29"/>
      <w:r>
        <w:t>Data Availability</w:t>
      </w:r>
    </w:p>
    <w:p w14:paraId="65645C34" w14:textId="77777777" w:rsidR="001477F4" w:rsidRDefault="00000000" w:rsidP="00097483">
      <w:pPr>
        <w:pStyle w:val="FirstParagraph"/>
        <w:spacing w:after="120" w:line="480" w:lineRule="auto"/>
        <w:jc w:val="both"/>
      </w:pPr>
      <w:r>
        <w:t>We will deposit the de-identified stride-level data and the analysis code that support the findings of this study in a public repository (Zenodo) and release them under an open licence upon publication. We will additionally host the analysis code on GitHub, and we will provide a persistent DOI and the repository URL at that time.</w:t>
      </w:r>
    </w:p>
    <w:p w14:paraId="563232F9" w14:textId="77777777" w:rsidR="00097483" w:rsidRDefault="00097483">
      <w:r>
        <w:br w:type="page"/>
      </w:r>
    </w:p>
    <w:p w14:paraId="5EDA4C81" w14:textId="77777777" w:rsidR="001477F4" w:rsidRDefault="00000000">
      <w:pPr>
        <w:pStyle w:val="Heading1"/>
      </w:pPr>
      <w:bookmarkStart w:id="31" w:name="bibliography"/>
      <w:bookmarkEnd w:id="30"/>
      <w:r>
        <w:lastRenderedPageBreak/>
        <w:t>References</w:t>
      </w:r>
    </w:p>
    <w:p w14:paraId="77B5C6BA" w14:textId="77777777" w:rsidR="001477F4" w:rsidRDefault="00000000">
      <w:pPr>
        <w:pStyle w:val="Bibliography"/>
        <w:spacing w:after="120" w:line="480" w:lineRule="auto"/>
      </w:pPr>
      <w:bookmarkStart w:id="32" w:name="ref-Arens2021"/>
      <w:bookmarkStart w:id="33" w:name="refs"/>
      <w:r>
        <w:t xml:space="preserve">Arens, Philipp, Christopher Siviy, Jaehyun Bae, et al. 2021. “Real-Time Gait Metric Estimation for Everyday Gait Training with Wearable Devices in People Poststroke.” </w:t>
      </w:r>
      <w:r>
        <w:rPr>
          <w:i/>
          <w:iCs/>
        </w:rPr>
        <w:t>Wearable Technologies</w:t>
      </w:r>
      <w:r>
        <w:t xml:space="preserve"> 2: e2. </w:t>
      </w:r>
      <w:hyperlink r:id="rId9">
        <w:r w:rsidR="001477F4">
          <w:rPr>
            <w:rStyle w:val="Hyperlink"/>
          </w:rPr>
          <w:t>https://doi.org/10.1017/wtc.2020.11</w:t>
        </w:r>
      </w:hyperlink>
      <w:r>
        <w:t>.</w:t>
      </w:r>
    </w:p>
    <w:p w14:paraId="1395D3EB" w14:textId="77777777" w:rsidR="001477F4" w:rsidRDefault="00000000">
      <w:pPr>
        <w:pStyle w:val="Bibliography"/>
        <w:spacing w:after="120" w:line="480" w:lineRule="auto"/>
      </w:pPr>
      <w:bookmarkStart w:id="34" w:name="ref-Beauchet2005"/>
      <w:bookmarkEnd w:id="32"/>
      <w:r>
        <w:t xml:space="preserve">Beauchet, Olivier, Virginie Dubost, François R. Herrmann, and Reto W. Kressig. 2005. “Stride-to-Stride Variability While Backward Counting Among Healthy Young Adults.” </w:t>
      </w:r>
      <w:r>
        <w:rPr>
          <w:i/>
          <w:iCs/>
        </w:rPr>
        <w:t>Journal of NeuroEngineering and Rehabilitation</w:t>
      </w:r>
      <w:r>
        <w:t xml:space="preserve"> 2: 26. </w:t>
      </w:r>
      <w:hyperlink r:id="rId10">
        <w:r w:rsidR="001477F4">
          <w:rPr>
            <w:rStyle w:val="Hyperlink"/>
          </w:rPr>
          <w:t>https://doi.org/10.1186/1743-0003-2-26</w:t>
        </w:r>
      </w:hyperlink>
      <w:r>
        <w:t>.</w:t>
      </w:r>
    </w:p>
    <w:p w14:paraId="75EFAC12" w14:textId="77777777" w:rsidR="001477F4" w:rsidRDefault="00000000">
      <w:pPr>
        <w:pStyle w:val="Bibliography"/>
        <w:spacing w:after="120" w:line="480" w:lineRule="auto"/>
      </w:pPr>
      <w:bookmarkStart w:id="35" w:name="ref-Bland1986"/>
      <w:bookmarkEnd w:id="34"/>
      <w:r>
        <w:t xml:space="preserve">Bland, J. Martin, and Douglas G. Altman. 1986. “Statistical Methods for Assessing Agreement Between Two Methods of Clinical Measurement.” </w:t>
      </w:r>
      <w:r>
        <w:rPr>
          <w:i/>
          <w:iCs/>
        </w:rPr>
        <w:t>The Lancet</w:t>
      </w:r>
      <w:r>
        <w:t xml:space="preserve"> 327 (8476): 307–10. </w:t>
      </w:r>
      <w:hyperlink r:id="rId11">
        <w:r w:rsidR="001477F4">
          <w:rPr>
            <w:rStyle w:val="Hyperlink"/>
          </w:rPr>
          <w:t>https://doi.org/10.1016/S0140-6736(86)90837-8</w:t>
        </w:r>
      </w:hyperlink>
      <w:r>
        <w:t>.</w:t>
      </w:r>
    </w:p>
    <w:p w14:paraId="06A9163E" w14:textId="77777777" w:rsidR="001477F4" w:rsidRDefault="00000000">
      <w:pPr>
        <w:pStyle w:val="Bibliography"/>
        <w:spacing w:after="120" w:line="480" w:lineRule="auto"/>
      </w:pPr>
      <w:bookmarkStart w:id="36" w:name="ref-Boutaayamou2025"/>
      <w:bookmarkEnd w:id="35"/>
      <w:r>
        <w:t xml:space="preserve">Boutaayamou, Mohamed, Doriane Pelzer, Cédric Schwartz, et al. 2025. “Toward Convenient and Accurate IMU-Based Gait Analysis.” </w:t>
      </w:r>
      <w:r>
        <w:rPr>
          <w:i/>
          <w:iCs/>
        </w:rPr>
        <w:t>Sensors</w:t>
      </w:r>
      <w:r>
        <w:t xml:space="preserve"> 25 (4): 1267. </w:t>
      </w:r>
      <w:hyperlink r:id="rId12">
        <w:r w:rsidR="001477F4">
          <w:rPr>
            <w:rStyle w:val="Hyperlink"/>
          </w:rPr>
          <w:t>https://doi.org/10.3390/s25041267</w:t>
        </w:r>
      </w:hyperlink>
      <w:r>
        <w:t>.</w:t>
      </w:r>
    </w:p>
    <w:p w14:paraId="1FC70AFD" w14:textId="77777777" w:rsidR="001477F4" w:rsidRDefault="00000000">
      <w:pPr>
        <w:pStyle w:val="Bibliography"/>
        <w:spacing w:after="120" w:line="480" w:lineRule="auto"/>
      </w:pPr>
      <w:bookmarkStart w:id="37" w:name="ref-Bytyci2021"/>
      <w:bookmarkEnd w:id="36"/>
      <w:r>
        <w:t xml:space="preserve">Bytyçi, Ibadete, and Michael Y. Henein. 2021. “Stride Length Predicts Adverse Clinical Events in Older Adults: A Systematic Review and Meta-Analysis.” </w:t>
      </w:r>
      <w:r>
        <w:rPr>
          <w:i/>
          <w:iCs/>
        </w:rPr>
        <w:t>Journal of Clinical Medicine</w:t>
      </w:r>
      <w:r>
        <w:t xml:space="preserve"> 10 (12): 2670. </w:t>
      </w:r>
      <w:hyperlink r:id="rId13">
        <w:r w:rsidR="001477F4">
          <w:rPr>
            <w:rStyle w:val="Hyperlink"/>
          </w:rPr>
          <w:t>https://doi.org/10.3390/jcm10122670</w:t>
        </w:r>
      </w:hyperlink>
      <w:r>
        <w:t>.</w:t>
      </w:r>
    </w:p>
    <w:p w14:paraId="31FD43CF" w14:textId="77777777" w:rsidR="001477F4" w:rsidRDefault="00000000">
      <w:pPr>
        <w:pStyle w:val="Bibliography"/>
        <w:spacing w:after="120" w:line="480" w:lineRule="auto"/>
      </w:pPr>
      <w:bookmarkStart w:id="38" w:name="ref-Commandeur2018"/>
      <w:bookmarkEnd w:id="37"/>
      <w:r>
        <w:t xml:space="preserve">Commandeur, D., M. D. Klimstra, S. MacDonald, et al. 2018. “Difference Scores Between Single-Task and Dual-Task Gait Measures Are Better Than Clinical Measures for Detection of Fall-Risk in Community-Dwelling Older Adults.” </w:t>
      </w:r>
      <w:r>
        <w:rPr>
          <w:i/>
          <w:iCs/>
        </w:rPr>
        <w:t>Gait &amp; Posture</w:t>
      </w:r>
      <w:r>
        <w:t xml:space="preserve"> 66: 155–59. </w:t>
      </w:r>
      <w:hyperlink r:id="rId14">
        <w:r w:rsidR="001477F4">
          <w:rPr>
            <w:rStyle w:val="Hyperlink"/>
          </w:rPr>
          <w:t>https://doi.org/10.1016/j.gaitpost.2018.08.020</w:t>
        </w:r>
      </w:hyperlink>
      <w:r>
        <w:t>.</w:t>
      </w:r>
    </w:p>
    <w:p w14:paraId="5C1F2301" w14:textId="77777777" w:rsidR="001477F4" w:rsidRDefault="00000000">
      <w:pPr>
        <w:pStyle w:val="Bibliography"/>
        <w:spacing w:after="120" w:line="480" w:lineRule="auto"/>
      </w:pPr>
      <w:bookmarkStart w:id="39" w:name="ref-Ensink2023"/>
      <w:bookmarkEnd w:id="38"/>
      <w:r>
        <w:lastRenderedPageBreak/>
        <w:t xml:space="preserve">Ensink, Carmen, Katrijn Smulders, Jolien Warnar, and Noel Keijsers. 2023. “Validation of an Algorithm to Assess Regular and Irregular Gait Using Inertial Sensors in Healthy and Stroke Individuals.” </w:t>
      </w:r>
      <w:r>
        <w:rPr>
          <w:i/>
          <w:iCs/>
        </w:rPr>
        <w:t>PeerJ</w:t>
      </w:r>
      <w:r>
        <w:t xml:space="preserve"> 11: e16641. </w:t>
      </w:r>
      <w:hyperlink r:id="rId15">
        <w:r w:rsidR="001477F4">
          <w:rPr>
            <w:rStyle w:val="Hyperlink"/>
          </w:rPr>
          <w:t>https://doi.org/10.7717/peerj.16641</w:t>
        </w:r>
      </w:hyperlink>
      <w:r>
        <w:t>.</w:t>
      </w:r>
    </w:p>
    <w:p w14:paraId="318ED028" w14:textId="77777777" w:rsidR="001477F4" w:rsidRDefault="00000000">
      <w:pPr>
        <w:pStyle w:val="Bibliography"/>
        <w:spacing w:after="120" w:line="480" w:lineRule="auto"/>
      </w:pPr>
      <w:bookmarkStart w:id="40" w:name="ref-Foxlin2005"/>
      <w:bookmarkEnd w:id="39"/>
      <w:r>
        <w:t xml:space="preserve">Foxlin, Eric. 2005. “Pedestrian Tracking with Shoe-Mounted Inertial Sensors.” </w:t>
      </w:r>
      <w:r>
        <w:rPr>
          <w:i/>
          <w:iCs/>
        </w:rPr>
        <w:t>IEEE Computer Graphics and Applications</w:t>
      </w:r>
      <w:r>
        <w:t xml:space="preserve"> 25 (6): 38–46. </w:t>
      </w:r>
      <w:hyperlink r:id="rId16">
        <w:r w:rsidR="001477F4">
          <w:rPr>
            <w:rStyle w:val="Hyperlink"/>
          </w:rPr>
          <w:t>https://doi.org/10.1109/MCG.2005.140</w:t>
        </w:r>
      </w:hyperlink>
      <w:r>
        <w:t>.</w:t>
      </w:r>
    </w:p>
    <w:p w14:paraId="4ED44C7F" w14:textId="77777777" w:rsidR="001477F4" w:rsidRDefault="00000000">
      <w:pPr>
        <w:pStyle w:val="Bibliography"/>
        <w:spacing w:after="120" w:line="480" w:lineRule="auto"/>
      </w:pPr>
      <w:bookmarkStart w:id="41" w:name="ref-Greene2010"/>
      <w:bookmarkEnd w:id="40"/>
      <w:r>
        <w:t xml:space="preserve">Greene, Barry R., Denise McGrath, Ross O’Neill, Karol J. O’Donovan, Adrian Burns, and Brian Caulfield. 2010. “An Adaptive Gyroscope-Based Algorithm for Temporal Gait Analysis.” </w:t>
      </w:r>
      <w:r>
        <w:rPr>
          <w:i/>
          <w:iCs/>
        </w:rPr>
        <w:t>Medical &amp; Biological Engineering &amp; Computing</w:t>
      </w:r>
      <w:r>
        <w:t xml:space="preserve"> 48 (12): 1251–60. </w:t>
      </w:r>
      <w:hyperlink r:id="rId17">
        <w:r w:rsidR="001477F4">
          <w:rPr>
            <w:rStyle w:val="Hyperlink"/>
          </w:rPr>
          <w:t>https://doi.org/10.1007/s11517-010-0692-0</w:t>
        </w:r>
      </w:hyperlink>
      <w:r>
        <w:t>.</w:t>
      </w:r>
    </w:p>
    <w:p w14:paraId="4187864B" w14:textId="77777777" w:rsidR="001477F4" w:rsidRDefault="00000000">
      <w:pPr>
        <w:pStyle w:val="Bibliography"/>
        <w:spacing w:after="120" w:line="480" w:lineRule="auto"/>
      </w:pPr>
      <w:bookmarkStart w:id="42" w:name="ref-Hannink2017"/>
      <w:bookmarkEnd w:id="41"/>
      <w:r>
        <w:t xml:space="preserve">Hannink, Julius, Malte Ollenschläger, Felix Kluge, Nils Roth, Jochen Klucken, and Bjoern M. Eskofier. 2017. “Benchmarking Foot Trajectory Estimation Methods for Mobile Gait Analysis.” </w:t>
      </w:r>
      <w:r>
        <w:rPr>
          <w:i/>
          <w:iCs/>
        </w:rPr>
        <w:t>Sensors</w:t>
      </w:r>
      <w:r>
        <w:t xml:space="preserve"> 17 (9): 1940. </w:t>
      </w:r>
      <w:hyperlink r:id="rId18">
        <w:r w:rsidR="001477F4">
          <w:rPr>
            <w:rStyle w:val="Hyperlink"/>
          </w:rPr>
          <w:t>https://doi.org/10.3390/s17091940</w:t>
        </w:r>
      </w:hyperlink>
      <w:r>
        <w:t>.</w:t>
      </w:r>
    </w:p>
    <w:p w14:paraId="0737C324" w14:textId="77777777" w:rsidR="001477F4" w:rsidRDefault="00000000">
      <w:pPr>
        <w:pStyle w:val="Bibliography"/>
        <w:spacing w:after="120" w:line="480" w:lineRule="auto"/>
      </w:pPr>
      <w:bookmarkStart w:id="43" w:name="ref-Hausdorff2008"/>
      <w:bookmarkEnd w:id="42"/>
      <w:r>
        <w:t xml:space="preserve">Hausdorff, Jeffrey M., Avraham Schweiger, Talia Herman, Galit Yogev-Seligmann, and Nir Giladi. 2008. “Dual-Task Decrements in Gait: Contributing Factors Among Healthy Older Adults.” </w:t>
      </w:r>
      <w:r>
        <w:rPr>
          <w:i/>
          <w:iCs/>
        </w:rPr>
        <w:t>The Journals of Gerontology Series A: Biological Sciences and Medical Sciences</w:t>
      </w:r>
      <w:r>
        <w:t xml:space="preserve"> 63 (12): 1335–43. </w:t>
      </w:r>
      <w:hyperlink r:id="rId19">
        <w:r w:rsidR="001477F4">
          <w:rPr>
            <w:rStyle w:val="Hyperlink"/>
          </w:rPr>
          <w:t>https://doi.org/10.1093/gerona/63.12.1335</w:t>
        </w:r>
      </w:hyperlink>
      <w:r>
        <w:t>.</w:t>
      </w:r>
    </w:p>
    <w:p w14:paraId="0145F208" w14:textId="77777777" w:rsidR="001477F4" w:rsidRDefault="00000000">
      <w:pPr>
        <w:pStyle w:val="Bibliography"/>
        <w:spacing w:after="120" w:line="480" w:lineRule="auto"/>
      </w:pPr>
      <w:bookmarkStart w:id="44" w:name="ref-Kottner2011"/>
      <w:bookmarkEnd w:id="43"/>
      <w:r>
        <w:t xml:space="preserve">Kottner, Jan, Laurent Audigé, Stig Brorson, et al. 2011. “Guidelines for Reporting Reliability and Agreement Studies (GRRAS) Were Proposed.” </w:t>
      </w:r>
      <w:r>
        <w:rPr>
          <w:i/>
          <w:iCs/>
        </w:rPr>
        <w:t>Journal of Clinical Epidemiology</w:t>
      </w:r>
      <w:r>
        <w:t xml:space="preserve"> 64 (1): 96–106. </w:t>
      </w:r>
      <w:hyperlink r:id="rId20">
        <w:r w:rsidR="001477F4">
          <w:rPr>
            <w:rStyle w:val="Hyperlink"/>
          </w:rPr>
          <w:t>https://doi.org/10.1016/j.jclinepi.2010.03.002</w:t>
        </w:r>
      </w:hyperlink>
      <w:r>
        <w:t>.</w:t>
      </w:r>
    </w:p>
    <w:p w14:paraId="7362C7FD" w14:textId="77777777" w:rsidR="001477F4" w:rsidRDefault="00000000">
      <w:pPr>
        <w:pStyle w:val="Bibliography"/>
        <w:spacing w:after="120" w:line="480" w:lineRule="auto"/>
      </w:pPr>
      <w:bookmarkStart w:id="45" w:name="ref-Kuderle2022"/>
      <w:bookmarkEnd w:id="44"/>
      <w:r>
        <w:t xml:space="preserve">Küderle, Arne, Nils Roth, Jovana Zlatanovic, Markus Zrenner, Bjoern Eskofier, and Felix Kluge. 2022. “The Placement of Foot-Mounted IMU Sensors Does Affect the Accuracy of Spatial </w:t>
      </w:r>
      <w:r>
        <w:lastRenderedPageBreak/>
        <w:t xml:space="preserve">Parameters During Regular Walking.” </w:t>
      </w:r>
      <w:r>
        <w:rPr>
          <w:i/>
          <w:iCs/>
        </w:rPr>
        <w:t>PLOS ONE</w:t>
      </w:r>
      <w:r>
        <w:t xml:space="preserve"> 17 (6): e0269567. </w:t>
      </w:r>
      <w:hyperlink r:id="rId21">
        <w:r w:rsidR="001477F4">
          <w:rPr>
            <w:rStyle w:val="Hyperlink"/>
          </w:rPr>
          <w:t>https://doi.org/10.1371/journal.pone.0269567</w:t>
        </w:r>
      </w:hyperlink>
      <w:r>
        <w:t>.</w:t>
      </w:r>
    </w:p>
    <w:p w14:paraId="2F9F1FC3" w14:textId="77777777" w:rsidR="001477F4" w:rsidRDefault="00000000">
      <w:pPr>
        <w:pStyle w:val="Bibliography"/>
        <w:spacing w:after="120" w:line="480" w:lineRule="auto"/>
      </w:pPr>
      <w:bookmarkStart w:id="46" w:name="ref-Laidig2021"/>
      <w:bookmarkEnd w:id="45"/>
      <w:r>
        <w:t xml:space="preserve">Laidig, Daniel, Andreas J. Jocham, Bernhard Guggenberger, Klemens Adamer, Michael Fischer, and Thomas Seel. 2021. “Calibration-Free Gait Assessment by Foot-Worn Inertial Sensors.” </w:t>
      </w:r>
      <w:r>
        <w:rPr>
          <w:i/>
          <w:iCs/>
        </w:rPr>
        <w:t>Frontiers in Digital Health</w:t>
      </w:r>
      <w:r>
        <w:t xml:space="preserve"> 3: 736418. </w:t>
      </w:r>
      <w:hyperlink r:id="rId22">
        <w:r w:rsidR="001477F4">
          <w:rPr>
            <w:rStyle w:val="Hyperlink"/>
          </w:rPr>
          <w:t>https://doi.org/10.3389/fdgth.2021.736418</w:t>
        </w:r>
      </w:hyperlink>
      <w:r>
        <w:t>.</w:t>
      </w:r>
    </w:p>
    <w:p w14:paraId="06923B9C" w14:textId="77777777" w:rsidR="001477F4" w:rsidRDefault="00000000">
      <w:pPr>
        <w:pStyle w:val="Bibliography"/>
        <w:spacing w:after="120" w:line="480" w:lineRule="auto"/>
      </w:pPr>
      <w:bookmarkStart w:id="47" w:name="ref-Li2023"/>
      <w:bookmarkEnd w:id="46"/>
      <w:r>
        <w:t xml:space="preserve">Li, Hongpeng, Haichao Liu, Zhen Li, et al. 2023. “Adaptive Threshold-Based ZUPT for Single IMU-Enabled Wearable Pedestrian Localization.” </w:t>
      </w:r>
      <w:r>
        <w:rPr>
          <w:i/>
          <w:iCs/>
        </w:rPr>
        <w:t>IEEE Internet of Things Journal</w:t>
      </w:r>
      <w:r>
        <w:t xml:space="preserve"> 10 (13): 11749–60. </w:t>
      </w:r>
      <w:hyperlink r:id="rId23">
        <w:r w:rsidR="001477F4">
          <w:rPr>
            <w:rStyle w:val="Hyperlink"/>
          </w:rPr>
          <w:t>https://doi.org/10.1109/JIOT.2023.3243296</w:t>
        </w:r>
      </w:hyperlink>
      <w:r>
        <w:t>.</w:t>
      </w:r>
    </w:p>
    <w:p w14:paraId="330572E4" w14:textId="77777777" w:rsidR="001477F4" w:rsidRDefault="00000000">
      <w:pPr>
        <w:pStyle w:val="Bibliography"/>
        <w:spacing w:after="120" w:line="480" w:lineRule="auto"/>
      </w:pPr>
      <w:bookmarkStart w:id="48" w:name="ref-Lin2025"/>
      <w:bookmarkEnd w:id="47"/>
      <w:r>
        <w:t xml:space="preserve">Lin, Sheng, Kerrie Evans, Dean Hartley, et al. 2025. “A Review of Gait Analysis Using Gyroscopes and Inertial Measurement Units.” </w:t>
      </w:r>
      <w:r>
        <w:rPr>
          <w:i/>
          <w:iCs/>
        </w:rPr>
        <w:t>Sensors</w:t>
      </w:r>
      <w:r>
        <w:t xml:space="preserve"> 25 (11): 3481. </w:t>
      </w:r>
      <w:hyperlink r:id="rId24">
        <w:r w:rsidR="001477F4">
          <w:rPr>
            <w:rStyle w:val="Hyperlink"/>
          </w:rPr>
          <w:t>https://doi.org/10.3390/s25113481</w:t>
        </w:r>
      </w:hyperlink>
      <w:r>
        <w:t>.</w:t>
      </w:r>
    </w:p>
    <w:p w14:paraId="7315568A" w14:textId="77777777" w:rsidR="001477F4" w:rsidRDefault="00000000">
      <w:pPr>
        <w:pStyle w:val="Bibliography"/>
        <w:spacing w:after="120" w:line="480" w:lineRule="auto"/>
      </w:pPr>
      <w:bookmarkStart w:id="49" w:name="ref-Luo2024"/>
      <w:bookmarkEnd w:id="48"/>
      <w:r>
        <w:t xml:space="preserve">Luo, Baiqing, Zhengtao Wang, Dongmei Wang, Li Chen, and Xin Ma. 2024. “Algorithm for Gait Parameters Estimation Based on Heel-Mounted Inertial Sensors.” </w:t>
      </w:r>
      <w:r>
        <w:rPr>
          <w:i/>
          <w:iCs/>
        </w:rPr>
        <w:t>IEEE Sensors Journal</w:t>
      </w:r>
      <w:r>
        <w:t xml:space="preserve"> 24 (15): 24723–36. </w:t>
      </w:r>
      <w:hyperlink r:id="rId25">
        <w:r w:rsidR="001477F4">
          <w:rPr>
            <w:rStyle w:val="Hyperlink"/>
          </w:rPr>
          <w:t>https://doi.org/10.1109/JSEN.2024.3410402</w:t>
        </w:r>
      </w:hyperlink>
      <w:r>
        <w:t>.</w:t>
      </w:r>
    </w:p>
    <w:p w14:paraId="14A5D170" w14:textId="77777777" w:rsidR="001477F4" w:rsidRDefault="00000000">
      <w:pPr>
        <w:pStyle w:val="Bibliography"/>
        <w:spacing w:after="120" w:line="480" w:lineRule="auto"/>
      </w:pPr>
      <w:bookmarkStart w:id="50" w:name="ref-Mahony2008"/>
      <w:bookmarkEnd w:id="49"/>
      <w:r>
        <w:t xml:space="preserve">Mahony, Robert, Tarek Hamel, and Jean-Michel Pflimlin. 2008. “Nonlinear Complementary Filters on the Special Orthogonal Group.” </w:t>
      </w:r>
      <w:r>
        <w:rPr>
          <w:i/>
          <w:iCs/>
        </w:rPr>
        <w:t>IEEE Transactions on Automatic Control</w:t>
      </w:r>
      <w:r>
        <w:t xml:space="preserve"> 53 (5): 1203–18. </w:t>
      </w:r>
      <w:hyperlink r:id="rId26">
        <w:r w:rsidR="001477F4">
          <w:rPr>
            <w:rStyle w:val="Hyperlink"/>
          </w:rPr>
          <w:t>https://doi.org/10.1109/TAC.2008.923738</w:t>
        </w:r>
      </w:hyperlink>
      <w:r>
        <w:t>.</w:t>
      </w:r>
    </w:p>
    <w:p w14:paraId="38607F58" w14:textId="77777777" w:rsidR="001477F4" w:rsidRDefault="00000000">
      <w:pPr>
        <w:pStyle w:val="Bibliography"/>
        <w:spacing w:after="120" w:line="480" w:lineRule="auto"/>
      </w:pPr>
      <w:bookmarkStart w:id="51" w:name="ref-Maki1997"/>
      <w:bookmarkEnd w:id="50"/>
      <w:r>
        <w:t xml:space="preserve">Maki, Brian E. 1997. “Gait Changes in Older Adults: Predictors of Falls or Indicators of Fear?” </w:t>
      </w:r>
      <w:r>
        <w:rPr>
          <w:i/>
          <w:iCs/>
        </w:rPr>
        <w:t>Journal of the American Geriatrics Society</w:t>
      </w:r>
      <w:r>
        <w:t xml:space="preserve"> 45 (3): 313–20. </w:t>
      </w:r>
      <w:hyperlink r:id="rId27">
        <w:r w:rsidR="001477F4">
          <w:rPr>
            <w:rStyle w:val="Hyperlink"/>
          </w:rPr>
          <w:t>https://doi.org/10.1111/j.1532-5415.1997.tb00946.x</w:t>
        </w:r>
      </w:hyperlink>
      <w:r>
        <w:t>.</w:t>
      </w:r>
    </w:p>
    <w:p w14:paraId="69021BA6" w14:textId="77777777" w:rsidR="001477F4" w:rsidRDefault="00000000">
      <w:pPr>
        <w:pStyle w:val="Bibliography"/>
        <w:spacing w:after="120" w:line="480" w:lineRule="auto"/>
      </w:pPr>
      <w:bookmarkStart w:id="52" w:name="ref-Mariani2010"/>
      <w:bookmarkEnd w:id="51"/>
      <w:r>
        <w:t>Mariani, Bénédicte, Constanze Hoskovec, Stéphane Rochat, Christophe Büla, Julien Penders, and Kamiar Aminian. 2010. “3D Gait Assessment in Young and Elderly Subjects Using Foot-</w:t>
      </w:r>
      <w:r>
        <w:lastRenderedPageBreak/>
        <w:t xml:space="preserve">Worn Inertial Sensors.” </w:t>
      </w:r>
      <w:r>
        <w:rPr>
          <w:i/>
          <w:iCs/>
        </w:rPr>
        <w:t>Journal of Biomechanics</w:t>
      </w:r>
      <w:r>
        <w:t xml:space="preserve"> 43 (15): 2999–3006. </w:t>
      </w:r>
      <w:hyperlink r:id="rId28">
        <w:r w:rsidR="001477F4">
          <w:rPr>
            <w:rStyle w:val="Hyperlink"/>
          </w:rPr>
          <w:t>https://doi.org/10.1016/j.jbiomech.2010.07.003</w:t>
        </w:r>
      </w:hyperlink>
      <w:r>
        <w:t>.</w:t>
      </w:r>
    </w:p>
    <w:p w14:paraId="10EB907D" w14:textId="77777777" w:rsidR="001477F4" w:rsidRDefault="00000000">
      <w:pPr>
        <w:pStyle w:val="Bibliography"/>
        <w:spacing w:after="120" w:line="480" w:lineRule="auto"/>
      </w:pPr>
      <w:bookmarkStart w:id="53" w:name="ref-Montero-Odasso2012"/>
      <w:bookmarkEnd w:id="52"/>
      <w:r>
        <w:t xml:space="preserve">Montero-Odasso, Manuel, Joe Verghese, Olivier Beauchet, and Jeffrey M. Hausdorff. 2012. “Gait and Cognition: A Complementary Approach to Understanding Brain Function and the Risk of Falling.” </w:t>
      </w:r>
      <w:r>
        <w:rPr>
          <w:i/>
          <w:iCs/>
        </w:rPr>
        <w:t>Journal of the American Geriatrics Society</w:t>
      </w:r>
      <w:r>
        <w:t xml:space="preserve"> 60 (11): 2127–36. </w:t>
      </w:r>
      <w:hyperlink r:id="rId29">
        <w:r w:rsidR="001477F4">
          <w:rPr>
            <w:rStyle w:val="Hyperlink"/>
          </w:rPr>
          <w:t>https://doi.org/10.1111/j.1532-5415.2012.04209.x</w:t>
        </w:r>
      </w:hyperlink>
      <w:r>
        <w:t>.</w:t>
      </w:r>
    </w:p>
    <w:p w14:paraId="3812D571" w14:textId="77777777" w:rsidR="001477F4" w:rsidRDefault="00000000">
      <w:pPr>
        <w:pStyle w:val="Bibliography"/>
        <w:spacing w:after="120" w:line="480" w:lineRule="auto"/>
      </w:pPr>
      <w:bookmarkStart w:id="54" w:name="ref-Morris2019"/>
      <w:bookmarkEnd w:id="53"/>
      <w:r>
        <w:t xml:space="preserve">Morris, Rosie, Samuel Stuart, Grace McBarron, Peter C. Fino, Martina Mancini, and Carolin Curtze. 2019. “Validity of MobilityLab (Version 2) for Gait Assessment in Young Adults, Older Adults and Parkinson’s Disease.” </w:t>
      </w:r>
      <w:r>
        <w:rPr>
          <w:i/>
          <w:iCs/>
        </w:rPr>
        <w:t>Physiological Measurement</w:t>
      </w:r>
      <w:r>
        <w:t xml:space="preserve"> 40 (9): 095003. </w:t>
      </w:r>
      <w:hyperlink r:id="rId30">
        <w:r w:rsidR="001477F4">
          <w:rPr>
            <w:rStyle w:val="Hyperlink"/>
          </w:rPr>
          <w:t>https://doi.org/10.1088/1361-6579/ab4023</w:t>
        </w:r>
      </w:hyperlink>
      <w:r>
        <w:t>.</w:t>
      </w:r>
    </w:p>
    <w:p w14:paraId="45931536" w14:textId="77777777" w:rsidR="001477F4" w:rsidRDefault="00000000">
      <w:pPr>
        <w:pStyle w:val="Bibliography"/>
        <w:spacing w:after="120" w:line="480" w:lineRule="auto"/>
      </w:pPr>
      <w:bookmarkStart w:id="55" w:name="ref-Nasreddine2005"/>
      <w:bookmarkEnd w:id="54"/>
      <w:r>
        <w:t xml:space="preserve">Nasreddine, Ziad S., Natalie A. Phillips, Valérie Bédirian, et al. 2005. “The Montreal Cognitive Assessment, MoCA: A Brief Screening Tool for Mild Cognitive Impairment.” </w:t>
      </w:r>
      <w:r>
        <w:rPr>
          <w:i/>
          <w:iCs/>
        </w:rPr>
        <w:t>Journal of the American Geriatrics Society</w:t>
      </w:r>
      <w:r>
        <w:t xml:space="preserve"> 53 (4): 695–99. </w:t>
      </w:r>
      <w:hyperlink r:id="rId31">
        <w:r w:rsidR="001477F4">
          <w:rPr>
            <w:rStyle w:val="Hyperlink"/>
          </w:rPr>
          <w:t>https://doi.org/10.1111/j.1532-5415.2005.53221.x</w:t>
        </w:r>
      </w:hyperlink>
      <w:r>
        <w:t>.</w:t>
      </w:r>
    </w:p>
    <w:p w14:paraId="36A18532" w14:textId="77777777" w:rsidR="001477F4" w:rsidRDefault="00000000">
      <w:pPr>
        <w:pStyle w:val="Bibliography"/>
        <w:spacing w:after="120" w:line="480" w:lineRule="auto"/>
      </w:pPr>
      <w:bookmarkStart w:id="56" w:name="ref-Nilsson2012"/>
      <w:bookmarkEnd w:id="55"/>
      <w:r>
        <w:t xml:space="preserve">Nilsson, John-Olof, Isaac Skog, Peter Händel, and K. V. S. Hari. 2012. “Foot-Mounted INS for Everybody—an Open-Source Embedded Implementation.” </w:t>
      </w:r>
      <w:r>
        <w:rPr>
          <w:i/>
          <w:iCs/>
        </w:rPr>
        <w:t>Proceedings of the IEEE/ION Position, Location and Navigation Symposium</w:t>
      </w:r>
      <w:r>
        <w:t xml:space="preserve">, 140–45. </w:t>
      </w:r>
      <w:hyperlink r:id="rId32">
        <w:r w:rsidR="001477F4">
          <w:rPr>
            <w:rStyle w:val="Hyperlink"/>
          </w:rPr>
          <w:t>https://doi.org/10.1109/PLANS.2012.6236875</w:t>
        </w:r>
      </w:hyperlink>
      <w:r>
        <w:t>.</w:t>
      </w:r>
    </w:p>
    <w:p w14:paraId="6D7F9B10" w14:textId="77777777" w:rsidR="001477F4" w:rsidRDefault="00000000">
      <w:pPr>
        <w:pStyle w:val="Bibliography"/>
        <w:spacing w:after="120" w:line="480" w:lineRule="auto"/>
      </w:pPr>
      <w:bookmarkStart w:id="57" w:name="ref-Rampp2015"/>
      <w:bookmarkEnd w:id="56"/>
      <w:r>
        <w:t xml:space="preserve">Rampp, Alexander, Jens Barth, Samuel Schülein, Karl-Günter Gaßmann, Jochen Klucken, and Bjoern M. Eskofier. 2015. “Inertial Sensor-Based Stride Parameter Calculation from Gait Sequences in Geriatric Patients.” </w:t>
      </w:r>
      <w:r>
        <w:rPr>
          <w:i/>
          <w:iCs/>
        </w:rPr>
        <w:t>IEEE Transactions on Biomedical Engineering</w:t>
      </w:r>
      <w:r>
        <w:t xml:space="preserve"> 62 (4): 1089–97. </w:t>
      </w:r>
      <w:hyperlink r:id="rId33">
        <w:r w:rsidR="001477F4">
          <w:rPr>
            <w:rStyle w:val="Hyperlink"/>
          </w:rPr>
          <w:t>https://doi.org/10.1109/TBME.2014.2368211</w:t>
        </w:r>
      </w:hyperlink>
      <w:r>
        <w:t>.</w:t>
      </w:r>
    </w:p>
    <w:p w14:paraId="536CB517" w14:textId="77777777" w:rsidR="001477F4" w:rsidRDefault="00000000">
      <w:pPr>
        <w:pStyle w:val="Bibliography"/>
        <w:spacing w:after="120" w:line="480" w:lineRule="auto"/>
      </w:pPr>
      <w:bookmarkStart w:id="58" w:name="ref-Salarian2004"/>
      <w:bookmarkEnd w:id="57"/>
      <w:r>
        <w:lastRenderedPageBreak/>
        <w:t xml:space="preserve">Salarian, Arash, Heike Russmann, François J. G. Vingerhoets, et al. 2004. “Gait Assessment in Parkinson’s Disease: Toward an Ambulatory System for Long-Term Monitoring.” </w:t>
      </w:r>
      <w:r>
        <w:rPr>
          <w:i/>
          <w:iCs/>
        </w:rPr>
        <w:t>IEEE Transactions on Biomedical Engineering</w:t>
      </w:r>
      <w:r>
        <w:t xml:space="preserve"> 51 (8): 1434–43. </w:t>
      </w:r>
      <w:hyperlink r:id="rId34">
        <w:r w:rsidR="001477F4">
          <w:rPr>
            <w:rStyle w:val="Hyperlink"/>
          </w:rPr>
          <w:t>https://doi.org/10.1109/TBME.2004.827933</w:t>
        </w:r>
      </w:hyperlink>
      <w:r>
        <w:t>.</w:t>
      </w:r>
    </w:p>
    <w:p w14:paraId="0C6C0C00" w14:textId="77777777" w:rsidR="001477F4" w:rsidRDefault="00000000">
      <w:pPr>
        <w:pStyle w:val="Bibliography"/>
        <w:spacing w:after="120" w:line="480" w:lineRule="auto"/>
      </w:pPr>
      <w:bookmarkStart w:id="59" w:name="ref-Shrout1979"/>
      <w:bookmarkEnd w:id="58"/>
      <w:r>
        <w:t xml:space="preserve">Shrout, Patrick E., and Joseph L. Fleiss. 1979. “Intraclass Correlations: Uses in Assessing Rater Reliability.” </w:t>
      </w:r>
      <w:r>
        <w:rPr>
          <w:i/>
          <w:iCs/>
        </w:rPr>
        <w:t>Psychological Bulletin</w:t>
      </w:r>
      <w:r>
        <w:t xml:space="preserve"> 86 (2): 420–28. </w:t>
      </w:r>
      <w:hyperlink r:id="rId35">
        <w:r w:rsidR="001477F4">
          <w:rPr>
            <w:rStyle w:val="Hyperlink"/>
          </w:rPr>
          <w:t>https://doi.org/10.1037/0033-2909.86.2.420</w:t>
        </w:r>
      </w:hyperlink>
      <w:r>
        <w:t>.</w:t>
      </w:r>
    </w:p>
    <w:p w14:paraId="28150AE8" w14:textId="77777777" w:rsidR="001477F4" w:rsidRDefault="00000000">
      <w:pPr>
        <w:pStyle w:val="Bibliography"/>
        <w:spacing w:after="120" w:line="480" w:lineRule="auto"/>
      </w:pPr>
      <w:bookmarkStart w:id="60" w:name="ref-Sijobert2015"/>
      <w:bookmarkEnd w:id="59"/>
      <w:r>
        <w:t xml:space="preserve">Sijobert, Benoît, Mourad Benoussaad, Jennifer Denys, Roger Pissard-Gibollet, Christian Geny, and Christine Azevedo Coste. 2015. “Implementation and Validation of a Stride Length Estimation Algorithm, Using a Single Basic Inertial Sensor on Healthy Subjects and Patients Suffering from Parkinson’s Disease.” </w:t>
      </w:r>
      <w:r>
        <w:rPr>
          <w:i/>
          <w:iCs/>
        </w:rPr>
        <w:t>Health</w:t>
      </w:r>
      <w:r>
        <w:t xml:space="preserve"> 7 (6): 704–14. </w:t>
      </w:r>
      <w:hyperlink r:id="rId36">
        <w:r w:rsidR="001477F4">
          <w:rPr>
            <w:rStyle w:val="Hyperlink"/>
          </w:rPr>
          <w:t>https://doi.org/10.4236/health.2015.76084</w:t>
        </w:r>
      </w:hyperlink>
      <w:r>
        <w:t>.</w:t>
      </w:r>
    </w:p>
    <w:p w14:paraId="4A5034E1" w14:textId="77777777" w:rsidR="001477F4" w:rsidRDefault="00000000">
      <w:pPr>
        <w:pStyle w:val="Bibliography"/>
        <w:spacing w:after="120" w:line="480" w:lineRule="auto"/>
      </w:pPr>
      <w:bookmarkStart w:id="61" w:name="ref-Skog2010"/>
      <w:bookmarkEnd w:id="60"/>
      <w:r>
        <w:t xml:space="preserve">Skog, Isaac, Peter Händel, John-Olof Nilsson, and Jouni Rantakokko. 2010. “Zero-Velocity Detection—an Algorithm Evaluation.” </w:t>
      </w:r>
      <w:r>
        <w:rPr>
          <w:i/>
          <w:iCs/>
        </w:rPr>
        <w:t>IEEE Transactions on Biomedical Engineering</w:t>
      </w:r>
      <w:r>
        <w:t xml:space="preserve"> 57 (11): 2657–66. </w:t>
      </w:r>
      <w:hyperlink r:id="rId37">
        <w:r w:rsidR="001477F4">
          <w:rPr>
            <w:rStyle w:val="Hyperlink"/>
          </w:rPr>
          <w:t>https://doi.org/10.1109/TBME.2010.2060723</w:t>
        </w:r>
      </w:hyperlink>
      <w:r>
        <w:t>.</w:t>
      </w:r>
    </w:p>
    <w:p w14:paraId="02098A56" w14:textId="77777777" w:rsidR="001477F4" w:rsidRDefault="00000000">
      <w:pPr>
        <w:pStyle w:val="Bibliography"/>
        <w:spacing w:after="120" w:line="480" w:lineRule="auto"/>
      </w:pPr>
      <w:bookmarkStart w:id="62" w:name="ref-Springer2006"/>
      <w:bookmarkEnd w:id="61"/>
      <w:r>
        <w:t xml:space="preserve">Springer, Shmuel, Nir Giladi, Chava Peretz, Galit Yogev, Ely S. Simon, and Jeffrey M. Hausdorff. 2006. “Dual-Tasking Effects on Gait Variability: The Role of Aging, Falls, and Executive Function.” </w:t>
      </w:r>
      <w:r>
        <w:rPr>
          <w:i/>
          <w:iCs/>
        </w:rPr>
        <w:t>Movement Disorders</w:t>
      </w:r>
      <w:r>
        <w:t xml:space="preserve"> 21 (7): 950–57. </w:t>
      </w:r>
      <w:hyperlink r:id="rId38">
        <w:r w:rsidR="001477F4">
          <w:rPr>
            <w:rStyle w:val="Hyperlink"/>
          </w:rPr>
          <w:t>https://doi.org/10.1002/mds.20848</w:t>
        </w:r>
      </w:hyperlink>
      <w:r>
        <w:t>.</w:t>
      </w:r>
    </w:p>
    <w:p w14:paraId="430CBC9D" w14:textId="77777777" w:rsidR="001477F4" w:rsidRDefault="00000000">
      <w:pPr>
        <w:pStyle w:val="Bibliography"/>
        <w:spacing w:after="120" w:line="480" w:lineRule="auto"/>
      </w:pPr>
      <w:bookmarkStart w:id="63" w:name="ref-Trojaniello2014"/>
      <w:bookmarkEnd w:id="62"/>
      <w:r>
        <w:t xml:space="preserve">Trojaniello, Diana, Andrea Cereatti, Elisa Pelosin, et al. 2014. “Estimation of Step-by-Step Spatio-Temporal Parameters of Normal and Impaired Gait Using Shank-Mounted Magneto-Inertial Sensors: Application to Elderly, Hemiparetic, Parkinsonian and Choreic Gait.” </w:t>
      </w:r>
      <w:r>
        <w:rPr>
          <w:i/>
          <w:iCs/>
        </w:rPr>
        <w:t>Journal of NeuroEngineering and Rehabilitation</w:t>
      </w:r>
      <w:r>
        <w:t xml:space="preserve"> 11 (1): 152. </w:t>
      </w:r>
      <w:hyperlink r:id="rId39">
        <w:r w:rsidR="001477F4">
          <w:rPr>
            <w:rStyle w:val="Hyperlink"/>
          </w:rPr>
          <w:t>https://doi.org/10.1186/1743-0003-11-152</w:t>
        </w:r>
      </w:hyperlink>
      <w:r>
        <w:t>.</w:t>
      </w:r>
    </w:p>
    <w:p w14:paraId="5AACB5CB" w14:textId="77777777" w:rsidR="001477F4" w:rsidRDefault="00000000">
      <w:pPr>
        <w:pStyle w:val="Bibliography"/>
        <w:spacing w:after="120" w:line="480" w:lineRule="auto"/>
      </w:pPr>
      <w:bookmarkStart w:id="64" w:name="ref-Verghese2009"/>
      <w:bookmarkEnd w:id="63"/>
      <w:r>
        <w:lastRenderedPageBreak/>
        <w:t xml:space="preserve">Verghese, Joe, Roee Holtzer, Richard B. Lipton, and Cuiling Wang. 2009. “Quantitative Gait Markers and Incident Fall Risk in Older Adults.” </w:t>
      </w:r>
      <w:r>
        <w:rPr>
          <w:i/>
          <w:iCs/>
        </w:rPr>
        <w:t>The Journals of Gerontology Series A: Biological Sciences and Medical Sciences</w:t>
      </w:r>
      <w:r>
        <w:t xml:space="preserve"> 64A (8): 896–901. </w:t>
      </w:r>
      <w:hyperlink r:id="rId40">
        <w:r w:rsidR="001477F4">
          <w:rPr>
            <w:rStyle w:val="Hyperlink"/>
          </w:rPr>
          <w:t>https://doi.org/10.1093/gerona/glp033</w:t>
        </w:r>
      </w:hyperlink>
      <w:r>
        <w:t>.</w:t>
      </w:r>
    </w:p>
    <w:p w14:paraId="2EC706A9" w14:textId="77777777" w:rsidR="001477F4" w:rsidRDefault="00000000">
      <w:pPr>
        <w:pStyle w:val="Bibliography"/>
        <w:spacing w:after="120" w:line="480" w:lineRule="auto"/>
      </w:pPr>
      <w:bookmarkStart w:id="65" w:name="ref-Wahlstrom2020"/>
      <w:bookmarkEnd w:id="64"/>
      <w:r>
        <w:t xml:space="preserve">Wahlström, Johan, and Isaac Skog. 2021. “Fifteen Years of Progress at Zero Velocity: A Review.” </w:t>
      </w:r>
      <w:r>
        <w:rPr>
          <w:i/>
          <w:iCs/>
        </w:rPr>
        <w:t>IEEE Sensors Journal</w:t>
      </w:r>
      <w:r>
        <w:t xml:space="preserve"> 21 (2): 1139–51. </w:t>
      </w:r>
      <w:hyperlink r:id="rId41">
        <w:r w:rsidR="001477F4">
          <w:rPr>
            <w:rStyle w:val="Hyperlink"/>
          </w:rPr>
          <w:t>https://doi.org/10.1109/JSEN.2020.3018880</w:t>
        </w:r>
      </w:hyperlink>
      <w:r>
        <w:t>.</w:t>
      </w:r>
    </w:p>
    <w:p w14:paraId="24575A09" w14:textId="77777777" w:rsidR="001477F4" w:rsidRDefault="00000000">
      <w:pPr>
        <w:pStyle w:val="Bibliography"/>
        <w:spacing w:after="120" w:line="480" w:lineRule="auto"/>
      </w:pPr>
      <w:bookmarkStart w:id="66" w:name="ref-Washabaugh2017"/>
      <w:bookmarkEnd w:id="65"/>
      <w:r>
        <w:t xml:space="preserve">Washabaugh, Edward P., Tarun Kalyanaraman, Peter G. Adamczyk, Edward S. Claflin, and Chandramouli Krishnan. 2017. “Validity and Repeatability of Inertial Measurement Units for Measuring Gait Parameters.” </w:t>
      </w:r>
      <w:r>
        <w:rPr>
          <w:i/>
          <w:iCs/>
        </w:rPr>
        <w:t>Gait &amp; Posture</w:t>
      </w:r>
      <w:r>
        <w:t xml:space="preserve"> 55: 87–93. </w:t>
      </w:r>
      <w:hyperlink r:id="rId42">
        <w:r w:rsidR="001477F4">
          <w:rPr>
            <w:rStyle w:val="Hyperlink"/>
          </w:rPr>
          <w:t>https://doi.org/10.1016/j.gaitpost.2017.04.013</w:t>
        </w:r>
      </w:hyperlink>
      <w:r>
        <w:t>.</w:t>
      </w:r>
    </w:p>
    <w:p w14:paraId="4625E08A" w14:textId="77777777" w:rsidR="001477F4" w:rsidRDefault="00000000">
      <w:pPr>
        <w:pStyle w:val="Bibliography"/>
        <w:spacing w:after="120" w:line="480" w:lineRule="auto"/>
      </w:pPr>
      <w:bookmarkStart w:id="67" w:name="ref-Webster2005"/>
      <w:bookmarkEnd w:id="66"/>
      <w:r>
        <w:t xml:space="preserve">Webster, Kate E., Joanne E. Wittwer, and Julian A. Feller. 2005. “Validity of the GAITRite Walkway System for the Measurement of Averaged and Individual Step Parameters of Gait.” </w:t>
      </w:r>
      <w:r>
        <w:rPr>
          <w:i/>
          <w:iCs/>
        </w:rPr>
        <w:t>Gait &amp; Posture</w:t>
      </w:r>
      <w:r>
        <w:t xml:space="preserve"> 22 (4): 317–21. </w:t>
      </w:r>
      <w:hyperlink r:id="rId43">
        <w:r w:rsidR="001477F4">
          <w:rPr>
            <w:rStyle w:val="Hyperlink"/>
          </w:rPr>
          <w:t>https://doi.org/10.1016/j.gaitpost.2004.1</w:t>
        </w:r>
        <w:r w:rsidR="001477F4">
          <w:rPr>
            <w:rStyle w:val="Hyperlink"/>
          </w:rPr>
          <w:t>0</w:t>
        </w:r>
        <w:r w:rsidR="001477F4">
          <w:rPr>
            <w:rStyle w:val="Hyperlink"/>
          </w:rPr>
          <w:t>.005</w:t>
        </w:r>
      </w:hyperlink>
      <w:r>
        <w:t>.</w:t>
      </w:r>
    </w:p>
    <w:p w14:paraId="3623DCBC" w14:textId="77777777" w:rsidR="001477F4" w:rsidRDefault="00000000">
      <w:pPr>
        <w:pStyle w:val="Bibliography"/>
        <w:spacing w:after="120" w:line="480" w:lineRule="auto"/>
      </w:pPr>
      <w:bookmarkStart w:id="68" w:name="ref-Yogev-Seligmann2008"/>
      <w:bookmarkEnd w:id="67"/>
      <w:r>
        <w:t xml:space="preserve">Yogev-Seligmann, Galit, Jeffrey M. Hausdorff, and Nir Giladi. 2008. “The Role of Executive Function and Attention in Gait.” </w:t>
      </w:r>
      <w:r>
        <w:rPr>
          <w:i/>
          <w:iCs/>
        </w:rPr>
        <w:t>Movement Disorders</w:t>
      </w:r>
      <w:r>
        <w:t xml:space="preserve"> 23 (3): 329–42. </w:t>
      </w:r>
      <w:hyperlink r:id="rId44">
        <w:r w:rsidR="001477F4">
          <w:rPr>
            <w:rStyle w:val="Hyperlink"/>
          </w:rPr>
          <w:t>https://doi.org/10.1002/mds.21720</w:t>
        </w:r>
      </w:hyperlink>
      <w:r>
        <w:t>.</w:t>
      </w:r>
      <w:bookmarkEnd w:id="31"/>
      <w:bookmarkEnd w:id="33"/>
      <w:bookmarkEnd w:id="68"/>
    </w:p>
    <w:sectPr w:rsidR="001477F4">
      <w:footerReference w:type="default" r:id="rId45"/>
      <w:footnotePr>
        <w:numRestart w:val="eachSect"/>
      </w:footnotePr>
      <w:pgSz w:w="12240" w:h="15840"/>
      <w:pgMar w:top="1440" w:right="1440" w:bottom="1440" w:left="1440" w:header="720" w:footer="720" w:gutter="0"/>
      <w:lnNumType w:countBy="1" w:start="1" w:distance="36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B3E899" w14:textId="77777777" w:rsidR="0036276D" w:rsidRDefault="0036276D">
      <w:pPr>
        <w:spacing w:after="0"/>
      </w:pPr>
      <w:r>
        <w:separator/>
      </w:r>
    </w:p>
  </w:endnote>
  <w:endnote w:type="continuationSeparator" w:id="0">
    <w:p w14:paraId="6B1C59DF" w14:textId="77777777" w:rsidR="0036276D" w:rsidRDefault="003627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8D5DA" w14:textId="77777777" w:rsidR="001477F4" w:rsidRDefault="00000000">
    <w:pPr>
      <w:suppressLineNumbers/>
      <w:jc w:val="right"/>
    </w:pPr>
    <w:r>
      <w:fldChar w:fldCharType="begin"/>
    </w:r>
    <w:r>
      <w:instrText xml:space="preserve"> PAGE </w:instrText>
    </w:r>
    <w:r>
      <w:fldChar w:fldCharType="separate"/>
    </w:r>
    <w:r w:rsidR="008E1B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FBEC92" w14:textId="77777777" w:rsidR="0036276D" w:rsidRDefault="0036276D">
      <w:pPr>
        <w:spacing w:after="0"/>
      </w:pPr>
      <w:r>
        <w:separator/>
      </w:r>
    </w:p>
  </w:footnote>
  <w:footnote w:type="continuationSeparator" w:id="0">
    <w:p w14:paraId="48CF9A2A" w14:textId="77777777" w:rsidR="0036276D" w:rsidRDefault="003627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865E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1181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477F4"/>
    <w:rsid w:val="00036F30"/>
    <w:rsid w:val="00063C0E"/>
    <w:rsid w:val="00097483"/>
    <w:rsid w:val="0012267C"/>
    <w:rsid w:val="001477F4"/>
    <w:rsid w:val="0036276D"/>
    <w:rsid w:val="0058399F"/>
    <w:rsid w:val="008E1BBB"/>
    <w:rsid w:val="00EB3CDB"/>
    <w:rsid w:val="00EC74C9"/>
    <w:rsid w:val="00EE494E"/>
    <w:rsid w:val="00F00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C1083F"/>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eastAsia="Times New Roman" w:hAnsi="Times New Roman"/>
      <w:sz w:val="24"/>
      <w:szCs w:val="24"/>
    </w:rPr>
  </w:style>
  <w:style w:type="paragraph" w:styleId="Date">
    <w:name w:val="Date"/>
    <w:basedOn w:val="Title"/>
    <w:next w:val="BodyText"/>
    <w:qFormat/>
    <w:pPr>
      <w:keepNext/>
      <w:keepLines/>
    </w:pPr>
    <w:rPr>
      <w:rFonts w:ascii="Times New Roman" w:eastAsia="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8E1BBB"/>
  </w:style>
  <w:style w:type="character" w:styleId="FollowedHyperlink">
    <w:name w:val="FollowedHyperlink"/>
    <w:basedOn w:val="DefaultParagraphFont"/>
    <w:rsid w:val="005839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jcm10122670" TargetMode="External"/><Relationship Id="rId18" Type="http://schemas.openxmlformats.org/officeDocument/2006/relationships/hyperlink" Target="https://doi.org/10.3390/s17091940" TargetMode="External"/><Relationship Id="rId26" Type="http://schemas.openxmlformats.org/officeDocument/2006/relationships/hyperlink" Target="https://doi.org/10.1109/TAC.2008.923738" TargetMode="External"/><Relationship Id="rId39" Type="http://schemas.openxmlformats.org/officeDocument/2006/relationships/hyperlink" Target="https://doi.org/10.1186/1743-0003-11-152" TargetMode="External"/><Relationship Id="rId21" Type="http://schemas.openxmlformats.org/officeDocument/2006/relationships/hyperlink" Target="https://doi.org/10.1371/journal.pone.0269567" TargetMode="External"/><Relationship Id="rId34" Type="http://schemas.openxmlformats.org/officeDocument/2006/relationships/hyperlink" Target="https://doi.org/10.1109/TBME.2004.827933" TargetMode="External"/><Relationship Id="rId42" Type="http://schemas.openxmlformats.org/officeDocument/2006/relationships/hyperlink" Target="https://doi.org/10.1016/j.gaitpost.2017.04.013"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G.2005.140" TargetMode="External"/><Relationship Id="rId29" Type="http://schemas.openxmlformats.org/officeDocument/2006/relationships/hyperlink" Target="https://doi.org/10.1111/j.1532-5415.2012.04209.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86)90837-8" TargetMode="External"/><Relationship Id="rId24" Type="http://schemas.openxmlformats.org/officeDocument/2006/relationships/hyperlink" Target="https://doi.org/10.3390/s25113481" TargetMode="External"/><Relationship Id="rId32" Type="http://schemas.openxmlformats.org/officeDocument/2006/relationships/hyperlink" Target="https://doi.org/10.1109/PLANS.2012.6236875" TargetMode="External"/><Relationship Id="rId37" Type="http://schemas.openxmlformats.org/officeDocument/2006/relationships/hyperlink" Target="https://doi.org/10.1109/TBME.2010.2060723" TargetMode="External"/><Relationship Id="rId40" Type="http://schemas.openxmlformats.org/officeDocument/2006/relationships/hyperlink" Target="https://doi.org/10.1093/gerona/glp03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7717/peerj.16641" TargetMode="External"/><Relationship Id="rId23" Type="http://schemas.openxmlformats.org/officeDocument/2006/relationships/hyperlink" Target="https://doi.org/10.1109/JIOT.2023.3243296" TargetMode="External"/><Relationship Id="rId28" Type="http://schemas.openxmlformats.org/officeDocument/2006/relationships/hyperlink" Target="https://doi.org/10.1016/j.jbiomech.2010.07.003" TargetMode="External"/><Relationship Id="rId36" Type="http://schemas.openxmlformats.org/officeDocument/2006/relationships/hyperlink" Target="https://doi.org/10.4236/health.2015.76084" TargetMode="External"/><Relationship Id="rId10" Type="http://schemas.openxmlformats.org/officeDocument/2006/relationships/hyperlink" Target="https://doi.org/10.1186/1743-0003-2-26" TargetMode="External"/><Relationship Id="rId19" Type="http://schemas.openxmlformats.org/officeDocument/2006/relationships/hyperlink" Target="https://doi.org/10.1093/gerona/63.12.1335" TargetMode="External"/><Relationship Id="rId31" Type="http://schemas.openxmlformats.org/officeDocument/2006/relationships/hyperlink" Target="https://doi.org/10.1111/j.1532-5415.2005.53221.x" TargetMode="External"/><Relationship Id="rId44" Type="http://schemas.openxmlformats.org/officeDocument/2006/relationships/hyperlink" Target="https://doi.org/10.1002/mds.21720" TargetMode="External"/><Relationship Id="rId4" Type="http://schemas.openxmlformats.org/officeDocument/2006/relationships/settings" Target="settings.xml"/><Relationship Id="rId9" Type="http://schemas.openxmlformats.org/officeDocument/2006/relationships/hyperlink" Target="https://doi.org/10.1017/wtc.2020.11" TargetMode="External"/><Relationship Id="rId14" Type="http://schemas.openxmlformats.org/officeDocument/2006/relationships/hyperlink" Target="https://doi.org/10.1016/j.gaitpost.2018.08.020" TargetMode="External"/><Relationship Id="rId22" Type="http://schemas.openxmlformats.org/officeDocument/2006/relationships/hyperlink" Target="https://doi.org/10.3389/fdgth.2021.736418" TargetMode="External"/><Relationship Id="rId27" Type="http://schemas.openxmlformats.org/officeDocument/2006/relationships/hyperlink" Target="https://doi.org/10.1111/j.1532-5415.1997.tb00946.x" TargetMode="External"/><Relationship Id="rId30" Type="http://schemas.openxmlformats.org/officeDocument/2006/relationships/hyperlink" Target="https://doi.org/10.1088/1361-6579/ab4023" TargetMode="External"/><Relationship Id="rId35" Type="http://schemas.openxmlformats.org/officeDocument/2006/relationships/hyperlink" Target="https://doi.org/10.1037/0033-2909.86.2.420" TargetMode="External"/><Relationship Id="rId43" Type="http://schemas.openxmlformats.org/officeDocument/2006/relationships/hyperlink" Target="https://doi.org/10.1016/j.gaitpost.2004.10.005" TargetMode="External"/><Relationship Id="rId3" Type="http://schemas.openxmlformats.org/officeDocument/2006/relationships/styles" Target="styles.xml"/><Relationship Id="rId12" Type="http://schemas.openxmlformats.org/officeDocument/2006/relationships/hyperlink" Target="https://doi.org/10.3390/s25041267" TargetMode="External"/><Relationship Id="rId17" Type="http://schemas.openxmlformats.org/officeDocument/2006/relationships/hyperlink" Target="https://doi.org/10.1007/s11517-010-0692-0" TargetMode="External"/><Relationship Id="rId25" Type="http://schemas.openxmlformats.org/officeDocument/2006/relationships/hyperlink" Target="https://doi.org/10.1109/JSEN.2024.3410402" TargetMode="External"/><Relationship Id="rId33" Type="http://schemas.openxmlformats.org/officeDocument/2006/relationships/hyperlink" Target="https://doi.org/10.1109/TBME.2014.2368211" TargetMode="External"/><Relationship Id="rId38" Type="http://schemas.openxmlformats.org/officeDocument/2006/relationships/hyperlink" Target="https://doi.org/10.1002/mds.20848" TargetMode="External"/><Relationship Id="rId46" Type="http://schemas.openxmlformats.org/officeDocument/2006/relationships/fontTable" Target="fontTable.xml"/><Relationship Id="rId20" Type="http://schemas.openxmlformats.org/officeDocument/2006/relationships/hyperlink" Target="https://doi.org/10.1016/j.jclinepi.2010.03.002" TargetMode="External"/><Relationship Id="rId41" Type="http://schemas.openxmlformats.org/officeDocument/2006/relationships/hyperlink" Target="https://doi.org/10.1109/JSEN.2020.30188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D9CE4-6C7B-7640-AFC2-BBE28626E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34</Pages>
  <Words>8406</Words>
  <Characters>47920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Criterion validity of heel-mounted inertial sensors for stride-length estimation during single- and dual-task walking in older adults with and without cognitive impairment</vt:lpstr>
    </vt:vector>
  </TitlesOfParts>
  <Company/>
  <LinksUpToDate>false</LinksUpToDate>
  <CharactersWithSpaces>56214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5</cp:revision>
  <dcterms:created xsi:type="dcterms:W3CDTF">2026-08-25T14:02:00Z</dcterms:created>
  <dcterms:modified xsi:type="dcterms:W3CDTF">2026-08-26T23:50:00Z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