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/>
      </w:pPr>
      <w:r>
        <w:rPr>
          <w:rFonts w:ascii="Times New Roman" w:hAnsi="Times New Roman"/>
          <w:b/>
          <w:sz w:val="20"/>
        </w:rPr>
        <w:t>Table 4. Spatiotemporal agreement by condition across 10,472 matched strides. GaitRite and IMU values are mean (SD), and bias = IMU minus GaitRite. Stride-length CV is calculated within participant and reported as the cohort mean.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Parameter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Condition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GaitRite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IMU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Bias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RMSE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ICC(2,1)</w:t>
            </w:r>
          </w:p>
        </w:tc>
      </w:tr>
      <w:tr>
        <w:tc>
          <w:tcPr>
            <w:tcW w:type="dxa" w:w="2016"/>
            <w:vMerge w:val="restart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Gait speed (m/s)</w:t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Single-task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1.186 (0.207)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1.189 (0.215)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0.945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2s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1.039 (0.231)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1.043 (0.237)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0.963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3s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0.992 (0.229)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0.994 (0.233)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0.964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7s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0.994 (0.196)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0.998 (0.202)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0.949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Pooled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1.051 (0.230)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1.054 (0.236)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0.961</w:t>
            </w:r>
          </w:p>
        </w:tc>
      </w:tr>
      <w:tr>
        <w:tc>
          <w:tcPr>
            <w:tcW w:type="dxa" w:w="2016"/>
            <w:vMerge w:val="restart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Stride time (s)</w:t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Single-task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1.088 (0.097)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1.093 (0.110)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0.816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2s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1.181 (0.160)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1.177 (0.158)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−0.004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0.900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3s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1.209 (0.168)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1.207 (0.168)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−0.002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0.911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7s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1.218 (0.165)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1.216 (0.165)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−0.002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0.903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Pooled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1.175 (0.159)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1.174 (0.160)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−0.000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0.905</w:t>
            </w:r>
          </w:p>
        </w:tc>
      </w:tr>
      <w:tr>
        <w:tc>
          <w:tcPr>
            <w:tcW w:type="dxa" w:w="2016"/>
            <w:vMerge w:val="restart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Cadence (steps/min)</w:t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Single-task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111.2 (9.9)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110.9 (11.1)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−0.33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6.18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0.827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2s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103.3 (12.8)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103.7 (13.2)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+0.36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5.85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0.899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3s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101.1 (13.1)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101.3 (13.5)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+0.21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5.57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0.912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7s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100.2 (12.5)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100.4 (12.9)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5.67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0.900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Pooled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103.9 (12.9)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104.0 (13.4)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5.82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0.902</w:t>
            </w:r>
          </w:p>
        </w:tc>
      </w:tr>
      <w:tr>
        <w:tc>
          <w:tcPr>
            <w:tcW w:type="dxa" w:w="2016"/>
            <w:vMerge w:val="restart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Stride-length CV (%)</w:t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Single-task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2.69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3.24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+0.56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0.504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2s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3.18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3.39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+0.21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0.827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3s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3.34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3.89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+0.55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1.74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0.518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7s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3.12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3.79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+0.66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1.60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0.489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Pooled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3.08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3.58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+0.50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1.38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0.576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