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</w:pPr>
      <w:r>
        <w:rPr>
          <w:rFonts w:ascii="Times New Roman" w:hAnsi="Times New Roman"/>
          <w:b/>
          <w:sz w:val="20"/>
        </w:rPr>
        <w:t>Table 1. Adaptive-threshold gait-event accuracy. HS = heel strike; TO = toe off. Miss rate is the percentage of GaitRite events unmatched within 150 ms. Bias = mean IMU-minus-GaitRite timing error.</w:t>
      </w:r>
    </w:p>
    <w:tbl>
      <w:tblPr>
        <w:tblStyle w:val="TableGrid"/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Condition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Event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Miss rate (%)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matched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Bias (ms)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RMSE (ms)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MAE (ms)</w:t>
            </w:r>
          </w:p>
        </w:tc>
      </w:tr>
      <w:tr>
        <w:tc>
          <w:tcPr>
            <w:tcW w:type="dxa" w:w="2016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Single-task</w:t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HS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3749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−0.7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26.8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16.7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TO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3698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+3.9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32.8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22.7</w:t>
            </w:r>
          </w:p>
        </w:tc>
      </w:tr>
      <w:tr>
        <w:tc>
          <w:tcPr>
            <w:tcW w:type="dxa" w:w="2016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2s</w:t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HS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3650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−0.2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31.2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18.8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TO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3.2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3586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−0.7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37.8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25.9</w:t>
            </w:r>
          </w:p>
        </w:tc>
      </w:tr>
      <w:tr>
        <w:tc>
          <w:tcPr>
            <w:tcW w:type="dxa" w:w="2016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3s</w:t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HS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3858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32.4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19.8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TO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3.6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3760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38.7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26.6</w:t>
            </w:r>
          </w:p>
        </w:tc>
      </w:tr>
      <w:tr>
        <w:tc>
          <w:tcPr>
            <w:tcW w:type="dxa" w:w="2016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7s</w:t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HS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3554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32.6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20.1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TO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3.8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3499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+1.7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39.3</w:t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27.3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